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9372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93725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09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Rajah Vignesh</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340" w:type="dxa"/>
            <w:vAlign w:val="bottom"/>
          </w:tcPr>
          <w:p>
            <w:pPr>
              <w:ind w:left="16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Y-MABS THERAPEUTICS, INC.</w:t>
            </w:r>
          </w:p>
        </w:tc>
      </w:tr>
      <w:tr>
        <w:trPr>
          <w:trHeight w:val="258"/>
        </w:trPr>
        <w:tc>
          <w:tcPr>
            <w:tcW w:w="20" w:type="dxa"/>
            <w:vAlign w:val="bottom"/>
          </w:tcPr>
          <w:p>
            <w:pPr>
              <w:spacing w:after="0"/>
              <w:rPr>
                <w:sz w:val="22"/>
                <w:szCs w:val="22"/>
                <w:color w:val="auto"/>
              </w:rPr>
            </w:pPr>
          </w:p>
        </w:tc>
        <w:tc>
          <w:tcPr>
            <w:tcW w:w="2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7"/>
              </w:rPr>
              <w:t>230 PARK AVENUE, SUITE 3350</w:t>
            </w:r>
          </w:p>
        </w:tc>
        <w:tc>
          <w:tcPr>
            <w:tcW w:w="124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r>
      <w:tr>
        <w:trPr>
          <w:trHeight w:val="25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3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2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10169</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340" w:type="dxa"/>
            <w:vAlign w:val="bottom"/>
          </w:tcPr>
          <w:p>
            <w:pPr>
              <w:ind w:left="160"/>
              <w:spacing w:after="0"/>
              <w:rPr>
                <w:sz w:val="20"/>
                <w:szCs w:val="20"/>
                <w:color w:val="auto"/>
              </w:rPr>
            </w:pPr>
            <w:r>
              <w:rPr>
                <w:rFonts w:ascii="Arial" w:cs="Arial" w:eastAsia="Arial" w:hAnsi="Arial"/>
                <w:sz w:val="13"/>
                <w:szCs w:val="13"/>
                <w:color w:val="auto"/>
              </w:rPr>
              <w:t>(State)</w:t>
            </w:r>
          </w:p>
        </w:tc>
        <w:tc>
          <w:tcPr>
            <w:tcW w:w="124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Y-mAbs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YMAB</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10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01/18/2024</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3"/>
            <w:vMerge w:val="restart"/>
          </w:tcPr>
          <w:p>
            <w:pPr>
              <w:ind w:left="180"/>
              <w:spacing w:after="0"/>
              <w:rPr>
                <w:sz w:val="20"/>
                <w:szCs w:val="20"/>
                <w:color w:val="auto"/>
              </w:rPr>
            </w:pPr>
            <w:r>
              <w:rPr>
                <w:rFonts w:ascii="Times New Roman" w:cs="Times New Roman" w:eastAsia="Times New Roman" w:hAnsi="Times New Roman"/>
                <w:sz w:val="17"/>
                <w:szCs w:val="17"/>
                <w:color w:val="0000FF"/>
              </w:rPr>
              <w:t>SVP &amp; CHIEF MEDICAL OFFICER</w:t>
            </w: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09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58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w w:val="99"/>
              </w:rPr>
              <w:t>Transaction  Disposed Of (D) (Instr. 3, 4 and</w:t>
            </w:r>
          </w:p>
        </w:tc>
        <w:tc>
          <w:tcPr>
            <w:tcW w:w="12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600" w:type="dxa"/>
            <w:vAlign w:val="bottom"/>
          </w:tcPr>
          <w:p>
            <w:pPr>
              <w:spacing w:after="0"/>
              <w:rPr>
                <w:sz w:val="11"/>
                <w:szCs w:val="11"/>
                <w:color w:val="auto"/>
              </w:rPr>
            </w:pP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4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574"/>
              <w:spacing w:after="0"/>
              <w:rPr>
                <w:sz w:val="20"/>
                <w:szCs w:val="20"/>
                <w:color w:val="auto"/>
              </w:rPr>
            </w:pPr>
            <w:r>
              <w:rPr>
                <w:rFonts w:ascii="Times New Roman" w:cs="Times New Roman" w:eastAsia="Times New Roman" w:hAnsi="Times New Roman"/>
                <w:sz w:val="17"/>
                <w:szCs w:val="17"/>
                <w:color w:val="0000FF"/>
              </w:rPr>
              <w:t>01/18/2024</w:t>
            </w: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gridSpan w:val="2"/>
          </w:tcPr>
          <w:p>
            <w:pPr>
              <w:ind w:left="200"/>
              <w:spacing w:after="0"/>
              <w:rPr>
                <w:sz w:val="20"/>
                <w:szCs w:val="20"/>
                <w:color w:val="auto"/>
              </w:rPr>
            </w:pPr>
            <w:r>
              <w:rPr>
                <w:rFonts w:ascii="Times New Roman" w:cs="Times New Roman" w:eastAsia="Times New Roman" w:hAnsi="Times New Roman"/>
                <w:sz w:val="17"/>
                <w:szCs w:val="17"/>
                <w:color w:val="0000FF"/>
                <w:w w:val="91"/>
              </w:rPr>
              <w:t>17,800</w:t>
            </w:r>
            <w:r>
              <w:rPr>
                <w:rFonts w:ascii="Times New Roman" w:cs="Times New Roman" w:eastAsia="Times New Roman" w:hAnsi="Times New Roman"/>
                <w:sz w:val="21"/>
                <w:szCs w:val="21"/>
                <w:color w:val="008000"/>
                <w:w w:val="91"/>
                <w:vertAlign w:val="superscript"/>
              </w:rPr>
              <w:t>(1)</w:t>
            </w:r>
          </w:p>
        </w:tc>
        <w:tc>
          <w:tcPr>
            <w:tcW w:w="5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jc w:val="right"/>
              <w:ind w:right="361"/>
              <w:spacing w:after="0"/>
              <w:rPr>
                <w:sz w:val="20"/>
                <w:szCs w:val="20"/>
                <w:color w:val="auto"/>
              </w:rPr>
            </w:pPr>
            <w:r>
              <w:rPr>
                <w:rFonts w:ascii="Times New Roman" w:cs="Times New Roman" w:eastAsia="Times New Roman" w:hAnsi="Times New Roman"/>
                <w:sz w:val="17"/>
                <w:szCs w:val="17"/>
                <w:color w:val="0000FF"/>
              </w:rPr>
              <w:t>35,600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gridSpan w:val="3"/>
            <w:vMerge w:val="restart"/>
          </w:tcPr>
          <w:p>
            <w:pPr>
              <w:jc w:val="right"/>
              <w:ind w:right="401"/>
              <w:spacing w:after="0"/>
              <w:rPr>
                <w:sz w:val="20"/>
                <w:szCs w:val="20"/>
                <w:color w:val="auto"/>
              </w:rPr>
            </w:pPr>
            <w:r>
              <w:rPr>
                <w:rFonts w:ascii="Times New Roman" w:cs="Times New Roman" w:eastAsia="Times New Roman" w:hAnsi="Times New Roman"/>
                <w:sz w:val="17"/>
                <w:szCs w:val="17"/>
                <w:color w:val="0000FF"/>
              </w:rPr>
              <w:t>4,266</w:t>
            </w:r>
          </w:p>
        </w:tc>
        <w:tc>
          <w:tcPr>
            <w:tcW w:w="260" w:type="dxa"/>
            <w:vAlign w:val="bottom"/>
          </w:tcPr>
          <w:p>
            <w:pPr>
              <w:spacing w:after="0"/>
              <w:rPr>
                <w:sz w:val="17"/>
                <w:szCs w:val="17"/>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and</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3"/>
          </w:tcPr>
          <w:p>
            <w:pPr>
              <w:spacing w:after="0" w:line="271" w:lineRule="exact"/>
              <w:rPr>
                <w:sz w:val="20"/>
                <w:szCs w:val="20"/>
                <w:color w:val="auto"/>
              </w:rPr>
            </w:pPr>
            <w:r>
              <w:rPr>
                <w:rFonts w:ascii="Times New Roman" w:cs="Times New Roman" w:eastAsia="Times New Roman" w:hAnsi="Times New Roman"/>
                <w:sz w:val="31"/>
                <w:szCs w:val="31"/>
                <w:color w:val="0000FF"/>
                <w:vertAlign w:val="subscript"/>
              </w:rPr>
              <w:t>minor</w:t>
            </w:r>
            <w:r>
              <w:rPr>
                <w:rFonts w:ascii="Times New Roman" w:cs="Times New Roman" w:eastAsia="Times New Roman" w:hAnsi="Times New Roman"/>
                <w:sz w:val="10"/>
                <w:szCs w:val="10"/>
                <w:color w:val="008000"/>
              </w:rPr>
              <w:t>(2)(3)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1"/>
              <w:spacing w:after="0"/>
              <w:rPr>
                <w:sz w:val="20"/>
                <w:szCs w:val="20"/>
                <w:color w:val="auto"/>
              </w:rPr>
            </w:pPr>
            <w:r>
              <w:rPr>
                <w:rFonts w:ascii="Arial" w:cs="Arial" w:eastAsia="Arial" w:hAnsi="Arial"/>
                <w:sz w:val="12"/>
                <w:szCs w:val="12"/>
                <w:b w:val="1"/>
                <w:bCs w:val="1"/>
                <w:color w:val="auto"/>
                <w:w w:val="99"/>
              </w:rPr>
              <w:t>4.</w:t>
            </w: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48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60" w:type="dxa"/>
            <w:vAlign w:val="bottom"/>
          </w:tcPr>
          <w:p>
            <w:pPr>
              <w:spacing w:after="0"/>
              <w:rPr>
                <w:sz w:val="11"/>
                <w:szCs w:val="11"/>
                <w:color w:val="auto"/>
              </w:rPr>
            </w:pPr>
          </w:p>
        </w:tc>
        <w:tc>
          <w:tcPr>
            <w:tcW w:w="15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1"/>
              <w:spacing w:after="0" w:line="129" w:lineRule="exact"/>
              <w:rPr>
                <w:sz w:val="20"/>
                <w:szCs w:val="20"/>
                <w:color w:val="auto"/>
              </w:rPr>
            </w:pPr>
            <w:r>
              <w:rPr>
                <w:rFonts w:ascii="Arial" w:cs="Arial" w:eastAsia="Arial" w:hAnsi="Arial"/>
                <w:sz w:val="12"/>
                <w:szCs w:val="12"/>
                <w:b w:val="1"/>
                <w:bCs w:val="1"/>
                <w:color w:val="auto"/>
                <w:w w:val="93"/>
              </w:rPr>
              <w:t>8)</w:t>
            </w: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60" w:type="dxa"/>
            <w:vAlign w:val="bottom"/>
          </w:tcPr>
          <w:p>
            <w:pPr>
              <w:spacing w:after="0"/>
              <w:rPr>
                <w:sz w:val="11"/>
                <w:szCs w:val="11"/>
                <w:color w:val="auto"/>
              </w:rPr>
            </w:pPr>
          </w:p>
        </w:tc>
        <w:tc>
          <w:tcPr>
            <w:tcW w:w="15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35,700</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9.83</w:t>
            </w:r>
          </w:p>
        </w:tc>
        <w:tc>
          <w:tcPr>
            <w:tcW w:w="1040" w:type="dxa"/>
            <w:vAlign w:val="bottom"/>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01/18/2024</w:t>
            </w:r>
          </w:p>
        </w:tc>
        <w:tc>
          <w:tcPr>
            <w:tcW w:w="1140" w:type="dxa"/>
            <w:vAlign w:val="bottom"/>
          </w:tcPr>
          <w:p>
            <w:pPr>
              <w:spacing w:after="0"/>
              <w:rPr>
                <w:sz w:val="12"/>
                <w:szCs w:val="12"/>
                <w:color w:val="auto"/>
              </w:rPr>
            </w:pPr>
          </w:p>
        </w:tc>
        <w:tc>
          <w:tcPr>
            <w:tcW w:w="7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35,700</w:t>
            </w:r>
          </w:p>
        </w:tc>
        <w:tc>
          <w:tcPr>
            <w:tcW w:w="320" w:type="dxa"/>
            <w:vAlign w:val="bottom"/>
          </w:tcPr>
          <w:p>
            <w:pPr>
              <w:spacing w:after="0"/>
              <w:rPr>
                <w:sz w:val="12"/>
                <w:szCs w:val="12"/>
                <w:color w:val="auto"/>
              </w:rPr>
            </w:pP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tcPr>
          <w:p>
            <w:pPr>
              <w:spacing w:after="0" w:line="142" w:lineRule="exact"/>
              <w:rPr>
                <w:sz w:val="20"/>
                <w:szCs w:val="20"/>
                <w:color w:val="auto"/>
              </w:rPr>
            </w:pPr>
            <w:r>
              <w:rPr>
                <w:rFonts w:ascii="Times New Roman" w:cs="Times New Roman" w:eastAsia="Times New Roman" w:hAnsi="Times New Roman"/>
                <w:sz w:val="13"/>
                <w:szCs w:val="13"/>
                <w:color w:val="0000FF"/>
              </w:rPr>
              <w:t>01/18/2034</w:t>
            </w:r>
          </w:p>
        </w:tc>
        <w:tc>
          <w:tcPr>
            <w:tcW w:w="68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line="142" w:lineRule="exact"/>
              <w:rPr>
                <w:sz w:val="20"/>
                <w:szCs w:val="20"/>
                <w:color w:val="auto"/>
              </w:rPr>
            </w:pPr>
            <w:r>
              <w:rPr>
                <w:rFonts w:ascii="Times New Roman" w:cs="Times New Roman" w:eastAsia="Times New Roman" w:hAnsi="Times New Roman"/>
                <w:sz w:val="13"/>
                <w:szCs w:val="13"/>
                <w:color w:val="0000FF"/>
                <w:w w:val="94"/>
              </w:rPr>
              <w:t>35,700</w:t>
            </w:r>
          </w:p>
        </w:tc>
        <w:tc>
          <w:tcPr>
            <w:tcW w:w="260" w:type="dxa"/>
            <w:vAlign w:val="bottom"/>
          </w:tcPr>
          <w:p>
            <w:pPr>
              <w:spacing w:after="0"/>
              <w:rPr>
                <w:sz w:val="12"/>
                <w:szCs w:val="12"/>
                <w:color w:val="auto"/>
              </w:rPr>
            </w:pPr>
          </w:p>
        </w:tc>
        <w:tc>
          <w:tcPr>
            <w:tcW w:w="66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(4)</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jc w:val="both"/>
        <w:ind w:left="40" w:right="2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17,800 restricted stock units ("RSUs") granted to the Reporting Person pursuant to the 2018 Equity Incentive Plan of Y-mAbs Therapeutics, Inc. Each RSU represents a contingent right to receive one share of Common Stock on the vesting dates of the RSU. The RSUs vest by 1/3 on each of January 18, 2025, January 18, 2026 and January 18, 2027 subject to the continuing employment of the Reporting Person on each vesting date.</w:t>
      </w:r>
    </w:p>
    <w:p>
      <w:pPr>
        <w:spacing w:after="0" w:line="26" w:lineRule="exact"/>
        <w:rPr>
          <w:rFonts w:ascii="Times New Roman" w:cs="Times New Roman" w:eastAsia="Times New Roman" w:hAnsi="Times New Roman"/>
          <w:sz w:val="13"/>
          <w:szCs w:val="13"/>
          <w:color w:val="008000"/>
        </w:rPr>
      </w:pPr>
    </w:p>
    <w:p>
      <w:pPr>
        <w:ind w:left="40" w:right="3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4,033 shares of common stock owned by Reporting Person's spouse and 233 held by Reporting Person's minor child. Reporting Person may be deemed to have a pecuniary interest in the securities due to family relationship.</w:t>
      </w:r>
    </w:p>
    <w:p>
      <w:pPr>
        <w:spacing w:after="0" w:line="17" w:lineRule="exact"/>
        <w:rPr>
          <w:rFonts w:ascii="Times New Roman" w:cs="Times New Roman" w:eastAsia="Times New Roman" w:hAnsi="Times New Roman"/>
          <w:sz w:val="13"/>
          <w:szCs w:val="13"/>
          <w:color w:val="008000"/>
        </w:rPr>
      </w:pPr>
    </w:p>
    <w:p>
      <w:pPr>
        <w:ind w:left="40" w:right="4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disclaims beneficial ownership of the securities reported and this report shall not be deemed an admission that Reporting Person is the beneficial owner of such securities for purposes of Section 16 of the Securities Exchange Act, as amended, or for any other purpose.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Stock options granted to the Reporting Person pursuant to the 2018 Equity Incentive Plan of Y-mAbs Therapeutics, Inc.</w:t>
      </w:r>
    </w:p>
    <w:p>
      <w:pPr>
        <w:spacing w:after="0" w:line="43" w:lineRule="exact"/>
        <w:rPr>
          <w:rFonts w:ascii="Times New Roman" w:cs="Times New Roman" w:eastAsia="Times New Roman" w:hAnsi="Times New Roman"/>
          <w:sz w:val="13"/>
          <w:szCs w:val="13"/>
          <w:color w:val="008000"/>
        </w:rPr>
      </w:pPr>
    </w:p>
    <w:p>
      <w:pPr>
        <w:ind w:left="40" w:right="3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shall vest and become exercisable as to 25% of the shares subject to the option on January 18, 2025, and thereafter vest and become exercisable as to 1/48th of the shares in equal monthly installments, until such time as the option is 100% vested, subject to the continuing employment of the Reporting Person on each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John LaRocca, Attorney-in-  </w:t>
      </w:r>
      <w:r>
        <w:rPr>
          <w:rFonts w:ascii="Times New Roman" w:cs="Times New Roman" w:eastAsia="Times New Roman" w:hAnsi="Times New Roman"/>
          <w:sz w:val="33"/>
          <w:szCs w:val="33"/>
          <w:color w:val="0000FF"/>
          <w:vertAlign w:val="subscript"/>
        </w:rPr>
        <w:t>01/22/2024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182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82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09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(For Executing Form ID and Forms 3, 4 and 5 and Schedules 13D and 13G)</w:t>
      </w:r>
    </w:p>
    <w:p>
      <w:pPr>
        <w:spacing w:after="0" w:line="223" w:lineRule="exact"/>
        <w:rPr>
          <w:sz w:val="20"/>
          <w:szCs w:val="20"/>
          <w:color w:val="auto"/>
        </w:rPr>
      </w:pPr>
    </w:p>
    <w:p>
      <w:pPr>
        <w:ind w:right="100" w:firstLine="787"/>
        <w:spacing w:after="0" w:line="243" w:lineRule="auto"/>
        <w:rPr>
          <w:sz w:val="20"/>
          <w:szCs w:val="20"/>
          <w:color w:val="auto"/>
        </w:rPr>
      </w:pPr>
      <w:r>
        <w:rPr>
          <w:rFonts w:ascii="Times New Roman" w:cs="Times New Roman" w:eastAsia="Times New Roman" w:hAnsi="Times New Roman"/>
          <w:sz w:val="21"/>
          <w:szCs w:val="21"/>
          <w:color w:val="auto"/>
        </w:rPr>
        <w:t>Know all by these presents, that the undersigned hereby constitutes and appoints John LaRocca, Michael Rossi and Bo Kruse of Y-mAbs Therapeutics, Inc.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signing individually, the undersigned’s true and lawful attorneys-in-fact and agents to:</w:t>
      </w:r>
    </w:p>
    <w:p>
      <w:pPr>
        <w:spacing w:after="0" w:line="195" w:lineRule="exact"/>
        <w:rPr>
          <w:sz w:val="20"/>
          <w:szCs w:val="20"/>
          <w:color w:val="auto"/>
        </w:rPr>
      </w:pPr>
    </w:p>
    <w:p>
      <w:pPr>
        <w:ind w:right="80" w:firstLine="791"/>
        <w:spacing w:after="0" w:line="237" w:lineRule="auto"/>
        <w:tabs>
          <w:tab w:leader="none" w:pos="1549"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Prepare, execute in the undersigned’s name and on the undersigned’s behalf, and submit to the the Securities and Exchange Commission (the “</w:t>
      </w:r>
      <w:r>
        <w:rPr>
          <w:rFonts w:ascii="Times New Roman" w:cs="Times New Roman" w:eastAsia="Times New Roman" w:hAnsi="Times New Roman"/>
          <w:sz w:val="21"/>
          <w:szCs w:val="21"/>
          <w:b w:val="1"/>
          <w:bCs w:val="1"/>
          <w:i w:val="1"/>
          <w:iCs w:val="1"/>
          <w:color w:val="auto"/>
        </w:rPr>
        <w:t>SEC</w:t>
      </w:r>
      <w:r>
        <w:rPr>
          <w:rFonts w:ascii="Times New Roman" w:cs="Times New Roman" w:eastAsia="Times New Roman" w:hAnsi="Times New Roman"/>
          <w:sz w:val="21"/>
          <w:szCs w:val="21"/>
          <w:color w:val="auto"/>
        </w:rPr>
        <w:t>”) Form ID and Forms 3, 4 and 5 (including amendments thereto and joint filing agreements in connection therewith) in accordance with Section 13 or Section 16 of the Securities Exchange Act of 1934, as amended (the “</w:t>
      </w:r>
      <w:r>
        <w:rPr>
          <w:rFonts w:ascii="Times New Roman" w:cs="Times New Roman" w:eastAsia="Times New Roman" w:hAnsi="Times New Roman"/>
          <w:sz w:val="21"/>
          <w:szCs w:val="21"/>
          <w:b w:val="1"/>
          <w:bCs w:val="1"/>
          <w:i w:val="1"/>
          <w:iCs w:val="1"/>
          <w:color w:val="auto"/>
        </w:rPr>
        <w:t>Exchange Act</w:t>
      </w:r>
      <w:r>
        <w:rPr>
          <w:rFonts w:ascii="Times New Roman" w:cs="Times New Roman" w:eastAsia="Times New Roman" w:hAnsi="Times New Roman"/>
          <w:sz w:val="21"/>
          <w:szCs w:val="21"/>
          <w:color w:val="auto"/>
        </w:rPr>
        <w:t>”) and the rules thereunder in the undersigned’s capacity as a beneficial owner of a registered class of securities of the Company;</w:t>
      </w:r>
    </w:p>
    <w:p>
      <w:pPr>
        <w:spacing w:after="0" w:line="200" w:lineRule="exact"/>
        <w:rPr>
          <w:rFonts w:ascii="Times New Roman" w:cs="Times New Roman" w:eastAsia="Times New Roman" w:hAnsi="Times New Roman"/>
          <w:sz w:val="21"/>
          <w:szCs w:val="21"/>
          <w:color w:val="auto"/>
        </w:rPr>
      </w:pPr>
    </w:p>
    <w:p>
      <w:pPr>
        <w:ind w:right="100" w:firstLine="791"/>
        <w:spacing w:after="0" w:line="239" w:lineRule="auto"/>
        <w:tabs>
          <w:tab w:leader="none" w:pos="1549"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that may be necessary or desirable to prepare and execute any such Form ID and Forms 3, 4 or 5, Schedules 13D and 13G (including amendments thereto and joint filing agreements in connection therewith) and Forms 144, and file such forms with the SEC and any stock exchange, self-regulatory association or any similar authority; and</w:t>
      </w:r>
    </w:p>
    <w:p>
      <w:pPr>
        <w:spacing w:after="0" w:line="198" w:lineRule="exact"/>
        <w:rPr>
          <w:rFonts w:ascii="Times New Roman" w:cs="Times New Roman" w:eastAsia="Times New Roman" w:hAnsi="Times New Roman"/>
          <w:sz w:val="21"/>
          <w:szCs w:val="21"/>
          <w:color w:val="auto"/>
        </w:rPr>
      </w:pPr>
    </w:p>
    <w:p>
      <w:pPr>
        <w:ind w:right="280" w:firstLine="791"/>
        <w:spacing w:after="0" w:line="239" w:lineRule="auto"/>
        <w:tabs>
          <w:tab w:leader="none" w:pos="1549"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199" w:lineRule="exact"/>
        <w:rPr>
          <w:sz w:val="20"/>
          <w:szCs w:val="20"/>
          <w:color w:val="auto"/>
        </w:rPr>
      </w:pPr>
    </w:p>
    <w:p>
      <w:pPr>
        <w:ind w:right="260" w:firstLine="787"/>
        <w:spacing w:after="0" w:line="235" w:lineRule="auto"/>
        <w:rPr>
          <w:sz w:val="20"/>
          <w:szCs w:val="20"/>
          <w:color w:val="auto"/>
        </w:rPr>
      </w:pPr>
      <w:r>
        <w:rPr>
          <w:rFonts w:ascii="Times New Roman" w:cs="Times New Roman" w:eastAsia="Times New Roman" w:hAnsi="Times New Roman"/>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Sections 13 and 16 of the Exchange Act and Rule 144 thereunder.</w:t>
      </w:r>
    </w:p>
    <w:p>
      <w:pPr>
        <w:spacing w:after="0" w:line="197" w:lineRule="exact"/>
        <w:rPr>
          <w:sz w:val="20"/>
          <w:szCs w:val="20"/>
          <w:color w:val="auto"/>
        </w:rPr>
      </w:pPr>
    </w:p>
    <w:p>
      <w:pPr>
        <w:ind w:firstLine="787"/>
        <w:spacing w:after="0" w:line="237"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earliest to occur of (a) the undersigned is no longer required to file Form ID or Forms 3, 4 and 5 or Schedules 13D or 13G with respect to the undersigned’s holdings of and transactions in securities issued by the Company, (b) revocation by the undersigned in a signed writing delivered to the Company and the foregoing attorneys-in-fact or (c) as to any attorney-in-fact individually, until such attorney-in-fact is no longer employed by the Company.</w:t>
      </w:r>
    </w:p>
    <w:p>
      <w:pPr>
        <w:spacing w:after="0" w:line="20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6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1"/>
          <w:szCs w:val="21"/>
          <w:color w:val="auto"/>
        </w:rPr>
        <w:t>Date:</w:t>
        <w:tab/>
        <w:t>January 19, 2024</w:t>
      </w:r>
    </w:p>
    <w:p>
      <w:pPr>
        <w:spacing w:after="0" w:line="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Vignesh Rajah</w:t>
      </w:r>
    </w:p>
    <w:p>
      <w:pPr>
        <w:spacing w:after="0"/>
        <w:tabs>
          <w:tab w:leader="none" w:pos="740" w:val="left"/>
        </w:tabs>
        <w:rPr>
          <w:sz w:val="20"/>
          <w:szCs w:val="20"/>
          <w:color w:val="auto"/>
        </w:rPr>
      </w:pPr>
      <w:r>
        <w:rPr>
          <w:rFonts w:ascii="Times New Roman" w:cs="Times New Roman" w:eastAsia="Times New Roman" w:hAnsi="Times New Roman"/>
          <w:sz w:val="21"/>
          <w:szCs w:val="21"/>
          <w:color w:val="auto"/>
        </w:rPr>
        <w:t>Name:</w:t>
        <w:tab/>
        <w:t>Vignesh Rajah</w:t>
      </w:r>
    </w:p>
    <w:sectPr>
      <w:pgSz w:w="11900" w:h="16838" w:orient="portrait"/>
      <w:cols w:equalWidth="0" w:num="1">
        <w:col w:w="10960"/>
      </w:cols>
      <w:pgMar w:left="46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15042" TargetMode="External"/><Relationship Id="rId13" Type="http://schemas.openxmlformats.org/officeDocument/2006/relationships/hyperlink" Target="http://www.sec.gov/cgi-bin/browse-edgar?action=getcompany&amp;CIK=00017229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2024-01-22T17:05:28Z</dcterms:created>
  <dcterms:modified xsi:type="dcterms:W3CDTF">2024-01-22T17:05:28Z</dcterms:modified>
</cp:coreProperties>
</file>