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28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5304155</wp:posOffset>
            </wp:positionH>
            <wp:positionV relativeFrom="paragraph">
              <wp:posOffset>-601980</wp:posOffset>
            </wp:positionV>
            <wp:extent cx="8255" cy="6026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2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-610235</wp:posOffset>
            </wp:positionV>
            <wp:extent cx="8255" cy="6108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-585470</wp:posOffset>
            </wp:positionV>
            <wp:extent cx="1270000" cy="5619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1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27305</wp:posOffset>
            </wp:positionV>
            <wp:extent cx="6969125" cy="17341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125" cy="1734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2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Hamill Laura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</w:tcPr>
          <w:p>
            <w:pPr>
              <w:ind w:left="6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u w:val="single" w:color="auto"/>
                  <w:color w:val="0000EE"/>
                </w:rPr>
                <w:t>Y-mAbs Therapeutics, Inc</w:t>
              </w:r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YMAB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Y-MABS THERAPEUTICS, INC.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06/23/2020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230 PARK AVENUE SUITE 3350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10169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48.67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06/23/2020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06/23/2030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07/23/2020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-2906395</wp:posOffset>
            </wp:positionV>
            <wp:extent cx="7033895" cy="31508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15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 w:line="21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(1)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granted to the Reporting Person as a non-employee director pursuant to the 2018 Equity Incentive Plan of Y-mAbs Therapeutics, Inc.</w:t>
      </w:r>
    </w:p>
    <w:p>
      <w:pPr>
        <w:spacing w:after="0" w:line="4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1"/>
        <w:spacing w:after="0" w:line="246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options vest in equal monthly installments until the third anniversary of the date of grant, subject to the Reporting Person's continued service on the board of directors of Y-mAbs Therapeutics, Inc., and are exercisable immediately upon vesting.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Laura Hamill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06/24/2020</w:t>
            </w: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1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51804" TargetMode="External"/><Relationship Id="rId14" Type="http://schemas.openxmlformats.org/officeDocument/2006/relationships/hyperlink" Target="http://www.sec.gov/cgi-bin/browse-edgar?action=getcompany&amp;CIK=00017229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2020-06-24T15:49:55Z</dcterms:created>
  <dcterms:modified xsi:type="dcterms:W3CDTF">2020-06-24T15:49:55Z</dcterms:modified>
</cp:coreProperties>
</file>