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00"/>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September 13, 2021</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Y-MABS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00" w:type="dxa"/>
        <w:tblCellMar>
          <w:top w:w="0" w:type="dxa"/>
          <w:left w:w="0" w:type="dxa"/>
          <w:bottom w:w="0" w:type="dxa"/>
          <w:right w:w="0" w:type="dxa"/>
        </w:tblCellMar>
      </w:tblPr>
      <w:tr>
        <w:trPr>
          <w:trHeight w:val="216"/>
        </w:trPr>
        <w:tc>
          <w:tcPr>
            <w:tcW w:w="262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Delaware</w:t>
            </w:r>
          </w:p>
        </w:tc>
        <w:tc>
          <w:tcPr>
            <w:tcW w:w="466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001-38650</w:t>
            </w:r>
          </w:p>
        </w:tc>
        <w:tc>
          <w:tcPr>
            <w:tcW w:w="1900" w:type="dxa"/>
            <w:vAlign w:val="bottom"/>
          </w:tcPr>
          <w:p>
            <w:pPr>
              <w:jc w:val="center"/>
              <w:ind w:left="410"/>
              <w:spacing w:after="0"/>
              <w:rPr>
                <w:sz w:val="20"/>
                <w:szCs w:val="20"/>
                <w:color w:val="auto"/>
              </w:rPr>
            </w:pPr>
            <w:r>
              <w:rPr>
                <w:rFonts w:ascii="Arial" w:cs="Arial" w:eastAsia="Arial" w:hAnsi="Arial"/>
                <w:sz w:val="18"/>
                <w:szCs w:val="18"/>
                <w:b w:val="1"/>
                <w:bCs w:val="1"/>
                <w:color w:val="auto"/>
                <w:w w:val="91"/>
              </w:rPr>
              <w:t>47-4619612</w:t>
            </w:r>
          </w:p>
        </w:tc>
      </w:tr>
      <w:tr>
        <w:trPr>
          <w:trHeight w:val="216"/>
        </w:trPr>
        <w:tc>
          <w:tcPr>
            <w:tcW w:w="262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(State or other jurisdiction of</w:t>
            </w:r>
          </w:p>
        </w:tc>
        <w:tc>
          <w:tcPr>
            <w:tcW w:w="466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(Commission</w:t>
            </w:r>
          </w:p>
        </w:tc>
        <w:tc>
          <w:tcPr>
            <w:tcW w:w="1900" w:type="dxa"/>
            <w:vAlign w:val="bottom"/>
          </w:tcPr>
          <w:p>
            <w:pPr>
              <w:jc w:val="center"/>
              <w:ind w:left="3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62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incorporation or organization)</w:t>
            </w:r>
          </w:p>
        </w:tc>
        <w:tc>
          <w:tcPr>
            <w:tcW w:w="466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File Number)</w:t>
            </w:r>
          </w:p>
        </w:tc>
        <w:tc>
          <w:tcPr>
            <w:tcW w:w="1900" w:type="dxa"/>
            <w:vAlign w:val="bottom"/>
          </w:tcPr>
          <w:p>
            <w:pPr>
              <w:jc w:val="center"/>
              <w:ind w:left="41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620" w:type="dxa"/>
            <w:vAlign w:val="bottom"/>
          </w:tcPr>
          <w:p>
            <w:pPr>
              <w:spacing w:after="0"/>
              <w:rPr>
                <w:sz w:val="24"/>
                <w:szCs w:val="24"/>
                <w:color w:val="auto"/>
              </w:rPr>
            </w:pPr>
          </w:p>
        </w:tc>
        <w:tc>
          <w:tcPr>
            <w:tcW w:w="466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230 Park Avenue</w:t>
            </w:r>
          </w:p>
        </w:tc>
        <w:tc>
          <w:tcPr>
            <w:tcW w:w="1900" w:type="dxa"/>
            <w:vAlign w:val="bottom"/>
          </w:tcPr>
          <w:p>
            <w:pPr>
              <w:spacing w:after="0"/>
              <w:rPr>
                <w:sz w:val="24"/>
                <w:szCs w:val="24"/>
                <w:color w:val="auto"/>
              </w:rPr>
            </w:pPr>
          </w:p>
        </w:tc>
      </w:tr>
      <w:tr>
        <w:trPr>
          <w:trHeight w:val="216"/>
        </w:trPr>
        <w:tc>
          <w:tcPr>
            <w:tcW w:w="2620" w:type="dxa"/>
            <w:vAlign w:val="bottom"/>
          </w:tcPr>
          <w:p>
            <w:pPr>
              <w:spacing w:after="0"/>
              <w:rPr>
                <w:sz w:val="18"/>
                <w:szCs w:val="18"/>
                <w:color w:val="auto"/>
              </w:rPr>
            </w:pPr>
          </w:p>
        </w:tc>
        <w:tc>
          <w:tcPr>
            <w:tcW w:w="466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Suite 3350</w:t>
            </w:r>
          </w:p>
        </w:tc>
        <w:tc>
          <w:tcPr>
            <w:tcW w:w="1900" w:type="dxa"/>
            <w:vAlign w:val="bottom"/>
          </w:tcPr>
          <w:p>
            <w:pPr>
              <w:spacing w:after="0"/>
              <w:rPr>
                <w:sz w:val="18"/>
                <w:szCs w:val="18"/>
                <w:color w:val="auto"/>
              </w:rPr>
            </w:pPr>
          </w:p>
        </w:tc>
      </w:tr>
      <w:tr>
        <w:trPr>
          <w:trHeight w:val="216"/>
        </w:trPr>
        <w:tc>
          <w:tcPr>
            <w:tcW w:w="2620" w:type="dxa"/>
            <w:vAlign w:val="bottom"/>
          </w:tcPr>
          <w:p>
            <w:pPr>
              <w:spacing w:after="0"/>
              <w:rPr>
                <w:sz w:val="18"/>
                <w:szCs w:val="18"/>
                <w:color w:val="auto"/>
              </w:rPr>
            </w:pPr>
          </w:p>
        </w:tc>
        <w:tc>
          <w:tcPr>
            <w:tcW w:w="4660" w:type="dxa"/>
            <w:vAlign w:val="bottom"/>
          </w:tcPr>
          <w:p>
            <w:pPr>
              <w:jc w:val="center"/>
              <w:ind w:right="170"/>
              <w:spacing w:after="0"/>
              <w:rPr>
                <w:sz w:val="20"/>
                <w:szCs w:val="20"/>
                <w:color w:val="auto"/>
              </w:rPr>
            </w:pPr>
            <w:r>
              <w:rPr>
                <w:rFonts w:ascii="Arial" w:cs="Arial" w:eastAsia="Arial" w:hAnsi="Arial"/>
                <w:sz w:val="18"/>
                <w:szCs w:val="18"/>
                <w:b w:val="1"/>
                <w:bCs w:val="1"/>
                <w:color w:val="auto"/>
                <w:w w:val="92"/>
              </w:rPr>
              <w:t>New York, New York 10169</w:t>
            </w:r>
          </w:p>
        </w:tc>
        <w:tc>
          <w:tcPr>
            <w:tcW w:w="1900" w:type="dxa"/>
            <w:vAlign w:val="bottom"/>
          </w:tcPr>
          <w:p>
            <w:pPr>
              <w:spacing w:after="0"/>
              <w:rPr>
                <w:sz w:val="18"/>
                <w:szCs w:val="18"/>
                <w:color w:val="auto"/>
              </w:rPr>
            </w:pPr>
          </w:p>
        </w:tc>
      </w:tr>
      <w:tr>
        <w:trPr>
          <w:trHeight w:val="234"/>
        </w:trPr>
        <w:tc>
          <w:tcPr>
            <w:tcW w:w="2620" w:type="dxa"/>
            <w:vAlign w:val="bottom"/>
          </w:tcPr>
          <w:p>
            <w:pPr>
              <w:spacing w:after="0"/>
              <w:rPr>
                <w:sz w:val="20"/>
                <w:szCs w:val="20"/>
                <w:color w:val="auto"/>
              </w:rPr>
            </w:pPr>
          </w:p>
        </w:tc>
        <w:tc>
          <w:tcPr>
            <w:tcW w:w="466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(Address of principal executive offices) (Zip Code)</w:t>
            </w:r>
          </w:p>
        </w:tc>
        <w:tc>
          <w:tcPr>
            <w:tcW w:w="1900" w:type="dxa"/>
            <w:vAlign w:val="bottom"/>
          </w:tcPr>
          <w:p>
            <w:pPr>
              <w:spacing w:after="0"/>
              <w:rPr>
                <w:sz w:val="20"/>
                <w:szCs w:val="20"/>
                <w:color w:val="auto"/>
              </w:rPr>
            </w:pPr>
          </w:p>
        </w:tc>
      </w:tr>
      <w:tr>
        <w:trPr>
          <w:trHeight w:val="414"/>
        </w:trPr>
        <w:tc>
          <w:tcPr>
            <w:tcW w:w="2620" w:type="dxa"/>
            <w:vAlign w:val="bottom"/>
          </w:tcPr>
          <w:p>
            <w:pPr>
              <w:spacing w:after="0"/>
              <w:rPr>
                <w:sz w:val="24"/>
                <w:szCs w:val="24"/>
                <w:color w:val="auto"/>
              </w:rPr>
            </w:pPr>
          </w:p>
        </w:tc>
        <w:tc>
          <w:tcPr>
            <w:tcW w:w="466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(646) 885-8505</w:t>
            </w:r>
          </w:p>
        </w:tc>
        <w:tc>
          <w:tcPr>
            <w:tcW w:w="1900" w:type="dxa"/>
            <w:vAlign w:val="bottom"/>
          </w:tcPr>
          <w:p>
            <w:pPr>
              <w:spacing w:after="0"/>
              <w:rPr>
                <w:sz w:val="24"/>
                <w:szCs w:val="24"/>
                <w:color w:val="auto"/>
              </w:rPr>
            </w:pPr>
          </w:p>
        </w:tc>
      </w:tr>
      <w:tr>
        <w:trPr>
          <w:trHeight w:val="234"/>
        </w:trPr>
        <w:tc>
          <w:tcPr>
            <w:tcW w:w="2620" w:type="dxa"/>
            <w:vAlign w:val="bottom"/>
          </w:tcPr>
          <w:p>
            <w:pPr>
              <w:spacing w:after="0"/>
              <w:rPr>
                <w:sz w:val="20"/>
                <w:szCs w:val="20"/>
                <w:color w:val="auto"/>
              </w:rPr>
            </w:pPr>
          </w:p>
        </w:tc>
        <w:tc>
          <w:tcPr>
            <w:tcW w:w="466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(Registrant’s telephone number, include area code)</w:t>
            </w:r>
          </w:p>
        </w:tc>
        <w:tc>
          <w:tcPr>
            <w:tcW w:w="19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498" w:lineRule="auto"/>
        <w:tabs>
          <w:tab w:leader="none" w:pos="44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Title of each class:</w:t>
            </w:r>
          </w:p>
        </w:tc>
        <w:tc>
          <w:tcPr>
            <w:tcW w:w="2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24"/>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$0.0001 par value</w:t>
            </w:r>
          </w:p>
        </w:tc>
        <w:tc>
          <w:tcPr>
            <w:tcW w:w="120" w:type="dxa"/>
            <w:vAlign w:val="bottom"/>
          </w:tcPr>
          <w:p>
            <w:pPr>
              <w:spacing w:after="0"/>
              <w:rPr>
                <w:sz w:val="19"/>
                <w:szCs w:val="19"/>
                <w:color w:val="auto"/>
              </w:rPr>
            </w:pPr>
          </w:p>
        </w:tc>
        <w:tc>
          <w:tcPr>
            <w:tcW w:w="2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YMAB</w:t>
            </w:r>
          </w:p>
        </w:tc>
        <w:tc>
          <w:tcPr>
            <w:tcW w:w="1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605155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September 13, 2021, Y-mAbs Therapeutics, Inc., (the “Company”) issued a press release announcing that its partner SciClone Pharmaceuticals (Holdings) Limited has been granted priority review of the Biologics License Application for DANYELZA® (naxitamab-gqgk) for the treatment of patients with relapsed/refractory high-risk neuroblastoma by the Center for Drug Evaluation of China’s National Medical Products Administration. A copy of the press release is attached hereto as Exhibit 99.1.</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information furnished pursuant to Item 8.01 on this Form 8-K, including Exhibit 99.1 attached hereto, shall not be deemed “filed” for purposes of Section 18 of the Securities Exchange Act of 1934, as amended (the “Exchange Act”), or otherwise subject to the liabilities of that section, nor shall it be deemed incorporated by reference into any other filing under the Securities Act or the Exchange Act, except as expressly set forth by specific reference in such a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100" w:type="dxa"/>
            <w:vAlign w:val="bottom"/>
            <w:gridSpan w:val="3"/>
          </w:tcPr>
          <w:p>
            <w:pPr>
              <w:ind w:left="160"/>
              <w:spacing w:after="0"/>
              <w:rPr>
                <w:sz w:val="20"/>
                <w:szCs w:val="20"/>
                <w:color w:val="auto"/>
              </w:rPr>
            </w:pPr>
            <w:r>
              <w:rPr>
                <w:rFonts w:ascii="Arial" w:cs="Arial" w:eastAsia="Arial" w:hAnsi="Arial"/>
                <w:sz w:val="18"/>
                <w:szCs w:val="18"/>
                <w:color w:val="auto"/>
              </w:rPr>
              <w:t>(d) Exhibits</w:t>
            </w:r>
          </w:p>
        </w:tc>
      </w:tr>
      <w:tr>
        <w:trPr>
          <w:trHeight w:val="445"/>
        </w:trPr>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Exhibit No.</w:t>
            </w:r>
          </w:p>
        </w:tc>
        <w:tc>
          <w:tcPr>
            <w:tcW w:w="220" w:type="dxa"/>
            <w:vAlign w:val="bottom"/>
          </w:tcPr>
          <w:p>
            <w:pPr>
              <w:spacing w:after="0"/>
              <w:rPr>
                <w:sz w:val="24"/>
                <w:szCs w:val="24"/>
                <w:color w:val="auto"/>
              </w:rPr>
            </w:pPr>
          </w:p>
        </w:tc>
        <w:tc>
          <w:tcPr>
            <w:tcW w:w="9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114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220" w:type="dxa"/>
            <w:vAlign w:val="bottom"/>
          </w:tcPr>
          <w:p>
            <w:pPr>
              <w:spacing w:after="0"/>
              <w:rPr>
                <w:sz w:val="24"/>
                <w:szCs w:val="24"/>
                <w:color w:val="auto"/>
              </w:rPr>
            </w:pPr>
          </w:p>
        </w:tc>
        <w:tc>
          <w:tcPr>
            <w:tcW w:w="988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dated September 13, 2021 issued by Y-mAbs Therapeutics, Inc.</w:t>
              </w:r>
            </w:hyperlink>
          </w:p>
        </w:tc>
      </w:tr>
      <w:tr>
        <w:trPr>
          <w:trHeight w:val="453"/>
        </w:trPr>
        <w:tc>
          <w:tcPr>
            <w:tcW w:w="320" w:type="dxa"/>
            <w:vAlign w:val="bottom"/>
            <w:tcBorders>
              <w:top w:val="single" w:sz="8" w:color="0000EE"/>
            </w:tcBorders>
          </w:tcPr>
          <w:p>
            <w:pPr>
              <w:spacing w:after="0"/>
              <w:rPr>
                <w:sz w:val="20"/>
                <w:szCs w:val="20"/>
                <w:color w:val="auto"/>
              </w:rPr>
            </w:pPr>
            <w:r>
              <w:rPr>
                <w:rFonts w:ascii="Arial" w:cs="Arial" w:eastAsia="Arial" w:hAnsi="Arial"/>
                <w:sz w:val="18"/>
                <w:szCs w:val="18"/>
                <w:color w:val="auto"/>
                <w:w w:val="99"/>
              </w:rPr>
              <w:t>104</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6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Interactive Data File (embedded within the Inline XBRL document).</w:t>
            </w:r>
          </w:p>
        </w:tc>
        <w:tc>
          <w:tcPr>
            <w:tcW w:w="4220" w:type="dxa"/>
            <w:vAlign w:val="bottom"/>
          </w:tcPr>
          <w:p>
            <w:pPr>
              <w:spacing w:after="0"/>
              <w:rPr>
                <w:sz w:val="24"/>
                <w:szCs w:val="24"/>
                <w:color w:val="auto"/>
              </w:rPr>
            </w:pPr>
          </w:p>
        </w:tc>
      </w:tr>
      <w:tr>
        <w:trPr>
          <w:trHeight w:val="675"/>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6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p>
        </w:tc>
        <w:tc>
          <w:tcPr>
            <w:tcW w:w="7480" w:type="dxa"/>
            <w:vAlign w:val="bottom"/>
            <w:gridSpan w:val="2"/>
          </w:tcPr>
          <w:p>
            <w:pPr>
              <w:ind w:left="1880"/>
              <w:spacing w:after="0"/>
              <w:rPr>
                <w:sz w:val="20"/>
                <w:szCs w:val="20"/>
                <w:color w:val="auto"/>
              </w:rPr>
            </w:pPr>
            <w:r>
              <w:rPr>
                <w:rFonts w:ascii="Arial" w:cs="Arial" w:eastAsia="Arial" w:hAnsi="Arial"/>
                <w:sz w:val="18"/>
                <w:szCs w:val="18"/>
                <w:color w:val="auto"/>
              </w:rPr>
              <w:t>Y-MABS THERAPEUTICS, INC.</w:t>
            </w:r>
          </w:p>
        </w:tc>
      </w:tr>
      <w:tr>
        <w:trPr>
          <w:trHeight w:val="432"/>
        </w:trPr>
        <w:tc>
          <w:tcPr>
            <w:tcW w:w="3760" w:type="dxa"/>
            <w:vAlign w:val="bottom"/>
          </w:tcPr>
          <w:p>
            <w:pPr>
              <w:spacing w:after="0"/>
              <w:rPr>
                <w:sz w:val="20"/>
                <w:szCs w:val="20"/>
                <w:color w:val="auto"/>
              </w:rPr>
            </w:pPr>
            <w:r>
              <w:rPr>
                <w:rFonts w:ascii="Arial" w:cs="Arial" w:eastAsia="Arial" w:hAnsi="Arial"/>
                <w:sz w:val="18"/>
                <w:szCs w:val="18"/>
                <w:color w:val="auto"/>
              </w:rPr>
              <w:t>Date: September 13, 2021</w:t>
            </w:r>
          </w:p>
        </w:tc>
        <w:tc>
          <w:tcPr>
            <w:tcW w:w="7480" w:type="dxa"/>
            <w:vAlign w:val="bottom"/>
            <w:gridSpan w:val="2"/>
          </w:tcPr>
          <w:p>
            <w:pPr>
              <w:ind w:left="1880"/>
              <w:spacing w:after="0"/>
              <w:rPr>
                <w:sz w:val="20"/>
                <w:szCs w:val="20"/>
                <w:color w:val="auto"/>
              </w:rPr>
            </w:pPr>
            <w:r>
              <w:rPr>
                <w:rFonts w:ascii="Arial" w:cs="Arial" w:eastAsia="Arial" w:hAnsi="Arial"/>
                <w:sz w:val="18"/>
                <w:szCs w:val="18"/>
                <w:color w:val="auto"/>
              </w:rPr>
              <w:t>By: /s/ Thomas Gad</w:t>
            </w:r>
          </w:p>
        </w:tc>
      </w:tr>
      <w:tr>
        <w:trPr>
          <w:trHeight w:val="195"/>
        </w:trPr>
        <w:tc>
          <w:tcPr>
            <w:tcW w:w="37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Thomas Gad</w:t>
            </w:r>
          </w:p>
        </w:tc>
      </w:tr>
      <w:tr>
        <w:trPr>
          <w:trHeight w:val="216"/>
        </w:trPr>
        <w:tc>
          <w:tcPr>
            <w:tcW w:w="37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w w:val="95"/>
              </w:rPr>
              <w:t>Founder, Chairman, President and Head of Business Development &amp;</w:t>
            </w:r>
          </w:p>
        </w:tc>
      </w:tr>
      <w:tr>
        <w:trPr>
          <w:trHeight w:val="230"/>
        </w:trPr>
        <w:tc>
          <w:tcPr>
            <w:tcW w:w="37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Strategy</w:t>
            </w:r>
          </w:p>
        </w:tc>
      </w:tr>
      <w:tr>
        <w:trPr>
          <w:trHeight w:val="675"/>
        </w:trPr>
        <w:tc>
          <w:tcPr>
            <w:tcW w:w="37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165100</wp:posOffset>
            </wp:positionV>
            <wp:extent cx="2957195" cy="548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5719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Y-mAbs Announces Priority Review of BLA for DANYELZA® (naxitamab-gqgk) in China</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333333"/>
        </w:rPr>
        <w:t>New York, NY, September 13, 2021 (GLOBE NEWSWIRE) –Y-mAbs Therapeutics, Inc. (“Y-mAbs” or the “Company”), NASDAQ: YMAB), a commercial-stage biopharmaceutical company focused on the development and commercialization of novel, antibody-based therapeutic products for the treatment of cancer, today announced that its partner SciClone Pharmaceuticals (Holdings) Limited (“SciClone Pharmaceuticals”) has been granted priority review of the Biologics License Application (“BLA”) for DANYELZA® (naxitamab-gqgk) for the treatment of patients with relapsed/refractory high-risk neuroblastoma by the Center for Drug Evaluation (“CDE”) of China’s National Medical Products Administration (“NMPA”).</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pleased to see SciClone Pharmaceuticals receive priority review of the DANYELZA BLA in China. Priority review in China is intended to expedite review and approval, which means that we could potentially be facing approval and launch of DANYELZA in China as soon as the first quarter of 2022,” commented Thomas Gad, founder, Chairman and President at Y-mAbs.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Dr. Claus Moller, Chief Executive Officer, continued, “DANYELZA was recently prescribed for the first time in China, and we were excited to learn that the first patient had received treatment at the Lecheng Branch of Hainan Women and Children's Medical Center in Hainan Boao Lecheng International Medical Tourism Pilot Zone.”</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Researchers at MSK developed DANYELZA®, which is exclusively licensed by MSK to Y-mAbs. As a result of this licensing arrangement, MSK has institutional financial interests in the product.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DANYELZA® (naxitamab-gqgk)</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DANYELZA® (naxitamab-gqgk) is indicated, in combination with granulocyte-macrophage colony-stimulating factor (“GM-CSF”), for the treatment of pediatric patients 1 year of age and older and adult patients with relapsed or refractory high-risk neuroblastoma in the bone or bone marrow who have demonstrated a partial response, minor response, or stable disease to prior therapy. This indication was approved under accelerated approval based on overall response rate and duration of response. Continued approval for this indication may be contingent upon verification and description of clinical benefits in a confirmatory trial. DANYELZA® includes a Boxed Warning for serious infusion-related reactions, such as cardiac arrest and anaphylaxis, and neurotoxicity, such as severe neuropathic pain and transverse myelitis. See full Prescribing Information for complete Boxed Warning and other important safety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Y-mAbs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Y-mAbs is a commercial-stage biopharmaceutical company focused on the development and commercialization of novel, antibody-based therapeutic products for the treatment of cancer. The Company has a broad and advanced product pipeline, including one FDA approved product, DANYELZA® (naxitamab-gqgk), which targets tumors that express GD2, and one pivotal-stage product candidate, omburtamab, which targets tumors that express B7-H3.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4357370</wp:posOffset>
            </wp:positionH>
            <wp:positionV relativeFrom="page">
              <wp:posOffset>586105</wp:posOffset>
            </wp:positionV>
            <wp:extent cx="2957195" cy="548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957195" cy="548640"/>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Such statements include, but are not limited to, statements about our business model and development, commercialization and product distribution plans; current and future clinical and pre-clinical studies and our research and development programs; expectations related to the timing of the initiation and completion of regulatory submissions; regulatory, marketing and reimbursement approvals; rate and degree of market acceptance and clinical utility as well as pricing and reimbursement levels; retaining and hiring key employees; our commercialization, marketing and manufacturing capabilities and strategy; our intellectual property position and strategy; additional product candidates and technologies; collaborations or strategic partnerships and the potential benefits thereof; expectations related to the use of our cash and cash equivalents, and the need for, timing and amount of any future financing transaction; our financial performance, including our estimates regarding revenues, expenses, capital expenditure requirements; developments relating to our competitors and our industry; and other statements that are not historical facts. Words such as ‘‘anticipate,’’ ‘‘believe,’’ “contemplate,” ‘‘continue,’’ ‘‘could,’’ ‘‘estimate,’’ ‘‘expect,’’ “hope,” ‘‘intend,’’ ‘‘may,’’ ‘‘might,’’ ‘‘plan,’’ ‘‘potential,’’ ‘‘predict,’’ ‘‘project,’’ ‘‘should,’’ ‘‘target,’’ “will”, ‘‘would’’ and similar expressions are intended to identify forward-looking statements, although not all forward-looking statements contain these identifying words. Our product candidates and related technologies are novel approaches to cancer treatment that present significant challenges. Actual results may differ materially from those indicated by such forward-looking statements as a result of various factors, including but not limited to: risks associated with our financial condition and need for additional capital; risks associated with our development work; cost and success of our product development activities and clinical trials; the risks of delay in the timing of our regulatory submissions or failure to receive approval of our drug candidates; the risks related to commercializing any approved pharmaceutical product including the rate and degree of market acceptance of our product candidates; development of our sales and marketing capabilities and risks associated with failure to obtain sufficient reimbursement for our products; the risks related to our dependence on third parties including for conduct of clinical testing and product manufacture; our inability to enter into partnerships; the risks related to government regulation; risks related to market approval, risks associated with protection of our intellectual property rights; risks related to employee matters and managing growth; risks related to our common stock, risks associated with the pandemic caused by the coronavirus known as COVID-19, including the emergence of variants such as the Delta variant, and other risks and uncertainties affecting the Company including those described in the "Risk Factors" section included in our Annual Report on Form 10-K for the year ended December 31, 2020 filed with the SEC and in our other SEC filings. Any forward-looking statements contained in this press release speak only as of the date hereof, and the Company undertakes no obligation to update any forward-looking statement, whether as a result of new information, future events or otherwise.</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“DANYELZA” and “Y-mAbs” are registered trademarks of Y-mAbs Therapeutics,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Y-mAbs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230 Park Avenue, Suite 3350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10169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+1 646 885 8505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E-mail: info@ymabs.com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2021-09-13T09:09:18Z</dcterms:created>
  <dcterms:modified xsi:type="dcterms:W3CDTF">2021-09-13T09:09:18Z</dcterms:modified>
</cp:coreProperties>
</file>