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64770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8" w:lineRule="exact"/>
        <w:rPr>
          <w:sz w:val="24"/>
          <w:szCs w:val="24"/>
          <w:color w:val="auto"/>
        </w:rPr>
      </w:pPr>
    </w:p>
    <w:p>
      <w:pPr>
        <w:ind w:left="400" w:hanging="356"/>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6" w:lineRule="exact"/>
        <w:rPr>
          <w:sz w:val="24"/>
          <w:szCs w:val="24"/>
          <w:color w:val="auto"/>
        </w:rPr>
      </w:pPr>
    </w:p>
    <w:p>
      <w:pPr>
        <w:ind w:left="400" w:hanging="356"/>
        <w:spacing w:after="0"/>
        <w:tabs>
          <w:tab w:leader="none" w:pos="4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40"/>
        <w:spacing w:after="0"/>
        <w:tabs>
          <w:tab w:leader="none" w:pos="5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Y-mAbs Therapeutics,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64770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p>
      <w:pPr>
        <w:spacing w:after="0" w:line="228"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47</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4619612</w:t>
      </w:r>
    </w:p>
    <w:p>
      <w:pPr>
        <w:spacing w:after="0" w:line="162" w:lineRule="exact"/>
        <w:rPr>
          <w:sz w:val="24"/>
          <w:szCs w:val="24"/>
          <w:color w:val="auto"/>
        </w:rPr>
      </w:pPr>
    </w:p>
    <w:p>
      <w:pPr>
        <w:sectPr>
          <w:pgSz w:w="11900" w:h="16838" w:orient="portrait"/>
          <w:cols w:equalWidth="0" w:num="2">
            <w:col w:w="5720" w:space="720"/>
            <w:col w:w="2579"/>
          </w:cols>
          <w:pgMar w:left="1440" w:top="233" w:right="1440" w:bottom="1440" w:gutter="0" w:footer="0" w:header="0"/>
          <w:type w:val="continuous"/>
        </w:sectPr>
      </w:pPr>
    </w:p>
    <w:p>
      <w:pPr>
        <w:spacing w:after="0" w:line="1" w:lineRule="exact"/>
        <w:rPr>
          <w:sz w:val="24"/>
          <w:szCs w:val="24"/>
          <w:color w:val="auto"/>
        </w:rPr>
      </w:pPr>
    </w:p>
    <w:p>
      <w:pPr>
        <w:ind w:left="140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3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5520" w:space="720"/>
            <w:col w:w="2779"/>
          </w:cols>
          <w:pgMar w:left="1440" w:top="233"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230 Park Avenue</w:t>
      </w:r>
    </w:p>
    <w:p>
      <w:pPr>
        <w:jc w:val="center"/>
        <w:ind w:right="19"/>
        <w:spacing w:after="0" w:line="226" w:lineRule="auto"/>
        <w:rPr>
          <w:sz w:val="20"/>
          <w:szCs w:val="20"/>
          <w:color w:val="auto"/>
        </w:rPr>
      </w:pPr>
      <w:r>
        <w:rPr>
          <w:rFonts w:ascii="Arial" w:cs="Arial" w:eastAsia="Arial" w:hAnsi="Arial"/>
          <w:sz w:val="14"/>
          <w:szCs w:val="14"/>
          <w:b w:val="1"/>
          <w:bCs w:val="1"/>
          <w:color w:val="auto"/>
        </w:rPr>
        <w:t>Suite 3350</w:t>
      </w:r>
    </w:p>
    <w:p>
      <w:pPr>
        <w:jc w:val="center"/>
        <w:ind w:right="19"/>
        <w:spacing w:after="0" w:line="221" w:lineRule="auto"/>
        <w:rPr>
          <w:sz w:val="20"/>
          <w:szCs w:val="20"/>
          <w:color w:val="auto"/>
        </w:rPr>
      </w:pPr>
      <w:r>
        <w:rPr>
          <w:rFonts w:ascii="Arial" w:cs="Arial" w:eastAsia="Arial" w:hAnsi="Arial"/>
          <w:sz w:val="14"/>
          <w:szCs w:val="14"/>
          <w:b w:val="1"/>
          <w:bCs w:val="1"/>
          <w:color w:val="auto"/>
        </w:rPr>
        <w:t>New York, NY 10169</w:t>
      </w:r>
    </w:p>
    <w:p>
      <w:pPr>
        <w:jc w:val="center"/>
        <w:ind w:right="19"/>
        <w:spacing w:after="0"/>
        <w:rPr>
          <w:sz w:val="20"/>
          <w:szCs w:val="20"/>
          <w:color w:val="auto"/>
        </w:rPr>
      </w:pPr>
      <w:r>
        <w:rPr>
          <w:rFonts w:ascii="Arial" w:cs="Arial" w:eastAsia="Arial" w:hAnsi="Arial"/>
          <w:sz w:val="13"/>
          <w:szCs w:val="13"/>
          <w:color w:val="auto"/>
        </w:rPr>
        <w:t>(Address of principal executive offices)</w:t>
      </w:r>
    </w:p>
    <w:p>
      <w:pPr>
        <w:jc w:val="center"/>
        <w:ind w:right="19"/>
        <w:spacing w:after="0"/>
        <w:rPr>
          <w:sz w:val="20"/>
          <w:szCs w:val="20"/>
          <w:color w:val="auto"/>
        </w:rPr>
      </w:pPr>
      <w:r>
        <w:rPr>
          <w:rFonts w:ascii="Arial" w:cs="Arial" w:eastAsia="Arial" w:hAnsi="Arial"/>
          <w:sz w:val="14"/>
          <w:szCs w:val="14"/>
          <w:color w:val="auto"/>
        </w:rPr>
        <w:t>(Zip Code)</w:t>
      </w:r>
    </w:p>
    <w:p>
      <w:pPr>
        <w:sectPr>
          <w:pgSz w:w="11900" w:h="16838" w:orient="portrait"/>
          <w:cols w:equalWidth="0" w:num="1">
            <w:col w:w="9019"/>
          </w:cols>
          <w:pgMar w:left="1440" w:top="233" w:right="1440" w:bottom="1440" w:gutter="0" w:footer="0" w:header="0"/>
          <w:type w:val="continuous"/>
        </w:sectPr>
      </w:pPr>
    </w:p>
    <w:p>
      <w:pPr>
        <w:spacing w:after="0" w:line="53" w:lineRule="exact"/>
        <w:rPr>
          <w:sz w:val="24"/>
          <w:szCs w:val="24"/>
          <w:color w:val="auto"/>
        </w:rPr>
      </w:pPr>
    </w:p>
    <w:p>
      <w:pPr>
        <w:jc w:val="center"/>
        <w:ind w:right="19"/>
        <w:spacing w:after="0" w:line="161" w:lineRule="exact"/>
        <w:rPr>
          <w:sz w:val="20"/>
          <w:szCs w:val="20"/>
          <w:color w:val="auto"/>
        </w:rPr>
      </w:pPr>
      <w:r>
        <w:rPr>
          <w:rFonts w:ascii="Arial" w:cs="Arial" w:eastAsia="Arial" w:hAnsi="Arial"/>
          <w:sz w:val="14"/>
          <w:szCs w:val="14"/>
          <w:b w:val="1"/>
          <w:bCs w:val="1"/>
          <w:color w:val="auto"/>
        </w:rPr>
        <w:t>(646)</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885</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8505</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2" w:lineRule="exact"/>
        <w:rPr>
          <w:sz w:val="24"/>
          <w:szCs w:val="24"/>
          <w:color w:val="auto"/>
        </w:rPr>
      </w:pPr>
    </w:p>
    <w:tbl>
      <w:tblPr>
        <w:tblLayout w:type="fixed"/>
        <w:tblInd w:w="940" w:type="dxa"/>
        <w:tblCellMar>
          <w:top w:w="0" w:type="dxa"/>
          <w:left w:w="0" w:type="dxa"/>
          <w:bottom w:w="0" w:type="dxa"/>
          <w:right w:w="0" w:type="dxa"/>
        </w:tblCellMar>
      </w:tblPr>
      <w:tr>
        <w:trPr>
          <w:trHeight w:val="135"/>
        </w:trPr>
        <w:tc>
          <w:tcPr>
            <w:tcW w:w="3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Title of each class:</w:t>
            </w:r>
          </w:p>
        </w:tc>
        <w:tc>
          <w:tcPr>
            <w:tcW w:w="11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Trading Symbol</w:t>
            </w:r>
          </w:p>
        </w:tc>
        <w:tc>
          <w:tcPr>
            <w:tcW w:w="2900" w:type="dxa"/>
            <w:vAlign w:val="bottom"/>
          </w:tcPr>
          <w:p>
            <w:pPr>
              <w:jc w:val="center"/>
              <w:spacing w:after="0"/>
              <w:rPr>
                <w:sz w:val="20"/>
                <w:szCs w:val="20"/>
                <w:color w:val="auto"/>
              </w:rPr>
            </w:pPr>
            <w:r>
              <w:rPr>
                <w:rFonts w:ascii="Arial" w:cs="Arial" w:eastAsia="Arial" w:hAnsi="Arial"/>
                <w:sz w:val="11"/>
                <w:szCs w:val="11"/>
                <w:b w:val="1"/>
                <w:bCs w:val="1"/>
                <w:color w:val="auto"/>
                <w:w w:val="87"/>
              </w:rPr>
              <w:t>Name of each exchange on which registered:</w:t>
            </w:r>
          </w:p>
        </w:tc>
      </w:tr>
      <w:tr>
        <w:trPr>
          <w:trHeight w:val="176"/>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$0.0001 par value</w:t>
            </w:r>
          </w:p>
        </w:tc>
        <w:tc>
          <w:tcPr>
            <w:tcW w:w="12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20" w:type="dxa"/>
            <w:vAlign w:val="bottom"/>
          </w:tcPr>
          <w:p>
            <w:pPr>
              <w:spacing w:after="0"/>
              <w:rPr>
                <w:sz w:val="15"/>
                <w:szCs w:val="15"/>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124460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9" w:lineRule="exact"/>
        <w:rPr>
          <w:sz w:val="24"/>
          <w:szCs w:val="24"/>
          <w:color w:val="auto"/>
        </w:rPr>
      </w:pPr>
    </w:p>
    <w:p>
      <w:pPr>
        <w:ind w:left="40" w:right="199"/>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left="40" w:right="99"/>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left="40" w:right="339"/>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9019"/>
          </w:cols>
          <w:pgMar w:left="1440" w:top="233" w:right="1440" w:bottom="1440" w:gutter="0" w:footer="0" w:header="0"/>
          <w:type w:val="continuous"/>
        </w:sectPr>
      </w:pPr>
    </w:p>
    <w:p>
      <w:pPr>
        <w:spacing w:after="0" w:line="47" w:lineRule="exact"/>
        <w:rPr>
          <w:sz w:val="24"/>
          <w:szCs w:val="24"/>
          <w:color w:val="auto"/>
        </w:rPr>
      </w:pPr>
    </w:p>
    <w:p>
      <w:pPr>
        <w:ind w:left="15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500" w:space="720"/>
            <w:col w:w="2799"/>
          </w:cols>
          <w:pgMar w:left="1440" w:top="233" w:right="1440" w:bottom="1440" w:gutter="0" w:footer="0" w:header="0"/>
          <w:type w:val="continuous"/>
        </w:sectPr>
      </w:pPr>
    </w:p>
    <w:p>
      <w:pPr>
        <w:ind w:left="15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5180" w:space="720"/>
            <w:col w:w="3119"/>
          </w:cols>
          <w:pgMar w:left="1440" w:top="233" w:right="1440" w:bottom="1440" w:gutter="0" w:footer="0" w:header="0"/>
          <w:type w:val="continuous"/>
        </w:sectPr>
      </w:pPr>
    </w:p>
    <w:p>
      <w:pPr>
        <w:ind w:left="40" w:right="1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3" w:lineRule="exact"/>
        <w:rPr>
          <w:sz w:val="24"/>
          <w:szCs w:val="24"/>
          <w:color w:val="auto"/>
        </w:rPr>
      </w:pPr>
    </w:p>
    <w:p>
      <w:pPr>
        <w:ind w:left="700"/>
        <w:spacing w:after="0"/>
        <w:rPr>
          <w:sz w:val="20"/>
          <w:szCs w:val="20"/>
          <w:color w:val="auto"/>
        </w:rPr>
      </w:pPr>
      <w:r>
        <w:rPr>
          <w:rFonts w:ascii="Arial" w:cs="Arial" w:eastAsia="Arial" w:hAnsi="Arial"/>
          <w:sz w:val="14"/>
          <w:szCs w:val="14"/>
          <w:color w:val="auto"/>
        </w:rPr>
        <w:t>There were 39,757,623 shares of Common Stock ($0.0001 par value) outstanding as of May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398145</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912495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that involve substantial risks and uncertainties. All statements, other than statements of historical facts,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potential impact of the COVID-19 pandemic,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25" w:lineRule="exact"/>
        <w:rPr>
          <w:sz w:val="20"/>
          <w:szCs w:val="20"/>
          <w:color w:val="auto"/>
        </w:rPr>
      </w:pPr>
    </w:p>
    <w:p>
      <w:pPr>
        <w:ind w:left="1020" w:right="219" w:hanging="328"/>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our plans to develop and commercialize our two lead product candidates and other product candidates, including the potential clinical efficacy and other benefits thereof;</w:t>
      </w:r>
    </w:p>
    <w:p>
      <w:pPr>
        <w:spacing w:after="0" w:line="123" w:lineRule="exact"/>
        <w:rPr>
          <w:rFonts w:ascii="Arial" w:cs="Arial" w:eastAsia="Arial" w:hAnsi="Arial"/>
          <w:sz w:val="16"/>
          <w:szCs w:val="16"/>
          <w:color w:val="auto"/>
        </w:rPr>
      </w:pPr>
    </w:p>
    <w:p>
      <w:pPr>
        <w:ind w:left="1020" w:right="139" w:hanging="328"/>
        <w:spacing w:after="0" w:line="296"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Biological License Application, or BLA, submission and approval by the U.S. Food and Drug Administration, or FDA, and equivalent foreign regulatory authorities and of the anticipated results;</w:t>
      </w:r>
    </w:p>
    <w:p>
      <w:pPr>
        <w:spacing w:after="0" w:line="161" w:lineRule="exact"/>
        <w:rPr>
          <w:rFonts w:ascii="Arial" w:cs="Arial" w:eastAsia="Arial" w:hAnsi="Arial"/>
          <w:sz w:val="16"/>
          <w:szCs w:val="16"/>
          <w:color w:val="auto"/>
        </w:rPr>
      </w:pPr>
    </w:p>
    <w:p>
      <w:pPr>
        <w:ind w:left="1020" w:right="79" w:hanging="328"/>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148" w:lineRule="exact"/>
        <w:rPr>
          <w:rFonts w:ascii="Arial" w:cs="Arial" w:eastAsia="Arial" w:hAnsi="Arial"/>
          <w:sz w:val="16"/>
          <w:szCs w:val="16"/>
          <w:color w:val="auto"/>
        </w:rPr>
      </w:pPr>
    </w:p>
    <w:p>
      <w:pPr>
        <w:ind w:left="1020" w:right="299" w:hanging="328"/>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spacing w:after="0" w:line="170"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25" w:lineRule="exact"/>
        <w:rPr>
          <w:rFonts w:ascii="Arial" w:cs="Arial" w:eastAsia="Arial" w:hAnsi="Arial"/>
          <w:sz w:val="18"/>
          <w:szCs w:val="18"/>
          <w:color w:val="auto"/>
        </w:rPr>
      </w:pPr>
    </w:p>
    <w:p>
      <w:pPr>
        <w:ind w:left="1020" w:right="479" w:hanging="328"/>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remediation of material weaknesses in our internal control over financial reporting;</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1020" w:right="699" w:hanging="328"/>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intellectual property position and strategy and the scope of protection we are able to establish and maintain for the intellectual property rights covering our product candidates and technology;</w:t>
      </w:r>
    </w:p>
    <w:p>
      <w:pPr>
        <w:spacing w:after="0" w:line="123" w:lineRule="exact"/>
        <w:rPr>
          <w:rFonts w:ascii="Arial" w:cs="Arial" w:eastAsia="Arial" w:hAnsi="Arial"/>
          <w:sz w:val="16"/>
          <w:szCs w:val="16"/>
          <w:color w:val="auto"/>
        </w:rPr>
      </w:pPr>
    </w:p>
    <w:p>
      <w:pPr>
        <w:ind w:left="1020" w:right="959" w:hanging="328"/>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979" w:hanging="32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related to the use of our cash and cash equivalents, how long that cash is expected to last;</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225" w:lineRule="exact"/>
        <w:rPr>
          <w:rFonts w:ascii="Arial" w:cs="Arial" w:eastAsia="Arial" w:hAnsi="Arial"/>
          <w:sz w:val="18"/>
          <w:szCs w:val="18"/>
          <w:color w:val="auto"/>
        </w:rPr>
      </w:pPr>
    </w:p>
    <w:p>
      <w:pPr>
        <w:ind w:left="1020" w:right="739" w:hanging="32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1020" w:right="499" w:hanging="32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financial condition and results of operations from the global COVID-19 pandemic, including the pace of global economic recovery from the pandemic;</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1020" w:right="739" w:hanging="32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or the JOBS Act; and</w:t>
      </w:r>
    </w:p>
    <w:p>
      <w:pPr>
        <w:spacing w:after="0" w:line="170"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and our secondary public offering.</w:t>
      </w:r>
    </w:p>
    <w:p>
      <w:pPr>
        <w:spacing w:after="0" w:line="170"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w:t>
      </w:r>
    </w:p>
    <w:p>
      <w:pPr>
        <w:spacing w:after="0" w:line="177"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500" w:type="dxa"/>
            <w:vAlign w:val="bottom"/>
            <w:gridSpan w:val="4"/>
          </w:tcPr>
          <w:p>
            <w:pPr>
              <w:jc w:val="center"/>
              <w:ind w:right="19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tc>
        <w:tc>
          <w:tcPr>
            <w:tcW w:w="480" w:type="dxa"/>
            <w:vAlign w:val="bottom"/>
          </w:tcPr>
          <w:p>
            <w:pPr>
              <w:spacing w:after="0"/>
              <w:rPr>
                <w:sz w:val="19"/>
                <w:szCs w:val="19"/>
                <w:color w:val="auto"/>
              </w:rPr>
            </w:pPr>
          </w:p>
        </w:tc>
      </w:tr>
      <w:tr>
        <w:trPr>
          <w:trHeight w:val="399"/>
        </w:trPr>
        <w:tc>
          <w:tcPr>
            <w:tcW w:w="9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4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Consolidated Financial Statements</w:t>
              </w:r>
            </w:hyperlink>
            <w:r>
              <w:rPr>
                <w:rFonts w:ascii="Arial" w:cs="Arial" w:eastAsia="Arial" w:hAnsi="Arial"/>
                <w:sz w:val="18"/>
                <w:szCs w:val="18"/>
                <w:color w:val="000000"/>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spacing w:after="0"/>
              <w:rPr>
                <w:sz w:val="18"/>
                <w:szCs w:val="18"/>
                <w:color w:val="auto"/>
              </w:rPr>
            </w:pPr>
          </w:p>
        </w:tc>
        <w:tc>
          <w:tcPr>
            <w:tcW w:w="748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(unaudited) as of March 31, 2020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960" w:type="dxa"/>
            <w:vAlign w:val="bottom"/>
          </w:tcPr>
          <w:p>
            <w:pPr>
              <w:spacing w:after="0"/>
              <w:rPr>
                <w:sz w:val="16"/>
                <w:szCs w:val="16"/>
                <w:color w:val="auto"/>
              </w:rPr>
            </w:pPr>
          </w:p>
        </w:tc>
        <w:tc>
          <w:tcPr>
            <w:tcW w:w="738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Net Loss and Comprehensive Loss (unaudited) for the three months ended</w:t>
              </w:r>
            </w:hyperlink>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2020 and 2019</w:t>
              </w:r>
            </w:hyperlink>
          </w:p>
        </w:tc>
        <w:tc>
          <w:tcPr>
            <w:tcW w:w="550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60" w:type="dxa"/>
            <w:vAlign w:val="bottom"/>
          </w:tcPr>
          <w:p>
            <w:pPr>
              <w:spacing w:after="0"/>
              <w:rPr>
                <w:sz w:val="17"/>
                <w:szCs w:val="17"/>
                <w:color w:val="auto"/>
              </w:rPr>
            </w:pPr>
          </w:p>
        </w:tc>
        <w:tc>
          <w:tcPr>
            <w:tcW w:w="7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Changes in Stockholders’ Equity (unaudited) for the three months ended</w:t>
              </w:r>
            </w:hyperlink>
          </w:p>
        </w:tc>
        <w:tc>
          <w:tcPr>
            <w:tcW w:w="2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March 31, 2020 and 2019</w:t>
              </w:r>
            </w:hyperlink>
          </w:p>
        </w:tc>
        <w:tc>
          <w:tcPr>
            <w:tcW w:w="550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60" w:type="dxa"/>
            <w:vAlign w:val="bottom"/>
          </w:tcPr>
          <w:p>
            <w:pPr>
              <w:spacing w:after="0"/>
              <w:rPr>
                <w:sz w:val="17"/>
                <w:szCs w:val="17"/>
                <w:color w:val="auto"/>
              </w:rPr>
            </w:pPr>
          </w:p>
        </w:tc>
        <w:tc>
          <w:tcPr>
            <w:tcW w:w="7480" w:type="dxa"/>
            <w:vAlign w:val="bottom"/>
            <w:gridSpan w:val="7"/>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Cash Flows (unaudited) for the three months ended March 31, 2020 and</w:t>
              </w:r>
            </w:hyperlink>
          </w:p>
        </w:tc>
        <w:tc>
          <w:tcPr>
            <w:tcW w:w="4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2019</w:t>
              </w:r>
            </w:hyperlink>
          </w:p>
        </w:tc>
        <w:tc>
          <w:tcPr>
            <w:tcW w:w="1500" w:type="dxa"/>
            <w:vAlign w:val="bottom"/>
            <w:tcBorders>
              <w:top w:val="single" w:sz="8" w:color="0000EE"/>
            </w:tcBorders>
          </w:tcPr>
          <w:p>
            <w:pPr>
              <w:spacing w:after="0"/>
              <w:rPr>
                <w:sz w:val="17"/>
                <w:szCs w:val="17"/>
                <w:color w:val="auto"/>
              </w:rPr>
            </w:pPr>
          </w:p>
        </w:tc>
        <w:tc>
          <w:tcPr>
            <w:tcW w:w="5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22"/>
        </w:trPr>
        <w:tc>
          <w:tcPr>
            <w:tcW w:w="960" w:type="dxa"/>
            <w:vAlign w:val="bottom"/>
          </w:tcPr>
          <w:p>
            <w:pPr>
              <w:spacing w:after="0"/>
              <w:rPr>
                <w:sz w:val="19"/>
                <w:szCs w:val="19"/>
                <w:color w:val="auto"/>
              </w:rPr>
            </w:pPr>
          </w:p>
        </w:tc>
        <w:tc>
          <w:tcPr>
            <w:tcW w:w="748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500" w:type="dxa"/>
            <w:vAlign w:val="bottom"/>
            <w:gridSpan w:val="4"/>
          </w:tcPr>
          <w:p>
            <w:pPr>
              <w:jc w:val="center"/>
              <w:ind w:right="196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 — OTHER INFORMATION</w:t>
              </w:r>
            </w:hyperlink>
          </w:p>
        </w:tc>
        <w:tc>
          <w:tcPr>
            <w:tcW w:w="480" w:type="dxa"/>
            <w:vAlign w:val="bottom"/>
          </w:tcPr>
          <w:p>
            <w:pPr>
              <w:spacing w:after="0"/>
              <w:rPr>
                <w:sz w:val="24"/>
                <w:szCs w:val="24"/>
                <w:color w:val="auto"/>
              </w:rPr>
            </w:pPr>
          </w:p>
        </w:tc>
      </w:tr>
      <w:tr>
        <w:trPr>
          <w:trHeight w:val="418"/>
        </w:trPr>
        <w:tc>
          <w:tcPr>
            <w:tcW w:w="9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2.</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3.</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4.</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5.</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6.</w:t>
              </w:r>
            </w:hyperlink>
          </w:p>
        </w:tc>
        <w:tc>
          <w:tcPr>
            <w:tcW w:w="7480" w:type="dxa"/>
            <w:vAlign w:val="bottom"/>
            <w:gridSpan w:val="7"/>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2"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7"/>
          <w:szCs w:val="17"/>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r>
      <w:tr>
        <w:trPr>
          <w:trHeight w:val="142"/>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207,136</w:t>
            </w: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r>
      <w:tr>
        <w:trPr>
          <w:trHeight w:val="21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211,955</w:t>
            </w: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2,052</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194,074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216,366</w:t>
            </w:r>
          </w:p>
        </w:tc>
      </w:tr>
      <w:tr>
        <w:trPr>
          <w:trHeight w:val="203"/>
        </w:trPr>
        <w:tc>
          <w:tcPr>
            <w:tcW w:w="6980" w:type="dxa"/>
            <w:vAlign w:val="bottom"/>
          </w:tcPr>
          <w:p>
            <w:pPr>
              <w:spacing w:after="0" w:line="203" w:lineRule="exact"/>
              <w:rPr>
                <w:sz w:val="20"/>
                <w:szCs w:val="20"/>
                <w:color w:val="auto"/>
              </w:rPr>
            </w:pPr>
            <w:r>
              <w:rPr>
                <w:rFonts w:ascii="Arial" w:cs="Arial" w:eastAsia="Arial" w:hAnsi="Arial"/>
                <w:sz w:val="18"/>
                <w:szCs w:val="18"/>
                <w:color w:val="auto"/>
              </w:rPr>
              <w:t>LIABILITIES AND STOCKHOLDERS’ EQUITY</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10,260</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8,520</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liabilities, current portion</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1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w:t>
            </w: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Accrued milestone and royalty payments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long-term portion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w:t>
            </w: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9"/>
              </w:rPr>
              <w:t>Preferred stock, $0.0001 par value, 5,500,000 shares authorized at March 31, 2020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December 31, 2019; none issued at March 31, 2020 and December 31, 2019</w:t>
            </w: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$0.0001 par value, 100,000,000 shares authorized at March 31, 2020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39,757,623 and 39,728,416 shares issued at March 31, 2020 and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367,293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364,712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(192,042)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(165,863)</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198,903</w:t>
            </w:r>
          </w:p>
        </w:tc>
      </w:t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194,074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216,366</w:t>
            </w: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42"/>
        </w:trPr>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18,622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12,511</w:t>
            </w: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r>
      <w:tr>
        <w:trPr>
          <w:trHeight w:val="209"/>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16,253</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w:t>
            </w: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17"/>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(15,878)</w:t>
            </w:r>
          </w:p>
        </w:tc>
      </w:tr>
      <w:tr>
        <w:trPr>
          <w:trHeight w:val="203"/>
        </w:trPr>
        <w:tc>
          <w:tcPr>
            <w:tcW w:w="57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8"/>
              </w:rPr>
              <w:t>Net loss per share attributable to common stockholders, basic and diluted</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39,753,583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34,193,666</w:t>
            </w: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360" w:type="dxa"/>
            <w:vAlign w:val="bottom"/>
            <w:gridSpan w:val="4"/>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Paid-</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8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9"/>
                <w:szCs w:val="9"/>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34,193,666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$225,352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(84,835)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140,527</w:t>
            </w: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(15,934)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34,193,666</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(100,769)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125,513</w:t>
            </w:r>
          </w:p>
        </w:tc>
        <w:tc>
          <w:tcPr>
            <w:tcW w:w="0" w:type="dxa"/>
            <w:vAlign w:val="bottom"/>
          </w:tcPr>
          <w:p>
            <w:pPr>
              <w:spacing w:after="0"/>
              <w:rPr>
                <w:sz w:val="1"/>
                <w:szCs w:val="1"/>
                <w:color w:val="auto"/>
              </w:rPr>
            </w:pPr>
          </w:p>
        </w:tc>
      </w:tr>
      <w:tr>
        <w:trPr>
          <w:trHeight w:val="342"/>
        </w:trPr>
        <w:tc>
          <w:tcPr>
            <w:tcW w:w="3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4"/>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Paid-</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8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9"/>
                <w:szCs w:val="9"/>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39,728,416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$364,712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$(165,863)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25,778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(26,179)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(26,179)</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Balance March 31,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39,757,623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367,293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(192,042)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16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(26,179)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(15,934)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Foreign currency transactions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180" w:type="dxa"/>
            <w:vAlign w:val="bottom"/>
            <w:tcBorders>
              <w:bottom w:val="single" w:sz="8" w:color="CCEEFF"/>
            </w:tcBorders>
          </w:tcPr>
          <w:p>
            <w:pPr>
              <w:spacing w:after="0"/>
              <w:rPr>
                <w:sz w:val="18"/>
                <w:szCs w:val="18"/>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(13,596)</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147,871</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185,774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134,275</w:t>
            </w:r>
          </w:p>
        </w:tc>
        <w:tc>
          <w:tcPr>
            <w:tcW w:w="18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(unaudited)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left="40" w:right="559" w:firstLine="648"/>
        <w:spacing w:after="0" w:line="220" w:lineRule="exact"/>
        <w:rPr>
          <w:sz w:val="20"/>
          <w:szCs w:val="20"/>
          <w:color w:val="auto"/>
        </w:rPr>
      </w:pPr>
      <w:r>
        <w:rPr>
          <w:rFonts w:ascii="Arial" w:cs="Arial" w:eastAsia="Arial" w:hAnsi="Arial"/>
          <w:sz w:val="18"/>
          <w:szCs w:val="18"/>
          <w:color w:val="auto"/>
        </w:rPr>
        <w:t>Y</w:t>
      </w:r>
      <w:r>
        <w:rPr>
          <w:rFonts w:ascii="MS PGothic" w:cs="MS PGothic" w:eastAsia="MS PGothic" w:hAnsi="MS PGothic"/>
          <w:sz w:val="18"/>
          <w:szCs w:val="18"/>
          <w:color w:val="auto"/>
        </w:rPr>
        <w:t>‑</w:t>
      </w:r>
      <w:r>
        <w:rPr>
          <w:rFonts w:ascii="Arial" w:cs="Arial" w:eastAsia="Arial" w:hAnsi="Arial"/>
          <w:sz w:val="18"/>
          <w:szCs w:val="18"/>
          <w:color w:val="auto"/>
        </w:rPr>
        <w:t>mAbs Therapeutics, Inc. (“we,” “us,” “our,” the “Company,” or “Y</w:t>
      </w:r>
      <w:r>
        <w:rPr>
          <w:rFonts w:ascii="MS PGothic" w:cs="MS PGothic" w:eastAsia="MS PGothic" w:hAnsi="MS PGothic"/>
          <w:sz w:val="18"/>
          <w:szCs w:val="18"/>
          <w:color w:val="auto"/>
        </w:rPr>
        <w:t>‑</w:t>
      </w:r>
      <w:r>
        <w:rPr>
          <w:rFonts w:ascii="Arial" w:cs="Arial" w:eastAsia="Arial" w:hAnsi="Arial"/>
          <w:sz w:val="18"/>
          <w:szCs w:val="18"/>
          <w:color w:val="auto"/>
        </w:rPr>
        <w:t>mAbs”) is a late-stage clinical biopharmaceutical company focused on the development and commercialization of novel antibody-based therapeutic products for the treatment of cancer.</w:t>
      </w:r>
    </w:p>
    <w:p>
      <w:pPr>
        <w:spacing w:after="0" w:line="204" w:lineRule="exact"/>
        <w:rPr>
          <w:sz w:val="20"/>
          <w:szCs w:val="20"/>
          <w:color w:val="auto"/>
        </w:rPr>
      </w:pPr>
    </w:p>
    <w:p>
      <w:pPr>
        <w:ind w:left="40" w:right="159" w:firstLine="648"/>
        <w:spacing w:after="0" w:line="219" w:lineRule="exact"/>
        <w:rPr>
          <w:sz w:val="20"/>
          <w:szCs w:val="20"/>
          <w:color w:val="auto"/>
        </w:rPr>
      </w:pPr>
      <w:r>
        <w:rPr>
          <w:rFonts w:ascii="Arial" w:cs="Arial" w:eastAsia="Arial" w:hAnsi="Arial"/>
          <w:sz w:val="18"/>
          <w:szCs w:val="18"/>
          <w:color w:val="auto"/>
        </w:rPr>
        <w:t>We have entered into a worldwide license and research collaboration agreement (the “MSK License Agreement”) with Memorial Sloan</w:t>
      </w:r>
      <w:r>
        <w:rPr>
          <w:rFonts w:ascii="MS PGothic" w:cs="MS PGothic" w:eastAsia="MS PGothic" w:hAnsi="MS PGothic"/>
          <w:sz w:val="18"/>
          <w:szCs w:val="18"/>
          <w:color w:val="auto"/>
        </w:rPr>
        <w:t>‑</w:t>
      </w:r>
      <w:r>
        <w:rPr>
          <w:rFonts w:ascii="Arial" w:cs="Arial" w:eastAsia="Arial" w:hAnsi="Arial"/>
          <w:sz w:val="18"/>
          <w:szCs w:val="18"/>
          <w:color w:val="auto"/>
        </w:rPr>
        <w:t>Kettering Cancer Center (“MSK”), under which we obtained the exclusive rights to MSK’s rights to two clinical stage antibody</w:t>
      </w:r>
      <w:r>
        <w:rPr>
          <w:rFonts w:ascii="MS PGothic" w:cs="MS PGothic" w:eastAsia="MS PGothic" w:hAnsi="MS PGothic"/>
          <w:sz w:val="18"/>
          <w:szCs w:val="18"/>
          <w:color w:val="auto"/>
        </w:rPr>
        <w:t>‑</w:t>
      </w:r>
      <w:r>
        <w:rPr>
          <w:rFonts w:ascii="Arial" w:cs="Arial" w:eastAsia="Arial" w:hAnsi="Arial"/>
          <w:sz w:val="18"/>
          <w:szCs w:val="18"/>
          <w:color w:val="auto"/>
        </w:rPr>
        <w:t>based product development programs for the treatment of neuroblastoma and other oncology indications. The MSK License Agreement also includes rights to certain next</w:t>
      </w:r>
      <w:r>
        <w:rPr>
          <w:rFonts w:ascii="MS PGothic" w:cs="MS PGothic" w:eastAsia="MS PGothic" w:hAnsi="MS PGothic"/>
          <w:sz w:val="18"/>
          <w:szCs w:val="18"/>
          <w:color w:val="auto"/>
        </w:rPr>
        <w:t>‑</w:t>
      </w:r>
      <w:r>
        <w:rPr>
          <w:rFonts w:ascii="Arial" w:cs="Arial" w:eastAsia="Arial" w:hAnsi="Arial"/>
          <w:sz w:val="18"/>
          <w:szCs w:val="18"/>
          <w:color w:val="auto"/>
        </w:rPr>
        <w:t>generation humanized, affinity matured bispecific antibodies.</w:t>
      </w:r>
    </w:p>
    <w:p>
      <w:pPr>
        <w:spacing w:after="0" w:line="205"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The Company is headquartered in New York, New York and was incorporated on April 30, 2015 under the laws of the State of Delaware.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w:t>
      </w:r>
      <w:r>
        <w:rPr>
          <w:rFonts w:ascii="MS PGothic" w:cs="MS PGothic" w:eastAsia="MS PGothic" w:hAnsi="MS PGothic"/>
          <w:sz w:val="17"/>
          <w:szCs w:val="17"/>
          <w:color w:val="auto"/>
        </w:rPr>
        <w:t>‑</w:t>
      </w:r>
      <w:r>
        <w:rPr>
          <w:rFonts w:ascii="Arial" w:cs="Arial" w:eastAsia="Arial" w:hAnsi="Arial"/>
          <w:sz w:val="17"/>
          <w:szCs w:val="17"/>
          <w:color w:val="auto"/>
        </w:rPr>
        <w:t>reporting capabilities.</w:t>
      </w:r>
    </w:p>
    <w:p>
      <w:pPr>
        <w:spacing w:after="0" w:line="203"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4"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$192.0 million as of March 31, 2020 and $165.9 million as of December 31, 2019. Through March 31, 2020, the Company has funded its operations through proceeds from sales of shares of its common stock, including its initial public offering (“IPO”), in September 2018 and its secondary public offering in November 2019. As of March 31, 2020, the Company had cash and cash equivalents of $185.8 million, and as of December 31, 2019 the Company had cash and cash equivalents of $207.1 million. As of the issuance date of the quarterly financial statements for the three months ended March 31, 2020, the Company expects that its cash and cash equivalents at March 31, 2020 will be sufficient to fund its operating expenses and capital expenditure requirements through at least the next twelve months. The future viability of the Company, until such time that the Company has commercialized any of its products, is dependent on its ability to raise additional capital to finance its operations.</w:t>
      </w:r>
    </w:p>
    <w:p>
      <w:pPr>
        <w:spacing w:after="0" w:line="172" w:lineRule="exact"/>
        <w:rPr>
          <w:sz w:val="20"/>
          <w:szCs w:val="20"/>
          <w:color w:val="auto"/>
        </w:rPr>
      </w:pPr>
    </w:p>
    <w:p>
      <w:pPr>
        <w:ind w:left="40" w:right="279" w:firstLine="648"/>
        <w:spacing w:after="0" w:line="311" w:lineRule="auto"/>
        <w:rPr>
          <w:sz w:val="20"/>
          <w:szCs w:val="20"/>
          <w:color w:val="auto"/>
        </w:rPr>
      </w:pPr>
      <w:r>
        <w:rPr>
          <w:rFonts w:ascii="Arial" w:cs="Arial" w:eastAsia="Arial" w:hAnsi="Arial"/>
          <w:sz w:val="16"/>
          <w:szCs w:val="16"/>
          <w:color w:val="auto"/>
        </w:rPr>
        <w:t>The Company may be required to raise additional capital to fund future operations through the sale of its equity securities, incurring debt, entering into licensing or collaboration agreements with partners, grants or other sources of financing. Sufficient funds may not be available to the Company at all or on attractive terms when needed from equity 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86" w:lineRule="auto"/>
        <w:rPr>
          <w:sz w:val="20"/>
          <w:szCs w:val="20"/>
          <w:color w:val="auto"/>
        </w:rPr>
      </w:pPr>
      <w:r>
        <w:rPr>
          <w:rFonts w:ascii="Arial" w:cs="Arial" w:eastAsia="Arial" w:hAnsi="Arial"/>
          <w:sz w:val="17"/>
          <w:szCs w:val="17"/>
          <w:color w:val="auto"/>
        </w:rPr>
        <w:t>debt financing. If the Company is unable to obtain additional financing from these or other sources when needed, or to the extent needed, it may be necessary to significantly reduce its current rate of spending through delaying, scaling back, or suspending certain research and development programs and other operational programs.</w:t>
      </w:r>
    </w:p>
    <w:p>
      <w:pPr>
        <w:spacing w:after="0" w:line="165" w:lineRule="exact"/>
        <w:rPr>
          <w:sz w:val="20"/>
          <w:szCs w:val="20"/>
          <w:color w:val="auto"/>
        </w:rPr>
      </w:pPr>
    </w:p>
    <w:p>
      <w:pPr>
        <w:ind w:left="40" w:right="179" w:firstLine="648"/>
        <w:spacing w:after="0" w:line="217" w:lineRule="exact"/>
        <w:rPr>
          <w:sz w:val="20"/>
          <w:szCs w:val="20"/>
          <w:color w:val="auto"/>
        </w:rPr>
      </w:pPr>
      <w:r>
        <w:rPr>
          <w:rFonts w:ascii="Arial" w:cs="Arial" w:eastAsia="Arial" w:hAnsi="Arial"/>
          <w:sz w:val="16"/>
          <w:szCs w:val="16"/>
          <w:color w:val="auto"/>
        </w:rPr>
        <w:t>The accompanying unaudited consolidated financial statements reflect the accounts of the Company and its wholly</w:t>
      </w:r>
      <w:r>
        <w:rPr>
          <w:rFonts w:ascii="MS PGothic" w:cs="MS PGothic" w:eastAsia="MS PGothic" w:hAnsi="MS PGothic"/>
          <w:sz w:val="16"/>
          <w:szCs w:val="16"/>
          <w:color w:val="auto"/>
        </w:rPr>
        <w:t>‑</w:t>
      </w:r>
      <w:r>
        <w:rPr>
          <w:rFonts w:ascii="Arial" w:cs="Arial" w:eastAsia="Arial" w:hAnsi="Arial"/>
          <w:sz w:val="16"/>
          <w:szCs w:val="16"/>
          <w:color w:val="auto"/>
        </w:rPr>
        <w:t>owned subsidiary and have been prepared in accordance with accounting principles generally accepted in the United States of America (“GAAP”) for interim financial information, Accounting Standards Codification (“ASC”) Topic 270-10 and with the instructions to Form 10-Q. Accordingly, these financial statements do not include all of the information and notes required by GAAP for complete financial statements. The unaudited interim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three-month period ended March 31, 2020 are not necessarily indicative of the results that may be expected for the year ended December 31, 2020, any other interim periods, or any future year or period. The December 31, 2019 consolidated balance sheet data was derived from audited financial statements, but does not include all disclosures required by GAAP. You should read these unaudited interim condensed consolidated financial statements in conjunction with the consolidated financial statements and notes included in the Company’s Annual Report on Form 10-K for the year ended December 31, 2019.</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Our critical accounting policies are detailed in our Annual Report on Form 10-K for the year ended December 31, 2019. Effective January 1, 2020, the Company adopted Accounting Standards Update No. 2018-15 (“ASU 2018-15”), Customer’s Accounting for Implementation Costs Incurred in a Cloud Computing Arrangement That Is a Service. The adoption of ASU 2018-15 did not have a material impact on the Company’s consolidated financial statements.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40" w:right="139" w:firstLine="648"/>
        <w:spacing w:after="0" w:line="288" w:lineRule="auto"/>
        <w:rPr>
          <w:sz w:val="20"/>
          <w:szCs w:val="20"/>
          <w:color w:val="auto"/>
        </w:rPr>
      </w:pPr>
      <w:r>
        <w:rPr>
          <w:rFonts w:ascii="Arial" w:cs="Arial" w:eastAsia="Arial" w:hAnsi="Arial"/>
          <w:sz w:val="16"/>
          <w:szCs w:val="16"/>
          <w:color w:val="auto"/>
        </w:rPr>
        <w:t>As described below, the Company adopted Topic 842 as of January 1, 2019. 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68"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Topic 842 also provides practical expedients and certain exemptions for an entity’s ongoing accounting post implementation. The Company currently elected the short-term lease recognition exemption for all leases that qualify. This means, for those leases that qualify, we will not recognize right-of-use assets or liabilities, and this includes not recognizing right-of-use assets or liabilities for existing short-term leases of those assets in transition. We also elected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Note 6 for the related disclosures.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any losses on its cash and cash equivalents. The carrying amount of cash and cash equivalents approximates its fair value due to its short-term and liquid nature. We maintain cash balances in excess of insured limits. We do not anticipate any losses with respect to such cash balances.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8" w:lineRule="exact"/>
        <w:rPr>
          <w:sz w:val="20"/>
          <w:szCs w:val="20"/>
          <w:color w:val="auto"/>
        </w:rPr>
      </w:pPr>
    </w:p>
    <w:p>
      <w:pPr>
        <w:ind w:left="40" w:right="259" w:firstLine="648"/>
        <w:spacing w:after="0" w:line="282" w:lineRule="auto"/>
        <w:rPr>
          <w:sz w:val="20"/>
          <w:szCs w:val="20"/>
          <w:color w:val="auto"/>
        </w:rPr>
      </w:pPr>
      <w:r>
        <w:rPr>
          <w:rFonts w:ascii="Arial" w:cs="Arial" w:eastAsia="Arial" w:hAnsi="Arial"/>
          <w:sz w:val="19"/>
          <w:szCs w:val="19"/>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5" w:lineRule="exact"/>
        <w:rPr>
          <w:sz w:val="20"/>
          <w:szCs w:val="20"/>
          <w:color w:val="auto"/>
        </w:rPr>
      </w:pPr>
    </w:p>
    <w:p>
      <w:pPr>
        <w:ind w:left="800" w:hanging="108"/>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40" w:right="99" w:firstLine="652"/>
        <w:spacing w:after="0" w:line="277" w:lineRule="auto"/>
        <w:tabs>
          <w:tab w:leader="none" w:pos="796"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40" w:right="119" w:firstLine="652"/>
        <w:spacing w:after="0" w:line="308" w:lineRule="auto"/>
        <w:tabs>
          <w:tab w:leader="none" w:pos="79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40" w:right="759" w:firstLine="648"/>
        <w:spacing w:after="0" w:line="342" w:lineRule="auto"/>
        <w:rPr>
          <w:sz w:val="20"/>
          <w:szCs w:val="20"/>
          <w:color w:val="auto"/>
        </w:rPr>
      </w:pPr>
      <w:r>
        <w:rPr>
          <w:rFonts w:ascii="Arial" w:cs="Arial" w:eastAsia="Arial" w:hAnsi="Arial"/>
          <w:sz w:val="16"/>
          <w:szCs w:val="16"/>
          <w:color w:val="auto"/>
        </w:rPr>
        <w:t>Cash equivalents held in money market funds are valued using other significant observable inputs, which represent a Level 2 measurement within the fair value hierarchy. The Company has no other cash equivalents.</w:t>
      </w:r>
    </w:p>
    <w:p>
      <w:pPr>
        <w:spacing w:after="0" w:line="124"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 following tables present the Company’s fair value hierarchy for its cash equivalents, which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8"/>
          </w:tcPr>
          <w:p>
            <w:pPr>
              <w:jc w:val="center"/>
              <w:ind w:right="70"/>
              <w:spacing w:after="0"/>
              <w:rPr>
                <w:sz w:val="20"/>
                <w:szCs w:val="20"/>
                <w:color w:val="auto"/>
              </w:rPr>
            </w:pPr>
            <w:r>
              <w:rPr>
                <w:rFonts w:ascii="Arial" w:cs="Arial" w:eastAsia="Arial" w:hAnsi="Arial"/>
                <w:sz w:val="14"/>
                <w:szCs w:val="14"/>
                <w:b w:val="1"/>
                <w:bCs w:val="1"/>
                <w:color w:val="auto"/>
                <w:w w:val="94"/>
              </w:rPr>
              <w:t>Fair Value Measurements at March 31, 2020 Using:</w:t>
            </w:r>
          </w:p>
        </w:tc>
      </w:tr>
      <w:tr>
        <w:trPr>
          <w:trHeight w:val="210"/>
        </w:trPr>
        <w:tc>
          <w:tcPr>
            <w:tcW w:w="326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Money market funds</w:t>
            </w:r>
          </w:p>
        </w:tc>
        <w:tc>
          <w:tcPr>
            <w:tcW w:w="19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$ 173,587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$ 173,587</w:t>
            </w:r>
          </w:p>
        </w:tc>
      </w:tr>
      <w:tr>
        <w:trPr>
          <w:trHeight w:val="216"/>
        </w:trPr>
        <w:tc>
          <w:tcPr>
            <w:tcW w:w="326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$ 173,587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$ 173,587</w:t>
            </w:r>
          </w:p>
        </w:tc>
      </w:tr>
      <w:tr>
        <w:trPr>
          <w:trHeight w:val="594"/>
        </w:trPr>
        <w:tc>
          <w:tcPr>
            <w:tcW w:w="3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70"/>
              <w:spacing w:after="0"/>
              <w:rPr>
                <w:sz w:val="20"/>
                <w:szCs w:val="20"/>
                <w:color w:val="auto"/>
              </w:rPr>
            </w:pPr>
            <w:r>
              <w:rPr>
                <w:rFonts w:ascii="Arial" w:cs="Arial" w:eastAsia="Arial" w:hAnsi="Arial"/>
                <w:sz w:val="14"/>
                <w:szCs w:val="14"/>
                <w:b w:val="1"/>
                <w:bCs w:val="1"/>
                <w:color w:val="auto"/>
                <w:w w:val="92"/>
              </w:rPr>
              <w:t>Fair Value Measurements at December 31, 2019 Using:</w:t>
            </w:r>
          </w:p>
        </w:tc>
      </w:tr>
      <w:tr>
        <w:trPr>
          <w:trHeight w:val="210"/>
        </w:trPr>
        <w:tc>
          <w:tcPr>
            <w:tcW w:w="326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Money market funds</w:t>
            </w:r>
          </w:p>
        </w:tc>
        <w:tc>
          <w:tcPr>
            <w:tcW w:w="19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$ 197,879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$ 197,879</w:t>
            </w:r>
          </w:p>
        </w:tc>
      </w:tr>
      <w:tr>
        <w:trPr>
          <w:trHeight w:val="216"/>
        </w:trPr>
        <w:tc>
          <w:tcPr>
            <w:tcW w:w="326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$ 197,879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$ 197,879</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quarter ended March 31, 2020, there were no transfers between Level 1, Level 2, and Level 3.</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and the valuation of stock options. Estimates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are periodically reviewed in light of changes in circumstances, facts and experience. Changes in estimates are recorded in the period in which they become known. Actual results could differ from those estimates.</w:t>
      </w:r>
    </w:p>
    <w:p>
      <w:pPr>
        <w:spacing w:after="0" w:line="170"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 We have made estimates of the impact of COVID-19 within our financial statements and there may be changes to those estimates in future periods. Actual results may differ from these estimates.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40" w:right="259" w:firstLine="648"/>
        <w:spacing w:after="0" w:line="342" w:lineRule="auto"/>
        <w:rPr>
          <w:sz w:val="20"/>
          <w:szCs w:val="20"/>
          <w:color w:val="auto"/>
        </w:rPr>
      </w:pPr>
      <w:r>
        <w:rPr>
          <w:rFonts w:ascii="Arial" w:cs="Arial" w:eastAsia="Arial" w:hAnsi="Arial"/>
          <w:sz w:val="16"/>
          <w:szCs w:val="16"/>
          <w:color w:val="auto"/>
        </w:rPr>
        <w:t>The Company is engaged solely in the discovery and development of novel antibody-based therapeutic products for the treatment of cancer. Accordingly, the Company has determined that it operates in one operating segment.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In August 2018, the FASB issued Accounting Standards Update No. 2018-15 (“ASU 2018-15”), Customer’s Accounting for Implementation Costs Incurred in a Cloud Computing Arrangement That Is a Service Contract. ASU 2018-15 clarifies certain aspects of ASU 2015-05, Customer’s Accounting for Fees Paid in a Cloud Computing Arrangement, which was issued in April 2015. Specifically, ASU 2018-15 aligns the requirements for capitalizing implementation costs incurred in a hosting arrangement that is a service contract with the requirements for capitalizing implementation costs incurred to develop or obtain internal use software (and hosting arrangements that include an internal-use software license). ASU 2018-15 is effective for fiscal years beginning after December 15, 2019, and interim periods within those fiscal years with early adoption permitted. The adoption of this standard on January 1, 2020 did not have a material impact on our consolidated financial statements and related disclosures.</w:t>
      </w:r>
    </w:p>
    <w:p>
      <w:pPr>
        <w:spacing w:after="0" w:line="181"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In July 2018, the FASB issued Accounting Standards Update No. 2018-09 (“ASU 2018-09”), Codification Improvements, which clarify, correct errors in, or make minor improvements to a variety of ASC topics. The changes in ASU 2018-09 are not expected to have a significant effect on current accounting practices. Some of the amendments in this update do not require transition guidance and will be effective upon this update. However, many of the updates do have transition guidance with effective dates for periods beginning after December 15, 2018. The adoption of this standard on January 1, 2019 did not have a material impact on our consolidated financial statements and related disclosures.</w:t>
      </w:r>
    </w:p>
    <w:p>
      <w:pPr>
        <w:spacing w:after="0" w:line="164"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8"/>
          <w:szCs w:val="18"/>
          <w:color w:val="auto"/>
        </w:rPr>
        <w:t>In June 2018, the FASB issued ASU No. 2018</w:t>
      </w:r>
      <w:r>
        <w:rPr>
          <w:rFonts w:ascii="MS PGothic" w:cs="MS PGothic" w:eastAsia="MS PGothic" w:hAnsi="MS PGothic"/>
          <w:sz w:val="18"/>
          <w:szCs w:val="18"/>
          <w:color w:val="auto"/>
        </w:rPr>
        <w:t>‑</w:t>
      </w:r>
      <w:r>
        <w:rPr>
          <w:rFonts w:ascii="Arial" w:cs="Arial" w:eastAsia="Arial" w:hAnsi="Arial"/>
          <w:sz w:val="18"/>
          <w:szCs w:val="18"/>
          <w:color w:val="auto"/>
        </w:rPr>
        <w:t>07, Compensation—Stock Compensation (Topic 718), Improvements to Nonemployee Share</w:t>
      </w:r>
      <w:r>
        <w:rPr>
          <w:rFonts w:ascii="MS PGothic" w:cs="MS PGothic" w:eastAsia="MS PGothic" w:hAnsi="MS PGothic"/>
          <w:sz w:val="18"/>
          <w:szCs w:val="18"/>
          <w:color w:val="auto"/>
        </w:rPr>
        <w:t>‑</w:t>
      </w:r>
      <w:r>
        <w:rPr>
          <w:rFonts w:ascii="Arial" w:cs="Arial" w:eastAsia="Arial" w:hAnsi="Arial"/>
          <w:sz w:val="18"/>
          <w:szCs w:val="18"/>
          <w:color w:val="auto"/>
        </w:rPr>
        <w:t>Based Payment Accounting (“ASU 2018</w:t>
      </w:r>
      <w:r>
        <w:rPr>
          <w:rFonts w:ascii="MS PGothic" w:cs="MS PGothic" w:eastAsia="MS PGothic" w:hAnsi="MS PGothic"/>
          <w:sz w:val="18"/>
          <w:szCs w:val="18"/>
          <w:color w:val="auto"/>
        </w:rPr>
        <w:t>‑</w:t>
      </w:r>
      <w:r>
        <w:rPr>
          <w:rFonts w:ascii="Arial" w:cs="Arial" w:eastAsia="Arial" w:hAnsi="Arial"/>
          <w:sz w:val="18"/>
          <w:szCs w:val="18"/>
          <w:color w:val="auto"/>
        </w:rPr>
        <w:t>07”). ASU 2018</w:t>
      </w:r>
      <w:r>
        <w:rPr>
          <w:rFonts w:ascii="MS PGothic" w:cs="MS PGothic" w:eastAsia="MS PGothic" w:hAnsi="MS PGothic"/>
          <w:sz w:val="18"/>
          <w:szCs w:val="18"/>
          <w:color w:val="auto"/>
        </w:rPr>
        <w:t>‑</w:t>
      </w:r>
      <w:r>
        <w:rPr>
          <w:rFonts w:ascii="Arial" w:cs="Arial" w:eastAsia="Arial" w:hAnsi="Arial"/>
          <w:sz w:val="18"/>
          <w:szCs w:val="18"/>
          <w:color w:val="auto"/>
        </w:rPr>
        <w:t>07 is intended to simplify aspects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by making the guidance consistent with the accounting for employee share</w:t>
      </w:r>
      <w:r>
        <w:rPr>
          <w:rFonts w:ascii="MS PGothic" w:cs="MS PGothic" w:eastAsia="MS PGothic" w:hAnsi="MS PGothic"/>
          <w:sz w:val="18"/>
          <w:szCs w:val="18"/>
          <w:color w:val="auto"/>
        </w:rPr>
        <w:t>‑</w:t>
      </w:r>
      <w:r>
        <w:rPr>
          <w:rFonts w:ascii="Arial" w:cs="Arial" w:eastAsia="Arial" w:hAnsi="Arial"/>
          <w:sz w:val="18"/>
          <w:szCs w:val="18"/>
          <w:color w:val="auto"/>
        </w:rPr>
        <w:t>based compensation. ASU 2018</w:t>
      </w:r>
      <w:r>
        <w:rPr>
          <w:rFonts w:ascii="MS PGothic" w:cs="MS PGothic" w:eastAsia="MS PGothic" w:hAnsi="MS PGothic"/>
          <w:sz w:val="18"/>
          <w:szCs w:val="18"/>
          <w:color w:val="auto"/>
        </w:rPr>
        <w:t>‑</w:t>
      </w:r>
      <w:r>
        <w:rPr>
          <w:rFonts w:ascii="Arial" w:cs="Arial" w:eastAsia="Arial" w:hAnsi="Arial"/>
          <w:sz w:val="18"/>
          <w:szCs w:val="18"/>
          <w:color w:val="auto"/>
        </w:rPr>
        <w:t>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207"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7"/>
          <w:szCs w:val="17"/>
          <w:color w:val="auto"/>
        </w:rPr>
        <w:t>In February 2018, the FASB issued Accounting Standards Update No. 2018</w:t>
      </w:r>
      <w:r>
        <w:rPr>
          <w:rFonts w:ascii="MS PGothic" w:cs="MS PGothic" w:eastAsia="MS PGothic" w:hAnsi="MS PGothic"/>
          <w:sz w:val="17"/>
          <w:szCs w:val="17"/>
          <w:color w:val="auto"/>
        </w:rPr>
        <w:t>‑</w:t>
      </w:r>
      <w:r>
        <w:rPr>
          <w:rFonts w:ascii="Arial" w:cs="Arial" w:eastAsia="Arial" w:hAnsi="Arial"/>
          <w:sz w:val="17"/>
          <w:szCs w:val="17"/>
          <w:color w:val="auto"/>
        </w:rPr>
        <w:t>02, (“ASU 2018-02”), Reclassification of Certain Tax Effects from Accumulated Other Comprehensive Income. ASU 2018</w:t>
      </w:r>
      <w:r>
        <w:rPr>
          <w:rFonts w:ascii="MS PGothic" w:cs="MS PGothic" w:eastAsia="MS PGothic" w:hAnsi="MS PGothic"/>
          <w:sz w:val="17"/>
          <w:szCs w:val="17"/>
          <w:color w:val="auto"/>
        </w:rPr>
        <w:t>‑</w:t>
      </w:r>
      <w:r>
        <w:rPr>
          <w:rFonts w:ascii="Arial" w:cs="Arial" w:eastAsia="Arial" w:hAnsi="Arial"/>
          <w:sz w:val="17"/>
          <w:szCs w:val="17"/>
          <w:color w:val="auto"/>
        </w:rPr>
        <w:t>02 allows a reclassification from accumulated other comprehensive income to retained earnings for stranded tax effects resulting from the Tax Cuts and Jobs Act. ASU 2018</w:t>
      </w:r>
      <w:r>
        <w:rPr>
          <w:rFonts w:ascii="MS PGothic" w:cs="MS PGothic" w:eastAsia="MS PGothic" w:hAnsi="MS PGothic"/>
          <w:sz w:val="17"/>
          <w:szCs w:val="17"/>
          <w:color w:val="auto"/>
        </w:rPr>
        <w:t>‑</w:t>
      </w:r>
      <w:r>
        <w:rPr>
          <w:rFonts w:ascii="Arial" w:cs="Arial" w:eastAsia="Arial" w:hAnsi="Arial"/>
          <w:sz w:val="17"/>
          <w:szCs w:val="17"/>
          <w:color w:val="auto"/>
        </w:rPr>
        <w:t>07 is required to be adopted for annual periods beginning after December 15, 2018, including interim periods within those fiscal years. Early adoption is permitted. The adoption of this standard on January 1, 2019 did not have a material impact on our consolidated financial statements and related disclosures.</w:t>
      </w:r>
    </w:p>
    <w:p>
      <w:pPr>
        <w:spacing w:after="0" w:line="202" w:lineRule="exact"/>
        <w:rPr>
          <w:sz w:val="20"/>
          <w:szCs w:val="20"/>
          <w:color w:val="auto"/>
        </w:rPr>
      </w:pPr>
    </w:p>
    <w:p>
      <w:pPr>
        <w:ind w:left="40" w:right="199" w:firstLine="648"/>
        <w:spacing w:after="0" w:line="224" w:lineRule="exact"/>
        <w:rPr>
          <w:sz w:val="20"/>
          <w:szCs w:val="20"/>
          <w:color w:val="auto"/>
        </w:rPr>
      </w:pPr>
      <w:r>
        <w:rPr>
          <w:rFonts w:ascii="Arial" w:cs="Arial" w:eastAsia="Arial" w:hAnsi="Arial"/>
          <w:sz w:val="16"/>
          <w:szCs w:val="16"/>
          <w:color w:val="auto"/>
        </w:rPr>
        <w:t>In February 2016, the FASB issued Accounting Standards Update No. 2016</w:t>
      </w:r>
      <w:r>
        <w:rPr>
          <w:rFonts w:ascii="MS PGothic" w:cs="MS PGothic" w:eastAsia="MS PGothic" w:hAnsi="MS PGothic"/>
          <w:sz w:val="16"/>
          <w:szCs w:val="16"/>
          <w:color w:val="auto"/>
        </w:rPr>
        <w:t>‑</w:t>
      </w:r>
      <w:r>
        <w:rPr>
          <w:rFonts w:ascii="Arial" w:cs="Arial" w:eastAsia="Arial" w:hAnsi="Arial"/>
          <w:sz w:val="16"/>
          <w:szCs w:val="16"/>
          <w:color w:val="auto"/>
        </w:rPr>
        <w:t>02 (“ASU 2016</w:t>
      </w:r>
      <w:r>
        <w:rPr>
          <w:rFonts w:ascii="MS PGothic" w:cs="MS PGothic" w:eastAsia="MS PGothic" w:hAnsi="MS PGothic"/>
          <w:sz w:val="16"/>
          <w:szCs w:val="16"/>
          <w:color w:val="auto"/>
        </w:rPr>
        <w:t>‑</w:t>
      </w:r>
      <w:r>
        <w:rPr>
          <w:rFonts w:ascii="Arial" w:cs="Arial" w:eastAsia="Arial" w:hAnsi="Arial"/>
          <w:sz w:val="16"/>
          <w:szCs w:val="16"/>
          <w:color w:val="auto"/>
        </w:rPr>
        <w:t>02”), Leases, which is effective for fiscal years, and interim periods within those years, beginning after December 15, 2018 with early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20"/>
        <w:spacing w:after="0" w:line="218" w:lineRule="exact"/>
        <w:rPr>
          <w:sz w:val="20"/>
          <w:szCs w:val="20"/>
          <w:color w:val="auto"/>
        </w:rPr>
      </w:pPr>
      <w:r>
        <w:rPr>
          <w:rFonts w:ascii="Arial" w:cs="Arial" w:eastAsia="Arial" w:hAnsi="Arial"/>
          <w:sz w:val="17"/>
          <w:szCs w:val="17"/>
          <w:color w:val="auto"/>
        </w:rPr>
        <w:t>adoption permitted. Under ASU 2016</w:t>
      </w:r>
      <w:r>
        <w:rPr>
          <w:rFonts w:ascii="MS PGothic" w:cs="MS PGothic" w:eastAsia="MS PGothic" w:hAnsi="MS PGothic"/>
          <w:sz w:val="17"/>
          <w:szCs w:val="17"/>
          <w:color w:val="auto"/>
        </w:rPr>
        <w:t>‑</w:t>
      </w:r>
      <w:r>
        <w:rPr>
          <w:rFonts w:ascii="Arial" w:cs="Arial" w:eastAsia="Arial" w:hAnsi="Arial"/>
          <w:sz w:val="17"/>
          <w:szCs w:val="17"/>
          <w:color w:val="auto"/>
        </w:rPr>
        <w:t>02, lessees will be required to recognize for all leases, at the commencement date of the lease, a lease liability, which is a lessee’s obligation to make lease payments arising from a lease measured on a discounted basis, and a right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use asset, which is an asset that represents the lessee’s right to use or control the use of a specified asset for the lease term. Topic 842 was subsequently amended by ASU 2017-13, Revenue and Leases: Amendments to SEC Paragraphs Pursuant to the Staff Announcement at the July 20, 2017 EITF Meeting and Rescission of Prior SEC Staff Announcements and Observer Comments; ASU 2018-01, Land Easement Practical Expedient for Transition to Topic 842; ASU No. 2018-10, Codification Improvements to Topic 842, Leases; ASU No. 2018-11, Targeted Improvements and ASU No. 2018-20, Narrow Scope Improvements for Lessors.</w:t>
      </w:r>
    </w:p>
    <w:p>
      <w:pPr>
        <w:spacing w:after="0" w:line="204" w:lineRule="exact"/>
        <w:rPr>
          <w:sz w:val="20"/>
          <w:szCs w:val="20"/>
          <w:color w:val="auto"/>
        </w:rPr>
      </w:pPr>
    </w:p>
    <w:p>
      <w:pPr>
        <w:ind w:left="40" w:right="180" w:firstLine="648"/>
        <w:spacing w:after="0" w:line="290"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An entity may choose to use either (1) its effective date or (2) the beginning of the earliest comparative period presented in the financial statements as its date of initial application. The Company used the effective date as our date of initial application. Consequently, financial information was not updated and the disclosures required under the new standard are not provided for dates and periods before January 1, 2019. The new standard also provides a number of optional practical expedients in transition. The Company elected the package of practical expedients, which permits us not to reassess under the new standard our prior conclusions about lease identification, lease classification and initial direct costs.</w:t>
      </w:r>
    </w:p>
    <w:p>
      <w:pPr>
        <w:spacing w:after="0" w:line="165" w:lineRule="exact"/>
        <w:rPr>
          <w:sz w:val="20"/>
          <w:szCs w:val="20"/>
          <w:color w:val="auto"/>
        </w:rPr>
      </w:pPr>
    </w:p>
    <w:p>
      <w:pPr>
        <w:ind w:left="40" w:right="80" w:firstLine="648"/>
        <w:spacing w:after="0" w:line="279" w:lineRule="auto"/>
        <w:rPr>
          <w:sz w:val="20"/>
          <w:szCs w:val="20"/>
          <w:color w:val="auto"/>
        </w:rPr>
      </w:pPr>
      <w:r>
        <w:rPr>
          <w:rFonts w:ascii="Arial" w:cs="Arial" w:eastAsia="Arial" w:hAnsi="Arial"/>
          <w:sz w:val="17"/>
          <w:szCs w:val="17"/>
          <w:color w:val="auto"/>
        </w:rPr>
        <w:t>Upon adoption of the new leasing standards, the Company recognized a lease liability of $1.8 million and a related right-of-use asset of $1.5 million with the difference being due to the elimination of previously reported deferred rent. The Company subsequently entered into two new lease agreements during the three months ended March 31, 2019, and recognized an incremental lease liability and related right-of-use asset of $0.9 million.</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4—NET LOSS PER SHARE</w:t>
      </w:r>
    </w:p>
    <w:p>
      <w:pPr>
        <w:spacing w:after="0" w:line="229" w:lineRule="exact"/>
        <w:rPr>
          <w:sz w:val="20"/>
          <w:szCs w:val="20"/>
          <w:color w:val="auto"/>
        </w:rPr>
      </w:pPr>
    </w:p>
    <w:p>
      <w:pPr>
        <w:ind w:left="40" w:right="140" w:firstLine="648"/>
        <w:spacing w:after="0" w:line="293" w:lineRule="auto"/>
        <w:rPr>
          <w:sz w:val="20"/>
          <w:szCs w:val="20"/>
          <w:color w:val="auto"/>
        </w:rPr>
      </w:pPr>
      <w:r>
        <w:rPr>
          <w:rFonts w:ascii="Arial" w:cs="Arial" w:eastAsia="Arial" w:hAnsi="Arial"/>
          <w:sz w:val="16"/>
          <w:szCs w:val="16"/>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169"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6350</wp:posOffset>
            </wp:positionV>
            <wp:extent cx="16198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ind w:left="6860"/>
        <w:spacing w:after="0"/>
        <w:tabs>
          <w:tab w:leader="none" w:pos="82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-3175</wp:posOffset>
            </wp:positionV>
            <wp:extent cx="1619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20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(26,179)</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shares (denominator)</w:t>
            </w:r>
          </w:p>
        </w:tc>
        <w:tc>
          <w:tcPr>
            <w:tcW w:w="1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34,194</w:t>
            </w:r>
          </w:p>
        </w:tc>
        <w:tc>
          <w:tcPr>
            <w:tcW w:w="60" w:type="dxa"/>
            <w:vAlign w:val="bottom"/>
            <w:tcBorders>
              <w:bottom w:val="single" w:sz="8" w:color="CCEEFF"/>
            </w:tcBorders>
          </w:tcPr>
          <w:p>
            <w:pPr>
              <w:spacing w:after="0"/>
              <w:rPr>
                <w:sz w:val="19"/>
                <w:szCs w:val="19"/>
                <w:color w:val="auto"/>
              </w:rPr>
            </w:pPr>
          </w:p>
        </w:tc>
      </w:tr>
      <w:tr>
        <w:trPr>
          <w:trHeight w:val="223"/>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40" w:right="220" w:firstLine="648"/>
        <w:spacing w:after="0" w:line="263" w:lineRule="auto"/>
        <w:rPr>
          <w:sz w:val="20"/>
          <w:szCs w:val="20"/>
          <w:color w:val="auto"/>
        </w:rPr>
      </w:pPr>
      <w:r>
        <w:rPr>
          <w:rFonts w:ascii="Arial" w:cs="Arial" w:eastAsia="Arial" w:hAnsi="Arial"/>
          <w:sz w:val="18"/>
          <w:szCs w:val="18"/>
          <w:color w:val="auto"/>
        </w:rPr>
        <w:t>Potentially dilutive securities excluded from the computation of diluted earnings per share relate to stock options outstanding and unvested restricted shares and RSUs and totaled 4,721,824 shares as of March 31, 2020 and 3,388,169 shares as of March 31, 2019.</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5" w:right="1419"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5—ACCRUED LIABILITIES</w:t>
      </w:r>
    </w:p>
    <w:p>
      <w:pPr>
        <w:spacing w:after="0" w:line="229"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Accrued short</w:t>
      </w:r>
      <w:r>
        <w:rPr>
          <w:rFonts w:ascii="MS PGothic" w:cs="MS PGothic" w:eastAsia="MS PGothic" w:hAnsi="MS PGothic"/>
          <w:sz w:val="18"/>
          <w:szCs w:val="18"/>
          <w:color w:val="auto"/>
        </w:rPr>
        <w:t>‑</w:t>
      </w:r>
      <w:r>
        <w:rPr>
          <w:rFonts w:ascii="Arial" w:cs="Arial" w:eastAsia="Arial" w:hAnsi="Arial"/>
          <w:sz w:val="18"/>
          <w:szCs w:val="18"/>
          <w:color w:val="auto"/>
        </w:rPr>
        <w:t>term liabilities at March 31, 2020 and December 31, 2019 are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80"/>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(in thousands)</w:t>
            </w:r>
          </w:p>
        </w:tc>
      </w:tr>
      <w:tr>
        <w:trPr>
          <w:trHeight w:val="111"/>
        </w:trPr>
        <w:tc>
          <w:tcPr>
            <w:tcW w:w="5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Accrued manufacturing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29" w:lineRule="exact"/>
        <w:rPr>
          <w:sz w:val="20"/>
          <w:szCs w:val="20"/>
          <w:color w:val="auto"/>
        </w:rPr>
      </w:pPr>
    </w:p>
    <w:p>
      <w:pPr>
        <w:ind w:left="40" w:right="159" w:firstLine="648"/>
        <w:spacing w:after="0" w:line="269" w:lineRule="auto"/>
        <w:rPr>
          <w:sz w:val="20"/>
          <w:szCs w:val="20"/>
          <w:color w:val="auto"/>
        </w:rPr>
      </w:pPr>
      <w:r>
        <w:rPr>
          <w:rFonts w:ascii="Arial" w:cs="Arial" w:eastAsia="Arial" w:hAnsi="Arial"/>
          <w:sz w:val="17"/>
          <w:szCs w:val="17"/>
          <w:color w:val="auto"/>
        </w:rPr>
        <w:t>As of March 31, 2020, the Company has entered into two license agreements and certain other agreements with MSK. The license agreements are further described below as the MSK License and the CD33 License Agreement. Additionally, through a Settlement and Assumption and Assignment of the MSK License and Y-mAbs Sublicense Agreement (SAAA) with MabVax and MSK, the Company has established a direct license with MSK relating to the GD2-GD3 Vaccine, which was originally sublicensed in 2018 from MabVax. These license agreements with MSK grant the Company certain patent rights and intellectual property rights, and in consideration thereof, the Company agreed to make certain payments and issue shares of the Company’s common stock to MSK. Certain of the payments are contingent milestone and royalty payments, the terms of which are further described below. Amounts disclosed in footnote 5 for accrued milestone and royalty payments are inclusive of obligations under the MSK License and CD33 License Agreement, collectively.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left="40" w:right="519" w:firstLine="648"/>
        <w:spacing w:after="0" w:line="259" w:lineRule="auto"/>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to develop, make, and commercialize licensed products and to perform services for all therapeutic and diagnostic uses in the field of cancer diagnostics and cancer treatments.</w:t>
      </w:r>
    </w:p>
    <w:p>
      <w:pPr>
        <w:spacing w:after="0" w:line="187"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7"/>
          <w:szCs w:val="17"/>
          <w:color w:val="auto"/>
        </w:rPr>
        <w:t>The patents and patent applications covered by this agreement are directed, in part, to naxitamab, an anti-GD2 antibody, and omburtamab, which is an anti B3</w:t>
      </w:r>
      <w:r>
        <w:rPr>
          <w:rFonts w:ascii="MS PGothic" w:cs="MS PGothic" w:eastAsia="MS PGothic" w:hAnsi="MS PGothic"/>
          <w:sz w:val="17"/>
          <w:szCs w:val="17"/>
          <w:color w:val="auto"/>
        </w:rPr>
        <w:t>‑</w:t>
      </w:r>
      <w:r>
        <w:rPr>
          <w:rFonts w:ascii="Arial" w:cs="Arial" w:eastAsia="Arial" w:hAnsi="Arial"/>
          <w:sz w:val="17"/>
          <w:szCs w:val="17"/>
          <w:color w:val="auto"/>
        </w:rPr>
        <w:t>H7 antibody, as well as affinity matured versions of certain antibodies and certain single chain variable fragments (Fv) constructs, and their use for immunotherapy, targeting the treatment of oncology indications. Upon entering into the MSK License Agreement in 2015 and in exchange for the licenses, we paid MSK an upfront payment, issued 1,428,500 shares of our common stock to MSK and provided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to MSK. In addition, we are required to pay to MSK certain royalty and milestone payments. We expensed the upfront payment and the issuance of shares to MSK in 2015. We also recorded expense related to common stock issued related to certain anti</w:t>
      </w:r>
      <w:r>
        <w:rPr>
          <w:rFonts w:ascii="MS PGothic" w:cs="MS PGothic" w:eastAsia="MS PGothic" w:hAnsi="MS PGothic"/>
          <w:sz w:val="17"/>
          <w:szCs w:val="17"/>
          <w:color w:val="auto"/>
        </w:rPr>
        <w:t>‑</w:t>
      </w:r>
      <w:r>
        <w:rPr>
          <w:rFonts w:ascii="Arial" w:cs="Arial" w:eastAsia="Arial" w:hAnsi="Arial"/>
          <w:sz w:val="17"/>
          <w:szCs w:val="17"/>
          <w:color w:val="auto"/>
        </w:rPr>
        <w:t>dilution rights held by MSK.</w:t>
      </w:r>
    </w:p>
    <w:p>
      <w:pPr>
        <w:spacing w:after="0" w:line="204"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The MSK License Agreement requires us to pay to MSK mid to 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MSK License Agreement. The Company expensed the total minimum royalty payments of $1,200,000 in 2016. As of December 31, 2019, $29,000 was recorded as short-term accrued liabilities and $1,171,000 was recorded as long</w:t>
      </w:r>
      <w:r>
        <w:rPr>
          <w:rFonts w:ascii="MS PGothic" w:cs="MS PGothic" w:eastAsia="MS PGothic" w:hAnsi="MS PGothic"/>
          <w:sz w:val="16"/>
          <w:szCs w:val="16"/>
          <w:color w:val="auto"/>
        </w:rPr>
        <w:t>‑</w:t>
      </w:r>
      <w:r>
        <w:rPr>
          <w:rFonts w:ascii="Arial" w:cs="Arial" w:eastAsia="Arial" w:hAnsi="Arial"/>
          <w:sz w:val="16"/>
          <w:szCs w:val="16"/>
          <w:color w:val="auto"/>
        </w:rPr>
        <w:t>term accrued liabilities. As of March 31, 2020, $49,000 was recorded as short-term accrued liabilities and $1,151,000 was recorded as long</w:t>
      </w:r>
      <w:r>
        <w:rPr>
          <w:rFonts w:ascii="MS PGothic" w:cs="MS PGothic" w:eastAsia="MS PGothic" w:hAnsi="MS PGothic"/>
          <w:sz w:val="16"/>
          <w:szCs w:val="16"/>
          <w:color w:val="auto"/>
        </w:rPr>
        <w:t>‑</w:t>
      </w:r>
      <w:r>
        <w:rPr>
          <w:rFonts w:ascii="Arial" w:cs="Arial" w:eastAsia="Arial" w:hAnsi="Arial"/>
          <w:sz w:val="16"/>
          <w:szCs w:val="16"/>
          <w:color w:val="auto"/>
        </w:rPr>
        <w:t>term accrued liabilities. We are also obligated to pay MSK certain clinical, regulatory and sales</w:t>
      </w:r>
      <w:r>
        <w:rPr>
          <w:rFonts w:ascii="MS PGothic" w:cs="MS PGothic" w:eastAsia="MS PGothic" w:hAnsi="MS PGothic"/>
          <w:sz w:val="16"/>
          <w:szCs w:val="16"/>
          <w:color w:val="auto"/>
        </w:rPr>
        <w:t>‑</w:t>
      </w:r>
      <w:r>
        <w:rPr>
          <w:rFonts w:ascii="Arial" w:cs="Arial" w:eastAsia="Arial" w:hAnsi="Arial"/>
          <w:sz w:val="16"/>
          <w:szCs w:val="16"/>
          <w:color w:val="auto"/>
        </w:rPr>
        <w:t>based milestone payments under the MSK License Agreement. Certain of the clinical and regulatory milestone payments become due at the earlier of completion of the related milestone activity or the date indicated in the MSK License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17" w:lineRule="exact"/>
        <w:rPr>
          <w:sz w:val="20"/>
          <w:szCs w:val="20"/>
          <w:color w:val="auto"/>
        </w:rPr>
      </w:pPr>
      <w:r>
        <w:rPr>
          <w:rFonts w:ascii="Arial" w:cs="Arial" w:eastAsia="Arial" w:hAnsi="Arial"/>
          <w:sz w:val="17"/>
          <w:szCs w:val="17"/>
          <w:color w:val="auto"/>
        </w:rPr>
        <w:t>Agreement. Total clinical and regulatory milestones potentially due under the MSK License Agreement are $2,450,000 and $9,000,000, respectively. There are also sales</w:t>
      </w:r>
      <w:r>
        <w:rPr>
          <w:rFonts w:ascii="MS PGothic" w:cs="MS PGothic" w:eastAsia="MS PGothic" w:hAnsi="MS PGothic"/>
          <w:sz w:val="17"/>
          <w:szCs w:val="17"/>
          <w:color w:val="auto"/>
        </w:rPr>
        <w:t>‑</w:t>
      </w:r>
      <w:r>
        <w:rPr>
          <w:rFonts w:ascii="Arial" w:cs="Arial" w:eastAsia="Arial" w:hAnsi="Arial"/>
          <w:sz w:val="17"/>
          <w:szCs w:val="17"/>
          <w:color w:val="auto"/>
        </w:rPr>
        <w:t>based milestones, totaling $20,000,000, that become due should the Company achieve certain amounts of sales of licensed products. The Company records milestones in the period in which the contingent liability is probable and the amount is reasonably estimable. In addition, to the extent we enter into sublicense arrangements, we are obligated to pay to MSK a percentage of certain payments received from sublicensees of the rights licensed to us by MSK, which percentage will be based upon the achievement of certain clinical milestones. The Company has not entered into any sublicenses related to the MSK License Agreement. Failure by the Company to meet certain conditions under the arrangement could cause the related license to such licensed product to be canceled and could result in termination of the entire arrangement with MSK. In addition, the Company may terminate the MSK License Agreement with prior written notice to MSK.</w:t>
      </w:r>
    </w:p>
    <w:p>
      <w:pPr>
        <w:spacing w:after="0" w:line="210" w:lineRule="exact"/>
        <w:rPr>
          <w:sz w:val="20"/>
          <w:szCs w:val="20"/>
          <w:color w:val="auto"/>
        </w:rPr>
      </w:pPr>
    </w:p>
    <w:p>
      <w:pPr>
        <w:ind w:left="40" w:right="179" w:firstLine="648"/>
        <w:spacing w:after="0" w:line="220" w:lineRule="exact"/>
        <w:rPr>
          <w:sz w:val="20"/>
          <w:szCs w:val="20"/>
          <w:color w:val="auto"/>
        </w:rPr>
      </w:pPr>
      <w:r>
        <w:rPr>
          <w:rFonts w:ascii="Arial" w:cs="Arial" w:eastAsia="Arial" w:hAnsi="Arial"/>
          <w:sz w:val="17"/>
          <w:szCs w:val="17"/>
          <w:color w:val="auto"/>
        </w:rPr>
        <w:t>No milestones were expensed during the three months ended March 31, 2020 or 2019. As of March 31, 2020 and December 31, 2019, $225,000 of accrued milestone obligations were recorded in accrued short</w:t>
      </w:r>
      <w:r>
        <w:rPr>
          <w:rFonts w:ascii="MS PGothic" w:cs="MS PGothic" w:eastAsia="MS PGothic" w:hAnsi="MS PGothic"/>
          <w:sz w:val="17"/>
          <w:szCs w:val="17"/>
          <w:color w:val="auto"/>
        </w:rPr>
        <w:t>‑</w:t>
      </w:r>
      <w:r>
        <w:rPr>
          <w:rFonts w:ascii="Arial" w:cs="Arial" w:eastAsia="Arial" w:hAnsi="Arial"/>
          <w:sz w:val="17"/>
          <w:szCs w:val="17"/>
          <w:color w:val="auto"/>
        </w:rPr>
        <w:t>term liabilities and $300,000 was recorded within accrued long</w:t>
      </w:r>
      <w:r>
        <w:rPr>
          <w:rFonts w:ascii="MS PGothic" w:cs="MS PGothic" w:eastAsia="MS PGothic" w:hAnsi="MS PGothic"/>
          <w:sz w:val="17"/>
          <w:szCs w:val="17"/>
          <w:color w:val="auto"/>
        </w:rPr>
        <w:t>‑</w:t>
      </w:r>
      <w:r>
        <w:rPr>
          <w:rFonts w:ascii="Arial" w:cs="Arial" w:eastAsia="Arial" w:hAnsi="Arial"/>
          <w:sz w:val="17"/>
          <w:szCs w:val="17"/>
          <w:color w:val="auto"/>
        </w:rPr>
        <w:t>term liabilities. These clinical milestone-related charges were recorded as research and development expense upon determination that payment was probable.</w:t>
      </w:r>
    </w:p>
    <w:p>
      <w:pPr>
        <w:spacing w:after="0" w:line="204" w:lineRule="exact"/>
        <w:rPr>
          <w:sz w:val="20"/>
          <w:szCs w:val="20"/>
          <w:color w:val="auto"/>
        </w:rPr>
      </w:pPr>
    </w:p>
    <w:p>
      <w:pPr>
        <w:ind w:left="40" w:right="139" w:firstLine="648"/>
        <w:spacing w:after="0" w:line="219" w:lineRule="exact"/>
        <w:rPr>
          <w:sz w:val="20"/>
          <w:szCs w:val="20"/>
          <w:color w:val="auto"/>
        </w:rPr>
      </w:pPr>
      <w:r>
        <w:rPr>
          <w:rFonts w:ascii="Arial" w:cs="Arial" w:eastAsia="Arial" w:hAnsi="Arial"/>
          <w:sz w:val="18"/>
          <w:szCs w:val="18"/>
          <w:color w:val="auto"/>
        </w:rPr>
        <w:t>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r>
        <w:rPr>
          <w:rFonts w:ascii="MS PGothic" w:cs="MS PGothic" w:eastAsia="MS PGothic" w:hAnsi="MS PGothic"/>
          <w:sz w:val="18"/>
          <w:szCs w:val="18"/>
          <w:color w:val="auto"/>
        </w:rPr>
        <w:t>‑</w:t>
      </w:r>
      <w:r>
        <w:rPr>
          <w:rFonts w:ascii="Arial" w:cs="Arial" w:eastAsia="Arial" w:hAnsi="Arial"/>
          <w:sz w:val="18"/>
          <w:szCs w:val="18"/>
          <w:color w:val="auto"/>
        </w:rPr>
        <w:t>based milestone payments, certain of which also contain time</w:t>
      </w:r>
      <w:r>
        <w:rPr>
          <w:rFonts w:ascii="MS PGothic" w:cs="MS PGothic" w:eastAsia="MS PGothic" w:hAnsi="MS PGothic"/>
          <w:sz w:val="18"/>
          <w:szCs w:val="18"/>
          <w:color w:val="auto"/>
        </w:rPr>
        <w:t>‑</w:t>
      </w:r>
      <w:r>
        <w:rPr>
          <w:rFonts w:ascii="Arial" w:cs="Arial" w:eastAsia="Arial" w:hAnsi="Arial"/>
          <w:sz w:val="18"/>
          <w:szCs w:val="18"/>
          <w:color w:val="auto"/>
        </w:rPr>
        <w:t>based payment requirements, were probable. Such regulatory</w:t>
      </w:r>
      <w:r>
        <w:rPr>
          <w:rFonts w:ascii="MS PGothic" w:cs="MS PGothic" w:eastAsia="MS PGothic" w:hAnsi="MS PGothic"/>
          <w:sz w:val="18"/>
          <w:szCs w:val="18"/>
          <w:color w:val="auto"/>
        </w:rPr>
        <w:t>‑</w:t>
      </w:r>
      <w:r>
        <w:rPr>
          <w:rFonts w:ascii="Arial" w:cs="Arial" w:eastAsia="Arial" w:hAnsi="Arial"/>
          <w:sz w:val="18"/>
          <w:szCs w:val="18"/>
          <w:color w:val="auto"/>
        </w:rPr>
        <w:t>based obligations were determined not to be probable as of March 31, 2020 and December 31, 2019, and therefore have not been accrued.</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CD33 License Agreement</w:t>
      </w:r>
    </w:p>
    <w:p>
      <w:pPr>
        <w:spacing w:after="0" w:line="22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On November 13, 2017, we entered into an exclusive license agreement for MSK rights in connection with certain CD33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agreement. We were also obligated to pay MSK certain fees under a sponsored research agreement under the CD33 License Agreement during the years 2017 through 2019. In addition, milestone payments become due upon achievement of the related clinical, regulatory or sales</w:t>
      </w:r>
      <w:r>
        <w:rPr>
          <w:rFonts w:ascii="MS PGothic" w:cs="MS PGothic" w:eastAsia="MS PGothic" w:hAnsi="MS PGothic"/>
          <w:sz w:val="16"/>
          <w:szCs w:val="16"/>
          <w:color w:val="auto"/>
        </w:rPr>
        <w:t>‑</w:t>
      </w:r>
      <w:r>
        <w:rPr>
          <w:rFonts w:ascii="Arial" w:cs="Arial" w:eastAsia="Arial" w:hAnsi="Arial"/>
          <w:sz w:val="16"/>
          <w:szCs w:val="16"/>
          <w:color w:val="auto"/>
        </w:rPr>
        <w:t>based milestones defined in the CD33 License Agreement. Certain of these payments become due at the earlier of completion of the related milestone activity or the date indicated in the CD33 License Agreement. Total potential clinical and regulatory milestones potentially due under the CD33 License Agreement are $1,050,000. There are also sales</w:t>
      </w:r>
      <w:r>
        <w:rPr>
          <w:rFonts w:ascii="MS PGothic" w:cs="MS PGothic" w:eastAsia="MS PGothic" w:hAnsi="MS PGothic"/>
          <w:sz w:val="16"/>
          <w:szCs w:val="16"/>
          <w:color w:val="auto"/>
        </w:rPr>
        <w:t>‑</w:t>
      </w:r>
      <w:r>
        <w:rPr>
          <w:rFonts w:ascii="Arial" w:cs="Arial" w:eastAsia="Arial" w:hAnsi="Arial"/>
          <w:sz w:val="16"/>
          <w:szCs w:val="16"/>
          <w:color w:val="auto"/>
        </w:rPr>
        <w:t>based milestones that become due should the Company achieve certain amounts of sales of licensed products, with total sales</w:t>
      </w:r>
      <w:r>
        <w:rPr>
          <w:rFonts w:ascii="MS PGothic" w:cs="MS PGothic" w:eastAsia="MS PGothic" w:hAnsi="MS PGothic"/>
          <w:sz w:val="16"/>
          <w:szCs w:val="16"/>
          <w:color w:val="auto"/>
        </w:rPr>
        <w:t>‑</w:t>
      </w:r>
      <w:r>
        <w:rPr>
          <w:rFonts w:ascii="Arial" w:cs="Arial" w:eastAsia="Arial" w:hAnsi="Arial"/>
          <w:sz w:val="16"/>
          <w:szCs w:val="16"/>
          <w:color w:val="auto"/>
        </w:rPr>
        <w:t>based milestones potentially due of $7,500,000.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received from sublicensees of the rights licensed to us by MSK, which percentage will be based upon the achievement of certain clinical milestones. The Company has not entered into any sublicenses related to the CD33 License Agreement.</w:t>
      </w:r>
    </w:p>
    <w:p>
      <w:pPr>
        <w:spacing w:after="0" w:line="213"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Total milestone obligations previously expensed under the CD33 License Agreement with MSK were $550,000, all of which related to clinical milestones. Such clinical milestone obligations become due either based upon the passage of time or achievement of the related milestone activities. None of these clinical milestone obligations were paid in 2020 or 2019. A total of $450,000 was recorded as accrued long</w:t>
      </w:r>
      <w:r>
        <w:rPr>
          <w:rFonts w:ascii="MS PGothic" w:cs="MS PGothic" w:eastAsia="MS PGothic" w:hAnsi="MS PGothic"/>
          <w:sz w:val="16"/>
          <w:szCs w:val="16"/>
          <w:color w:val="auto"/>
        </w:rPr>
        <w:t>‑</w:t>
      </w:r>
      <w:r>
        <w:rPr>
          <w:rFonts w:ascii="Arial" w:cs="Arial" w:eastAsia="Arial" w:hAnsi="Arial"/>
          <w:sz w:val="16"/>
          <w:szCs w:val="16"/>
          <w:color w:val="auto"/>
        </w:rPr>
        <w:t>term liabilities and $100,000 as accrued short-term liabilities as of March 31, 2020 and December 31, 2019.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w:t>
      </w:r>
      <w:r>
        <w:rPr>
          <w:rFonts w:ascii="MS PGothic" w:cs="MS PGothic" w:eastAsia="MS PGothic" w:hAnsi="MS PGothic"/>
          <w:sz w:val="16"/>
          <w:szCs w:val="16"/>
          <w:color w:val="auto"/>
        </w:rPr>
        <w:t>‑</w:t>
      </w:r>
      <w:r>
        <w:rPr>
          <w:rFonts w:ascii="Arial" w:cs="Arial" w:eastAsia="Arial" w:hAnsi="Arial"/>
          <w:sz w:val="16"/>
          <w:szCs w:val="16"/>
          <w:color w:val="auto"/>
        </w:rPr>
        <w:t>based milestone payments and minimum royalty payments, certain of which also contain time</w:t>
      </w:r>
      <w:r>
        <w:rPr>
          <w:rFonts w:ascii="MS PGothic" w:cs="MS PGothic" w:eastAsia="MS PGothic" w:hAnsi="MS PGothic"/>
          <w:sz w:val="16"/>
          <w:szCs w:val="16"/>
          <w:color w:val="auto"/>
        </w:rPr>
        <w:t>‑</w:t>
      </w:r>
      <w:r>
        <w:rPr>
          <w:rFonts w:ascii="Arial" w:cs="Arial" w:eastAsia="Arial" w:hAnsi="Arial"/>
          <w:sz w:val="16"/>
          <w:szCs w:val="16"/>
          <w:color w:val="auto"/>
        </w:rPr>
        <w:t>based payment requirements, were probable. Given the uncertainty associated with research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308" w:lineRule="auto"/>
        <w:rPr>
          <w:sz w:val="20"/>
          <w:szCs w:val="20"/>
          <w:color w:val="auto"/>
        </w:rPr>
      </w:pPr>
      <w:r>
        <w:rPr>
          <w:rFonts w:ascii="Arial" w:cs="Arial" w:eastAsia="Arial" w:hAnsi="Arial"/>
          <w:sz w:val="17"/>
          <w:szCs w:val="17"/>
          <w:color w:val="auto"/>
        </w:rPr>
        <w:t>and development and the Company’s ability to cancel the CD33 License Agreement, such obligations were determined not to be probable as of March 31, 2020 and December 31, 2019 and therefore have not been accrued.</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MabVax Sublicense Agreement</w:t>
      </w:r>
    </w:p>
    <w:p>
      <w:pPr>
        <w:spacing w:after="0" w:line="225"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8"/>
          <w:szCs w:val="18"/>
          <w:color w:val="auto"/>
        </w:rPr>
        <w:t>On June 27, 2018, we entered into a sublicense agreement with MabVax pursuant to which MabVax has sublicensed to the Company certain of MabVax’s patent rights and know</w:t>
      </w:r>
      <w:r>
        <w:rPr>
          <w:rFonts w:ascii="MS PGothic" w:cs="MS PGothic" w:eastAsia="MS PGothic" w:hAnsi="MS PGothic"/>
          <w:sz w:val="18"/>
          <w:szCs w:val="18"/>
          <w:color w:val="auto"/>
        </w:rPr>
        <w:t>‑</w:t>
      </w:r>
      <w:r>
        <w:rPr>
          <w:rFonts w:ascii="Arial" w:cs="Arial" w:eastAsia="Arial" w:hAnsi="Arial"/>
          <w:sz w:val="18"/>
          <w:szCs w:val="18"/>
          <w:color w:val="auto"/>
        </w:rPr>
        <w:t>how for development and commercialization of products for the prevention or treatment of neuroblastoma by means of administering a GD2-GD3 Vaccine, granted to MabVax pursuant to an exclusive license agreement between MabVax and MSK. Under the sublicense agreement, the Company previously paid and expensed the license fees. The Company has agreed to become solely responsible for future amounts payable to MSK and to handle other of MabVax’ obligations applicable to the licensed indication towards MSK. This includes the obligation to pay development milestones totaling $1,400,000 and mid single digit royalty payments to MSK.</w:t>
      </w:r>
    </w:p>
    <w:p>
      <w:pPr>
        <w:spacing w:after="0" w:line="205"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On March 21, 2019, MabVax filed a voluntary petition for relief under Chapter 11 of the Bankruptcy Code. On December 2, 2019, we entered into the SAAA to preserve the License Agreement and the rights granted to us under the Sublicense Agreement and to create a direct relationship between MSK and us with respect to the rights covered under the Sublicense Agreement. Research and development is inherently uncertain and as described above, should such research and development fail, the SAAA is cancelable at the Company’s option. The Company considered risks as well as each party’s termination rights under the SAAA when considering whether any milestone payments and minimum royalty payments were probable. Given the uncertainty associated with research and development and the Company’s ability to cancel the SAAA, such obligations were determined not to be probable as of March 31, 2020 and December 31, 2019 and therefore have not been accrued.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SADA License Agreement</w:t>
      </w:r>
    </w:p>
    <w:p>
      <w:pPr>
        <w:spacing w:after="0" w:line="225"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As a subsequent event, on April 15, 2020, we entered into the SADA License Agreement that grants us a worldwide, sublicensable license to MSK’s and Massachusetts Institute of Technology’s (MIT’s) rights to certain patent rights and intellectual property rights to develop, make, and commercialize licensed products and to perform services for all therapeutic and diagnostic uses in the field of cancer diagnostics and cancer treatments using the SADA BiDE Pre-targeted Radioimmunotherapy Platform (SADA technology).</w:t>
      </w:r>
    </w:p>
    <w:p>
      <w:pPr>
        <w:spacing w:after="0" w:line="188"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patents and patent applications covered by this agreement are directed, in part, to the SADA technology, as well as a number of SADA constructs developed by MSK. Upon entering into the SADA License Agreement in April 2020 and in exchange for the licenses, we will pay MSK and MIT an upfront payment of $1,995,000 and will issue 42,900 shares of our common stock to the licensors. We will expense the upfront payment and the issuance of shares at the effective date of the SADA License Agreement.</w:t>
      </w:r>
    </w:p>
    <w:p>
      <w:pPr>
        <w:spacing w:after="0" w:line="188" w:lineRule="exact"/>
        <w:rPr>
          <w:sz w:val="20"/>
          <w:szCs w:val="20"/>
          <w:color w:val="auto"/>
        </w:rPr>
      </w:pPr>
    </w:p>
    <w:p>
      <w:pPr>
        <w:ind w:left="40" w:right="219" w:firstLine="648"/>
        <w:spacing w:after="0" w:line="296" w:lineRule="auto"/>
        <w:rPr>
          <w:sz w:val="20"/>
          <w:szCs w:val="20"/>
          <w:color w:val="auto"/>
        </w:rPr>
      </w:pPr>
      <w:r>
        <w:rPr>
          <w:rFonts w:ascii="Arial" w:cs="Arial" w:eastAsia="Arial" w:hAnsi="Arial"/>
          <w:sz w:val="16"/>
          <w:szCs w:val="16"/>
          <w:color w:val="auto"/>
        </w:rPr>
        <w:t>The SADA License Agreement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161"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We are also obligated to pay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w:t>
      </w:r>
    </w:p>
    <w:p>
      <w:pPr>
        <w:spacing w:after="0" w:line="192" w:lineRule="exact"/>
        <w:rPr>
          <w:sz w:val="20"/>
          <w:szCs w:val="20"/>
          <w:color w:val="auto"/>
        </w:rPr>
      </w:pPr>
    </w:p>
    <w:p>
      <w:pPr>
        <w:ind w:left="40" w:right="119" w:firstLine="648"/>
        <w:spacing w:after="0" w:line="311" w:lineRule="auto"/>
        <w:rPr>
          <w:sz w:val="20"/>
          <w:szCs w:val="20"/>
          <w:color w:val="auto"/>
        </w:rPr>
      </w:pPr>
      <w:r>
        <w:rPr>
          <w:rFonts w:ascii="Arial" w:cs="Arial" w:eastAsia="Arial" w:hAnsi="Arial"/>
          <w:sz w:val="16"/>
          <w:szCs w:val="16"/>
          <w:color w:val="auto"/>
        </w:rPr>
        <w:t>The Company records milestones in the period in which the contingent liability is probable and the amount is reasonably estimable. In addition, to the extent we enter into sublicense arrangements, we are obligated to pay to MSK and MIT a percentage of certain payments received from sublicensees of the rights licensed to us by MSK and MIT,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which percentage will be based upon the achievement of certain clinical milestones. The Company has not entered into any sublicenses related to the SADA License Agreement. For each of the constructs previously generated by MSK or MIT using the SADA technology and sold for the Company by a sublicensee, the Company will pay sales milestones up to $60,000,000 in total.</w:t>
      </w:r>
    </w:p>
    <w:p>
      <w:pPr>
        <w:spacing w:after="0" w:line="187" w:lineRule="exact"/>
        <w:rPr>
          <w:sz w:val="20"/>
          <w:szCs w:val="20"/>
          <w:color w:val="auto"/>
        </w:rPr>
      </w:pPr>
    </w:p>
    <w:p>
      <w:pPr>
        <w:jc w:val="both"/>
        <w:ind w:left="40" w:right="219" w:firstLine="648"/>
        <w:spacing w:after="0" w:line="286" w:lineRule="auto"/>
        <w:rPr>
          <w:sz w:val="20"/>
          <w:szCs w:val="20"/>
          <w:color w:val="auto"/>
        </w:rPr>
      </w:pPr>
      <w:r>
        <w:rPr>
          <w:rFonts w:ascii="Arial" w:cs="Arial" w:eastAsia="Arial" w:hAnsi="Arial"/>
          <w:sz w:val="17"/>
          <w:szCs w:val="17"/>
          <w:color w:val="auto"/>
        </w:rPr>
        <w:t>Failure by the Company to meet certain conditions under the arrangement could cause the related license to such licensed product to be canceled and could result in termination of the entire arrangement with MSK and MIT. In addition, the Company may terminate the SADA License Agreement with prior written notice.</w:t>
      </w:r>
    </w:p>
    <w:p>
      <w:pPr>
        <w:spacing w:after="0" w:line="165"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Research and development is inherently uncertain and as described above, should such research and development fail, the SADA License Agreement is cancelable at the Company’s option. The Company will also consider the development risk and each party’s termination rights under the agreement when considering whether any regulatory based milestone payments, certain of which also contain time-based payment requirements, are probable.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225" w:lineRule="exact"/>
        <w:rPr>
          <w:sz w:val="20"/>
          <w:szCs w:val="20"/>
          <w:color w:val="auto"/>
        </w:rPr>
      </w:pPr>
    </w:p>
    <w:p>
      <w:pPr>
        <w:ind w:left="40" w:right="179" w:firstLine="648"/>
        <w:spacing w:after="0" w:line="217" w:lineRule="exact"/>
        <w:rPr>
          <w:sz w:val="20"/>
          <w:szCs w:val="20"/>
          <w:color w:val="auto"/>
        </w:rPr>
      </w:pPr>
      <w:r>
        <w:rPr>
          <w:rFonts w:ascii="Arial" w:cs="Arial" w:eastAsia="Arial" w:hAnsi="Arial"/>
          <w:sz w:val="17"/>
          <w:szCs w:val="17"/>
          <w:color w:val="auto"/>
        </w:rPr>
        <w:t>We have also entered into various other support agreements with MSK including a sponsored research agreement to provide research services related to the intellectual property licensed under the MSK License Agreement; a master data services agreement, for services provided by approximately five full time employees at MSK, who are engaged in transferring clinical data, databases, regulatory files and other know</w:t>
      </w:r>
      <w:r>
        <w:rPr>
          <w:rFonts w:ascii="MS PGothic" w:cs="MS PGothic" w:eastAsia="MS PGothic" w:hAnsi="MS PGothic"/>
          <w:sz w:val="17"/>
          <w:szCs w:val="17"/>
          <w:color w:val="auto"/>
        </w:rPr>
        <w:t>‑</w:t>
      </w:r>
      <w:r>
        <w:rPr>
          <w:rFonts w:ascii="Arial" w:cs="Arial" w:eastAsia="Arial" w:hAnsi="Arial"/>
          <w:sz w:val="17"/>
          <w:szCs w:val="17"/>
          <w:color w:val="auto"/>
        </w:rPr>
        <w:t>how included in the MSK License Agreement to the Company; a master clinical trial agreement pursuant to which we committed to fund certain clinical trials at MSK; two separate core facility service agreements pursuant to which we committed to obtaining certain laboratory services from MSK; and a CD33 sponsored research agreement pursuant to which we agreed to pay MSK to provide research services over a period of two years related to the intellectual property licensed under the CD33 License Agreement. For three months ended March 31, 2020 and 2019, we incurred research and development expenses of $1,049,000 and $1,723,000, respectively, under these agreements.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6"/>
          <w:szCs w:val="16"/>
          <w:color w:val="auto"/>
        </w:rPr>
        <w:t>In February 2019, the Company entered into a lease agreement in connection with its 4,500 square feet laboratory in New Jersey. The term of the lease is three years from the date the Company occupied the premises, with an option to extend for an additional two years which the Company expects to exercise and has included in the determination of the related lease liability. Fixed rent payable under the lease is approximately $144,000 per annum and is payable 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equal monthly installments of approximately $12,000.</w:t>
      </w:r>
    </w:p>
    <w:p>
      <w:pPr>
        <w:spacing w:after="0" w:line="211" w:lineRule="exact"/>
        <w:rPr>
          <w:sz w:val="20"/>
          <w:szCs w:val="20"/>
          <w:color w:val="auto"/>
        </w:rPr>
      </w:pPr>
    </w:p>
    <w:p>
      <w:pPr>
        <w:ind w:left="40" w:right="219" w:firstLine="648"/>
        <w:spacing w:after="0" w:line="220" w:lineRule="exact"/>
        <w:rPr>
          <w:sz w:val="20"/>
          <w:szCs w:val="20"/>
          <w:color w:val="auto"/>
        </w:rPr>
      </w:pPr>
      <w:r>
        <w:rPr>
          <w:rFonts w:ascii="Arial" w:cs="Arial" w:eastAsia="Arial" w:hAnsi="Arial"/>
          <w:sz w:val="18"/>
          <w:szCs w:val="18"/>
          <w:color w:val="auto"/>
        </w:rPr>
        <w:t>January 2018, the Company entered into a lease agreement in connection with its corporate headquarters in New York. The term of the lease is five years from the date the Company begins to occupy the premises. Fixed rent payable under the lease is approximately $384,000 per annum and is payable in equal monthly installments of approximately $32,000, which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w:t>
      </w:r>
    </w:p>
    <w:p>
      <w:pPr>
        <w:spacing w:after="0" w:line="204" w:lineRule="exact"/>
        <w:rPr>
          <w:sz w:val="20"/>
          <w:szCs w:val="20"/>
          <w:color w:val="auto"/>
        </w:rPr>
      </w:pPr>
    </w:p>
    <w:p>
      <w:pPr>
        <w:ind w:left="40" w:right="59" w:firstLine="648"/>
        <w:spacing w:after="0" w:line="220" w:lineRule="exact"/>
        <w:rPr>
          <w:sz w:val="20"/>
          <w:szCs w:val="20"/>
          <w:color w:val="auto"/>
        </w:rPr>
      </w:pPr>
      <w:r>
        <w:rPr>
          <w:rFonts w:ascii="Arial" w:cs="Arial" w:eastAsia="Arial" w:hAnsi="Arial"/>
          <w:sz w:val="18"/>
          <w:szCs w:val="18"/>
          <w:color w:val="auto"/>
        </w:rPr>
        <w:t>Additionally, the Company entered a three</w:t>
      </w:r>
      <w:r>
        <w:rPr>
          <w:rFonts w:ascii="MS PGothic" w:cs="MS PGothic" w:eastAsia="MS PGothic" w:hAnsi="MS PGothic"/>
          <w:sz w:val="18"/>
          <w:szCs w:val="18"/>
          <w:color w:val="auto"/>
        </w:rPr>
        <w:t>‑</w:t>
      </w:r>
      <w:r>
        <w:rPr>
          <w:rFonts w:ascii="Arial" w:cs="Arial" w:eastAsia="Arial" w:hAnsi="Arial"/>
          <w:sz w:val="18"/>
          <w:szCs w:val="18"/>
          <w:color w:val="auto"/>
        </w:rPr>
        <w:t>year lease agreement for the lease of certain office space in Denmark in February 2018, as amended in November 2018 and February 2019. The lease is payable in monthly installments of approximately $19,000, which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Until the end of March 2018, the Company has maintained a lease for certain office space in Denmark.</w:t>
      </w:r>
    </w:p>
    <w:p>
      <w:pPr>
        <w:spacing w:after="0" w:line="204" w:lineRule="exact"/>
        <w:rPr>
          <w:sz w:val="20"/>
          <w:szCs w:val="20"/>
          <w:color w:val="auto"/>
        </w:rPr>
      </w:pPr>
    </w:p>
    <w:p>
      <w:pPr>
        <w:ind w:left="40" w:right="199" w:firstLine="648"/>
        <w:spacing w:after="0" w:line="342" w:lineRule="auto"/>
        <w:rPr>
          <w:sz w:val="20"/>
          <w:szCs w:val="20"/>
          <w:color w:val="auto"/>
        </w:rPr>
      </w:pPr>
      <w:r>
        <w:rPr>
          <w:rFonts w:ascii="Arial" w:cs="Arial" w:eastAsia="Arial" w:hAnsi="Arial"/>
          <w:sz w:val="16"/>
          <w:szCs w:val="16"/>
          <w:color w:val="auto"/>
        </w:rPr>
        <w:t>As described above in Note 3, the Company adopted Topic 842 as of January 1, 2019. Prior period amounts have not been adjusted and continue to be reported in accordance with the Company’s historical accounting under Topic 840.</w:t>
      </w:r>
    </w:p>
    <w:p>
      <w:pPr>
        <w:spacing w:after="0" w:line="124"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Total operating lease costs were $174,000 and $141,000 for the three months ended March 31, 2020 and 2019, respectively.</w:t>
      </w:r>
    </w:p>
    <w:p>
      <w:pPr>
        <w:spacing w:after="0" w:line="170" w:lineRule="exact"/>
        <w:rPr>
          <w:sz w:val="20"/>
          <w:szCs w:val="20"/>
          <w:color w:val="auto"/>
        </w:rPr>
      </w:pPr>
    </w:p>
    <w:p>
      <w:pPr>
        <w:ind w:left="40" w:right="619" w:firstLine="648"/>
        <w:spacing w:after="0" w:line="342" w:lineRule="auto"/>
        <w:rPr>
          <w:sz w:val="20"/>
          <w:szCs w:val="20"/>
          <w:color w:val="auto"/>
        </w:rPr>
      </w:pPr>
      <w:r>
        <w:rPr>
          <w:rFonts w:ascii="Arial" w:cs="Arial" w:eastAsia="Arial" w:hAnsi="Arial"/>
          <w:sz w:val="16"/>
          <w:szCs w:val="16"/>
          <w:color w:val="auto"/>
        </w:rPr>
        <w:t>During the three months ended March 31, 2020, the expenses were recorded as $123,000 in research and development expense and $51,000 in general and administrative expense. During the three months ended March 31,</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79"/>
        <w:spacing w:after="0" w:line="277" w:lineRule="auto"/>
        <w:rPr>
          <w:sz w:val="20"/>
          <w:szCs w:val="20"/>
          <w:color w:val="auto"/>
        </w:rPr>
      </w:pPr>
      <w:r>
        <w:rPr>
          <w:rFonts w:ascii="Arial" w:cs="Arial" w:eastAsia="Arial" w:hAnsi="Arial"/>
          <w:sz w:val="18"/>
          <w:szCs w:val="18"/>
          <w:color w:val="auto"/>
        </w:rPr>
        <w:t>2019, the expenses were recorded as $97,000 in research and development expense and $44,000 in general and administrative expense.</w:t>
      </w:r>
    </w:p>
    <w:p>
      <w:pPr>
        <w:spacing w:after="0" w:line="170"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Cash paid for amounts included in the measurement of lease liabilities for the three months ended March 31, 2020 and 2019 was $188,000 and $32,000, respectively, and was included in net cash used in operating activities in the Company’s Consolidated Statements of Cash Flows.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March 31, 2020 were as follows (in thousands):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Operating Leases</w:t>
            </w:r>
          </w:p>
        </w:tc>
      </w:tr>
      <w:tr>
        <w:trPr>
          <w:trHeight w:val="171"/>
        </w:trPr>
        <w:tc>
          <w:tcPr>
            <w:tcW w:w="55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at March 31, 2020</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2022</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2024</w:t>
            </w:r>
          </w:p>
        </w:tc>
        <w:tc>
          <w:tcPr>
            <w:tcW w:w="1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r>
      <w:tr>
        <w:trPr>
          <w:trHeight w:val="229"/>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1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 at March 31, 2020</w:t>
            </w:r>
          </w:p>
        </w:tc>
        <w:tc>
          <w:tcPr>
            <w:tcW w:w="1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December 31, 2019 were as follows (in thousands):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rPr>
              <w:t>Operating Leases</w:t>
            </w:r>
          </w:p>
        </w:tc>
      </w:tr>
      <w:tr>
        <w:trPr>
          <w:trHeight w:val="171"/>
        </w:trPr>
        <w:tc>
          <w:tcPr>
            <w:tcW w:w="7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at December 31, 2019</w:t>
            </w:r>
          </w:p>
        </w:tc>
      </w:tr>
      <w:tr>
        <w:trPr>
          <w:trHeight w:val="21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740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2,764</w:t>
            </w: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Contractual obligations at December 31, 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r>
    </w:tbl>
    <w:p>
      <w:pPr>
        <w:spacing w:after="0" w:line="202"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March 31, 2020, the weighted average remaining lease term is 3.51 years and the weighted average discount rate used to determine the operating lease liability was 11.0%.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left="40" w:right="439" w:firstLine="648"/>
        <w:spacing w:after="0" w:line="263" w:lineRule="auto"/>
        <w:rPr>
          <w:sz w:val="20"/>
          <w:szCs w:val="20"/>
          <w:color w:val="auto"/>
        </w:rPr>
      </w:pPr>
      <w:r>
        <w:rPr>
          <w:rFonts w:ascii="Arial" w:cs="Arial" w:eastAsia="Arial" w:hAnsi="Arial"/>
          <w:sz w:val="18"/>
          <w:szCs w:val="18"/>
          <w:color w:val="auto"/>
        </w:rPr>
        <w:t>As of March 31, 2020 and December 31, 2019, the Company has authorized a total of 105,500,000 shares, 100,000,000 of which are common stock, par value $0.0001 per share, and 5,500,000 of which are preferred stock, par value $0.0001 per share.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40" w:right="359" w:firstLine="648"/>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39,757,623 shares of its common stock as of March 31, 2020 and 39,728,416 shares of its common stock as of December 31, 2019.</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40" w:right="399" w:firstLine="648"/>
        <w:spacing w:after="0" w:line="311"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March 31, 2020 or December 31, 2019.</w:t>
      </w:r>
    </w:p>
    <w:p>
      <w:pPr>
        <w:spacing w:after="0" w:line="14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Stock grant agreements with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color w:val="auto"/>
        </w:rPr>
        <w:t>In August 2015, we entered into certain stock grant agreements with non</w:t>
      </w:r>
      <w:r>
        <w:rPr>
          <w:rFonts w:ascii="MS PGothic" w:cs="MS PGothic" w:eastAsia="MS PGothic" w:hAnsi="MS PGothic"/>
          <w:sz w:val="17"/>
          <w:szCs w:val="17"/>
          <w:color w:val="auto"/>
        </w:rPr>
        <w:t>‑</w:t>
      </w:r>
      <w:r>
        <w:rPr>
          <w:rFonts w:ascii="Arial" w:cs="Arial" w:eastAsia="Arial" w:hAnsi="Arial"/>
          <w:sz w:val="17"/>
          <w:szCs w:val="17"/>
          <w:color w:val="auto"/>
        </w:rPr>
        <w:t>employees of the Company. We agreed to issue a total of 2,800,000 shares to two non</w:t>
      </w:r>
      <w:r>
        <w:rPr>
          <w:rFonts w:ascii="MS PGothic" w:cs="MS PGothic" w:eastAsia="MS PGothic" w:hAnsi="MS PGothic"/>
          <w:sz w:val="17"/>
          <w:szCs w:val="17"/>
          <w:color w:val="auto"/>
        </w:rPr>
        <w:t>‑</w:t>
      </w:r>
      <w:r>
        <w:rPr>
          <w:rFonts w:ascii="Arial" w:cs="Arial" w:eastAsia="Arial" w:hAnsi="Arial"/>
          <w:sz w:val="17"/>
          <w:szCs w:val="17"/>
          <w:color w:val="auto"/>
        </w:rPr>
        <w:t>employee researchers who were involved in the development of technology licensed from MSK in consideration for their prior service. These two researchers were employees of MSK. The shares are released according to a vesting schedule. A total of 560,000 shares were issued in 2015, and a total of 448,000 shares issued in each of 2016 and 2017. In 2018, a total of 544,000 shares were issued to the two researchers, whereby one of the two grants were fully issued. In 2019 a total of 400,000 shares were issued to one of the physicians, and the remaining 400,000 shares are to be issued in August 2020, subject to certain conditions, such that the total grant will have been issued. The total award was expensed at its estimated fair value in 2015, as no future service was required to continue to vest in and receive the shares.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left="40" w:right="79" w:firstLine="648"/>
        <w:spacing w:after="0" w:line="342" w:lineRule="auto"/>
        <w:rPr>
          <w:sz w:val="20"/>
          <w:szCs w:val="20"/>
          <w:color w:val="auto"/>
        </w:rPr>
      </w:pPr>
      <w:r>
        <w:rPr>
          <w:rFonts w:ascii="Arial" w:cs="Arial" w:eastAsia="Arial" w:hAnsi="Arial"/>
          <w:sz w:val="16"/>
          <w:szCs w:val="16"/>
          <w:color w:val="auto"/>
        </w:rPr>
        <w:t>In November 2019, we completed a secondary public offering and issued 5,134,750 shares of our Common Stock at a purchase price of $28.00 per share for an aggregate consideration of $134,704,000, net of issuance costs of $9,100,000.</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8—SHARE-BASED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Our board of directors and stockholders have approved and adopted the 2015 Plan, which provided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 Upon the 2018 Equity Incentive Plan (the “2018 Plan’) becoming effective in September 2018, no further grants are allowed under the 2015 Plan.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69" w:lineRule="auto"/>
        <w:rPr>
          <w:sz w:val="20"/>
          <w:szCs w:val="20"/>
          <w:color w:val="auto"/>
        </w:rPr>
      </w:pPr>
      <w:r>
        <w:rPr>
          <w:rFonts w:ascii="Arial" w:cs="Arial" w:eastAsia="Arial" w:hAnsi="Arial"/>
          <w:sz w:val="17"/>
          <w:szCs w:val="17"/>
          <w:color w:val="auto"/>
        </w:rPr>
        <w:t>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a four-year period and generally become immediately exercisable upon the occurrence of a change in control, as defined.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left="40" w:right="499" w:firstLine="648"/>
        <w:spacing w:after="0" w:line="296" w:lineRule="auto"/>
        <w:rPr>
          <w:sz w:val="20"/>
          <w:szCs w:val="20"/>
          <w:color w:val="auto"/>
        </w:rPr>
      </w:pPr>
      <w:r>
        <w:rPr>
          <w:rFonts w:ascii="Arial" w:cs="Arial" w:eastAsia="Arial" w:hAnsi="Arial"/>
          <w:sz w:val="16"/>
          <w:szCs w:val="16"/>
          <w:color w:val="auto"/>
        </w:rPr>
        <w:t>During the three-month periods ended March 31, 2020 and 2019, stock-based compensation for stock option grants were $2,188,000 and $848,000, respectively, for options granted to employees and directors. During the three months ended March 31, 2020, the expenses were recorded as $489,000 in research and development expense and $1,699,000 in general and administrative expense. During the three months ended March 31, 2019, the expenses were recorded as $145,000 in research and development expense and $703,000 in general and administrative expense.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value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4,005,873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717,000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and expected to vest at March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4,697,095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13.49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63,082</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2,626,106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53,554</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The weighted average fair value of stock options granted during the three months ended March 31, 2020 and 2019 was $16.94 and $12.88, respectively.</w:t>
      </w:r>
    </w:p>
    <w:p>
      <w:pPr>
        <w:spacing w:after="0" w:line="170"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84"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As of March 31, 2020, we had $25.9 million of unrecognized compensation related to employee stock options that are expected to vest over a period of 3.03 years. As of December 31, 2019, we had $15.9 million of unrecognized compensation related to employee stock options that are expected to vest over a period of 2.72 years.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During the three months ended March 31, 2020 and March 31, 2019, stock-based compensation for restricted stock unit grants was $23,000 and $16,000, respectively. During the three months ended March 31, 2020, the expenses were recorded as $21,000 in research and development expense and $2,000 in general and administrative expense. During the three months ended March 31, 2019, the expenses were recorded as $14,000 in research and development expense and $2,000 in general and administrative expense.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restricted stock units issued and outstanding: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Stock Units</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2019</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17,862</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(3,429)</w:t>
            </w: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auto"/>
              </w:rPr>
              <w:t>Outstanding and expected to vest at March 31, 2020</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24,729</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40" w:right="279" w:firstLine="648"/>
        <w:spacing w:after="0" w:line="301" w:lineRule="auto"/>
        <w:rPr>
          <w:sz w:val="20"/>
          <w:szCs w:val="20"/>
          <w:color w:val="auto"/>
        </w:rPr>
      </w:pPr>
      <w:r>
        <w:rPr>
          <w:rFonts w:ascii="Arial" w:cs="Arial" w:eastAsia="Arial" w:hAnsi="Arial"/>
          <w:sz w:val="16"/>
          <w:szCs w:val="16"/>
          <w:color w:val="auto"/>
        </w:rPr>
        <w:t>The weighted average fair value of restricted stock units granted during the three months ended March 31, 2020 was $20.74. As of March 31, 2020, we had $486,000 of unrecognized compensation related to employee restricted stock units that are expected to vest over a period of 2.54 years. As of March 31, 2019, we had $222,000 of unrecognized compensation related to employee restricted stock units that are expected to vest over a period of 2.80 years.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MSK is a shareholder of the Company. Under the MSK License Agreement, the CD33 License Agreement, CTA, CFAs, SRA and MDSA, we have expensed costs in the total amount of $1,049,000 and $1,723,000 in the three months ended March 31, 2020 and 2019, respectively, for milestones, minimum royalties, and research and development costs. Please refer to Note 6 for additional details on our agreements with MSK. As of March 31, 2020 and December 31, 2019, we had a total of $3,711,000 and $4,171,000, respectively, recorded as accounts payable and accrued liabilities related to amounts due to MSK.</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10—INCOME TAXES</w:t>
      </w:r>
    </w:p>
    <w:p>
      <w:pPr>
        <w:spacing w:after="0" w:line="229"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The Company provided no current and deferred income taxes on net losses of $26,179,000 and $15,934,000 for the three-month periods ended March 31, 2020 and 2019, respectively.</w:t>
      </w:r>
    </w:p>
    <w:p>
      <w:pPr>
        <w:spacing w:after="0" w:line="170" w:lineRule="exact"/>
        <w:rPr>
          <w:sz w:val="20"/>
          <w:szCs w:val="20"/>
          <w:color w:val="auto"/>
        </w:rPr>
      </w:pPr>
    </w:p>
    <w:p>
      <w:pPr>
        <w:ind w:left="40" w:right="359" w:firstLine="648"/>
        <w:spacing w:after="0" w:line="301"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As of March 31, 2020 and December 31, 2019, the Company has determined that there were no uncertain tax positions. The Company’s tax returns for years 2019, 2018, 2017, 2016, and 2015 are open for tax examination by U.S. federal and state, and the Danish tax authorities.</w:t>
      </w:r>
    </w:p>
    <w:p>
      <w:pPr>
        <w:spacing w:after="0" w:line="157"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70" w:lineRule="exact"/>
        <w:rPr>
          <w:sz w:val="20"/>
          <w:szCs w:val="20"/>
          <w:color w:val="auto"/>
        </w:rPr>
      </w:pPr>
    </w:p>
    <w:p>
      <w:pPr>
        <w:ind w:left="40" w:right="219" w:firstLine="648"/>
        <w:spacing w:after="0" w:line="253" w:lineRule="auto"/>
        <w:rPr>
          <w:sz w:val="20"/>
          <w:szCs w:val="20"/>
          <w:color w:val="auto"/>
        </w:rPr>
      </w:pPr>
      <w:r>
        <w:rPr>
          <w:rFonts w:ascii="Arial" w:cs="Arial" w:eastAsia="Arial" w:hAnsi="Arial"/>
          <w:sz w:val="18"/>
          <w:szCs w:val="18"/>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11—OTHER BENEFITS</w:t>
      </w:r>
    </w:p>
    <w:p>
      <w:pPr>
        <w:spacing w:after="0" w:line="229"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The Company has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three months ended March 31, 2020 and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The Company has established a retirement program for employees of the Company’s Danish subsidiary pursuant to which all such employees can contribute an amount at their election from their base compensation and may receive contributions from our Danish subsidiary. No contributions from our Danish subsidiary were made during the three months ended March 31, 2020, and contributions were immaterial during the three months ended March 31, 2019. In addition, health insurance benefits for our Danish employees are fully paid for by such employees. Our Danish subsidiary does not incur any costs for these health insurance benefits.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12-SUBSEQUENT EVENTS</w:t>
      </w:r>
    </w:p>
    <w:p>
      <w:pPr>
        <w:spacing w:after="0" w:line="229"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As discussed previously in Note 6 License Agreements and Commitments, in April 2020 the Company entered into an agreement with MSK and MIT for a worldwide exclusive license and research collaboration to develop and commercialize antibody constructs based on the SADA-BiDE (2-step Self-Assembly and DisAssembly-Bispecific DOTA-Engaging antibody system) Pre-targeted Radioimmunotherapy Platform (the SADA technology), a concept also referred to as Liquid Radiation</w:t>
      </w:r>
      <w:r>
        <w:rPr>
          <w:rFonts w:ascii="Arial" w:cs="Arial" w:eastAsia="Arial" w:hAnsi="Arial"/>
          <w:sz w:val="8"/>
          <w:szCs w:val="8"/>
          <w:color w:val="auto"/>
        </w:rPr>
        <w:t>TM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with our accompanying financial statements and related notes thereto included elsewhere in this Quarterly Report on Form</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10-Q and in our Annual Report on Form 10-K for the year ended December 31, 2019 on file with the SEC. Some of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information contained in this discussion and analysis or set forth elsewhere in this Quarterly Report on Form 10-Q,</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including information with respect to our plans and strategy for our business and related financing, includes</w:t>
      </w:r>
    </w:p>
    <w:p>
      <w:pPr>
        <w:spacing w:after="0" w:line="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i w:val="1"/>
          <w:iCs w:val="1"/>
          <w:color w:val="auto"/>
        </w:rPr>
        <w:t>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As a result of many factors, including those factors set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forth in the “Risk Factors” section of this Quarterly Report on Form 10-Q, our actual results could differ materially from</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i w:val="1"/>
          <w:iCs w:val="1"/>
          <w:color w:val="auto"/>
        </w:rPr>
        <w:t>the results described in or implied by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contained in the following discussion and analysis.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 convenience of presentation some of the numbers have been rounded in the text below.</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6"/>
          <w:szCs w:val="16"/>
          <w:color w:val="auto"/>
        </w:rPr>
        <w:t>We are a late</w:t>
      </w:r>
      <w:r>
        <w:rPr>
          <w:rFonts w:ascii="MS PGothic" w:cs="MS PGothic" w:eastAsia="MS PGothic" w:hAnsi="MS PGothic"/>
          <w:sz w:val="16"/>
          <w:szCs w:val="16"/>
          <w:color w:val="auto"/>
        </w:rPr>
        <w:t>‑</w:t>
      </w:r>
      <w:r>
        <w:rPr>
          <w:rFonts w:ascii="Arial" w:cs="Arial" w:eastAsia="Arial" w:hAnsi="Arial"/>
          <w:sz w:val="16"/>
          <w:szCs w:val="16"/>
          <w:color w:val="auto"/>
        </w:rPr>
        <w:t>stage clinical biopharmaceutical company focused on the development and commercialization of novel, antibody</w:t>
      </w:r>
      <w:r>
        <w:rPr>
          <w:rFonts w:ascii="MS PGothic" w:cs="MS PGothic" w:eastAsia="MS PGothic" w:hAnsi="MS PGothic"/>
          <w:sz w:val="16"/>
          <w:szCs w:val="16"/>
          <w:color w:val="auto"/>
        </w:rPr>
        <w:t>‑</w:t>
      </w:r>
      <w:r>
        <w:rPr>
          <w:rFonts w:ascii="Arial" w:cs="Arial" w:eastAsia="Arial" w:hAnsi="Arial"/>
          <w:sz w:val="16"/>
          <w:szCs w:val="16"/>
          <w:color w:val="auto"/>
        </w:rPr>
        <w:t>based therapeutic products for the treatment of cancer. We have a broad and advanced product pipeline, including two pivotal</w:t>
      </w:r>
      <w:r>
        <w:rPr>
          <w:rFonts w:ascii="MS PGothic" w:cs="MS PGothic" w:eastAsia="MS PGothic" w:hAnsi="MS PGothic"/>
          <w:sz w:val="16"/>
          <w:szCs w:val="16"/>
          <w:color w:val="auto"/>
        </w:rPr>
        <w:t>‑</w:t>
      </w:r>
      <w:r>
        <w:rPr>
          <w:rFonts w:ascii="Arial" w:cs="Arial" w:eastAsia="Arial" w:hAnsi="Arial"/>
          <w:sz w:val="16"/>
          <w:szCs w:val="16"/>
          <w:color w:val="auto"/>
        </w:rPr>
        <w:t>stage product candidates—naxitamab and omburtamab—which target tumors that express GD2 and B7</w:t>
      </w:r>
      <w:r>
        <w:rPr>
          <w:rFonts w:ascii="MS PGothic" w:cs="MS PGothic" w:eastAsia="MS PGothic" w:hAnsi="MS PGothic"/>
          <w:sz w:val="16"/>
          <w:szCs w:val="16"/>
          <w:color w:val="auto"/>
        </w:rPr>
        <w:t>‑</w:t>
      </w:r>
      <w:r>
        <w:rPr>
          <w:rFonts w:ascii="Arial" w:cs="Arial" w:eastAsia="Arial" w:hAnsi="Arial"/>
          <w:sz w:val="16"/>
          <w:szCs w:val="16"/>
          <w:color w:val="auto"/>
        </w:rPr>
        <w:t>H3, respectively. We are developing naxitamab for the treatment of pediatric patients with relapsed or refractory, or R/R, high</w:t>
      </w:r>
      <w:r>
        <w:rPr>
          <w:rFonts w:ascii="MS PGothic" w:cs="MS PGothic" w:eastAsia="MS PGothic" w:hAnsi="MS PGothic"/>
          <w:sz w:val="16"/>
          <w:szCs w:val="16"/>
          <w:color w:val="auto"/>
        </w:rPr>
        <w:t>‑</w:t>
      </w:r>
      <w:r>
        <w:rPr>
          <w:rFonts w:ascii="Arial" w:cs="Arial" w:eastAsia="Arial" w:hAnsi="Arial"/>
          <w:sz w:val="16"/>
          <w:szCs w:val="16"/>
          <w:color w:val="auto"/>
        </w:rPr>
        <w:t>risk neuroblastoma, or NB, and radiolabeled omburtamab for the treatment of pediatric patients with central nervous system, or CNS, leptomeningeal metastasis,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202"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8"/>
          <w:szCs w:val="18"/>
          <w:color w:val="auto"/>
        </w:rPr>
        <w:t>On March 31, 2020, we completed submission of our rolling BLA for naxitamab to the FDA with a goal of receiving approval by the FDA in 2020. The submission began in November 2019, when we submitted the initial portion of our BLA under the FDA’s rolling review process. Following our pre-BLA meeting with the FDA for omburtamab in February 2020, we also expect to submit this BLA via a rolling submission, which is to be initiated in May 2020 with expected completion in June 2020, and with the goal of receiving approval by the FDA in 2020. We plan to commercialize both of our lead product candidates in the United States as soon as possible after obtaining FDA approval, if such approval occurs. Additionally, we have two omburtamab follow</w:t>
      </w:r>
      <w:r>
        <w:rPr>
          <w:rFonts w:ascii="MS PGothic" w:cs="MS PGothic" w:eastAsia="MS PGothic" w:hAnsi="MS PGothic"/>
          <w:sz w:val="18"/>
          <w:szCs w:val="18"/>
          <w:color w:val="auto"/>
        </w:rPr>
        <w:t>‑</w:t>
      </w:r>
      <w:r>
        <w:rPr>
          <w:rFonts w:ascii="Arial" w:cs="Arial" w:eastAsia="Arial" w:hAnsi="Arial"/>
          <w:sz w:val="18"/>
          <w:szCs w:val="18"/>
          <w:color w:val="auto"/>
        </w:rPr>
        <w:t>on product candidates in pre</w:t>
      </w:r>
      <w:r>
        <w:rPr>
          <w:rFonts w:ascii="MS PGothic" w:cs="MS PGothic" w:eastAsia="MS PGothic" w:hAnsi="MS PGothic"/>
          <w:sz w:val="18"/>
          <w:szCs w:val="18"/>
          <w:color w:val="auto"/>
        </w:rPr>
        <w:t>‑</w:t>
      </w:r>
      <w:r>
        <w:rPr>
          <w:rFonts w:ascii="Arial" w:cs="Arial" w:eastAsia="Arial" w:hAnsi="Arial"/>
          <w:sz w:val="18"/>
          <w:szCs w:val="18"/>
          <w:color w:val="auto"/>
        </w:rPr>
        <w:t xml:space="preserve">clinical development, </w:t>
      </w:r>
      <w:r>
        <w:rPr>
          <w:rFonts w:ascii="Arial" w:cs="Arial" w:eastAsia="Arial" w:hAnsi="Arial"/>
          <w:sz w:val="8"/>
          <w:szCs w:val="8"/>
          <w:color w:val="auto"/>
        </w:rPr>
        <w:t>177</w:t>
      </w:r>
      <w:r>
        <w:rPr>
          <w:rFonts w:ascii="Arial" w:cs="Arial" w:eastAsia="Arial" w:hAnsi="Arial"/>
          <w:sz w:val="18"/>
          <w:szCs w:val="18"/>
          <w:color w:val="auto"/>
        </w:rPr>
        <w:t>Lu-omburtamab-DTPA and huB7</w:t>
      </w:r>
      <w:r>
        <w:rPr>
          <w:rFonts w:ascii="MS PGothic" w:cs="MS PGothic" w:eastAsia="MS PGothic" w:hAnsi="MS PGothic"/>
          <w:sz w:val="18"/>
          <w:szCs w:val="18"/>
          <w:color w:val="auto"/>
        </w:rPr>
        <w:t>‑</w:t>
      </w:r>
      <w:r>
        <w:rPr>
          <w:rFonts w:ascii="Arial" w:cs="Arial" w:eastAsia="Arial" w:hAnsi="Arial"/>
          <w:sz w:val="18"/>
          <w:szCs w:val="18"/>
          <w:color w:val="auto"/>
        </w:rPr>
        <w:t>H3, a humanized version of omburtamab, each targeting indications with large adult patient populations.</w:t>
      </w:r>
    </w:p>
    <w:p>
      <w:pPr>
        <w:spacing w:after="0" w:line="204" w:lineRule="exact"/>
        <w:rPr>
          <w:sz w:val="20"/>
          <w:szCs w:val="20"/>
          <w:color w:val="auto"/>
        </w:rPr>
      </w:pPr>
    </w:p>
    <w:p>
      <w:pPr>
        <w:jc w:val="both"/>
        <w:ind w:left="40" w:right="159" w:firstLine="648"/>
        <w:spacing w:after="0" w:line="220" w:lineRule="exact"/>
        <w:rPr>
          <w:sz w:val="20"/>
          <w:szCs w:val="20"/>
          <w:color w:val="auto"/>
        </w:rPr>
      </w:pPr>
      <w:r>
        <w:rPr>
          <w:rFonts w:ascii="Arial" w:cs="Arial" w:eastAsia="Arial" w:hAnsi="Arial"/>
          <w:sz w:val="17"/>
          <w:szCs w:val="17"/>
          <w:color w:val="auto"/>
        </w:rPr>
        <w:t>In addition, we have initiated a Phase 1 trial with our huGD2 bispecific antibody, or BsAb, product candidate for the treatment of refractory GD2 positive adult and pediatric solid tumors, thereby addressing large patient populations. We are also advancing a pipeline of novel BsAbs through late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including our huCD33</w:t>
      </w:r>
      <w:r>
        <w:rPr>
          <w:rFonts w:ascii="MS PGothic" w:cs="MS PGothic" w:eastAsia="MS PGothic" w:hAnsi="MS PGothic"/>
          <w:sz w:val="17"/>
          <w:szCs w:val="17"/>
          <w:color w:val="auto"/>
        </w:rPr>
        <w:t>‑</w:t>
      </w:r>
      <w:r>
        <w:rPr>
          <w:rFonts w:ascii="Arial" w:cs="Arial" w:eastAsia="Arial" w:hAnsi="Arial"/>
          <w:sz w:val="17"/>
          <w:szCs w:val="17"/>
          <w:color w:val="auto"/>
        </w:rPr>
        <w:t>BsAb product candidate for the treatment of hematological cancers expressing CD33, a transmembrane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receptor expressed on cells of myeloid lineage. We believe our BsAbs have the potential to result in improved</w:t>
      </w:r>
    </w:p>
    <w:p>
      <w:pPr>
        <w:spacing w:after="0" w:line="23" w:lineRule="exact"/>
        <w:rPr>
          <w:sz w:val="20"/>
          <w:szCs w:val="20"/>
          <w:color w:val="auto"/>
        </w:rPr>
      </w:pPr>
    </w:p>
    <w:p>
      <w:pPr>
        <w:ind w:left="40" w:right="139"/>
        <w:spacing w:after="0" w:line="216" w:lineRule="exact"/>
        <w:rPr>
          <w:sz w:val="20"/>
          <w:szCs w:val="20"/>
          <w:color w:val="auto"/>
        </w:rPr>
      </w:pPr>
      <w:r>
        <w:rPr>
          <w:rFonts w:ascii="Arial" w:cs="Arial" w:eastAsia="Arial" w:hAnsi="Arial"/>
          <w:sz w:val="18"/>
          <w:szCs w:val="18"/>
          <w:color w:val="auto"/>
        </w:rPr>
        <w:t>tumor</w:t>
      </w:r>
      <w:r>
        <w:rPr>
          <w:rFonts w:ascii="MS PGothic" w:cs="MS PGothic" w:eastAsia="MS PGothic" w:hAnsi="MS PGothic"/>
          <w:sz w:val="18"/>
          <w:szCs w:val="18"/>
          <w:color w:val="auto"/>
        </w:rPr>
        <w:t>‑</w:t>
      </w:r>
      <w:r>
        <w:rPr>
          <w:rFonts w:ascii="Arial" w:cs="Arial" w:eastAsia="Arial" w:hAnsi="Arial"/>
          <w:sz w:val="18"/>
          <w:szCs w:val="18"/>
          <w:color w:val="auto"/>
        </w:rPr>
        <w:t>binding, longer serum half</w:t>
      </w:r>
      <w:r>
        <w:rPr>
          <w:rFonts w:ascii="MS PGothic" w:cs="MS PGothic" w:eastAsia="MS PGothic" w:hAnsi="MS PGothic"/>
          <w:sz w:val="18"/>
          <w:szCs w:val="18"/>
          <w:color w:val="auto"/>
        </w:rPr>
        <w:t>‑</w:t>
      </w:r>
      <w:r>
        <w:rPr>
          <w:rFonts w:ascii="Arial" w:cs="Arial" w:eastAsia="Arial" w:hAnsi="Arial"/>
          <w:sz w:val="18"/>
          <w:szCs w:val="18"/>
          <w:color w:val="auto"/>
        </w:rPr>
        <w:t>life and significantly greater T</w:t>
      </w:r>
      <w:r>
        <w:rPr>
          <w:rFonts w:ascii="MS PGothic" w:cs="MS PGothic" w:eastAsia="MS PGothic" w:hAnsi="MS PGothic"/>
          <w:sz w:val="18"/>
          <w:szCs w:val="18"/>
          <w:color w:val="auto"/>
        </w:rPr>
        <w:t>‑</w:t>
      </w:r>
      <w:r>
        <w:rPr>
          <w:rFonts w:ascii="Arial" w:cs="Arial" w:eastAsia="Arial" w:hAnsi="Arial"/>
          <w:sz w:val="18"/>
          <w:szCs w:val="18"/>
          <w:color w:val="auto"/>
        </w:rPr>
        <w:t>cell mediated killing of tumor cells without the need for continuous infusion. Our GD2-GD3 Vaccine for the treatment of high-risk NB patients in remission is being tested in a Phase 2 trial. Our mission is to become the world leader in developing better and safer antibody</w:t>
      </w:r>
      <w:r>
        <w:rPr>
          <w:rFonts w:ascii="MS PGothic" w:cs="MS PGothic" w:eastAsia="MS PGothic" w:hAnsi="MS PGothic"/>
          <w:sz w:val="18"/>
          <w:szCs w:val="18"/>
          <w:color w:val="auto"/>
        </w:rPr>
        <w:t>‑</w:t>
      </w:r>
      <w:r>
        <w:rPr>
          <w:rFonts w:ascii="Arial" w:cs="Arial" w:eastAsia="Arial" w:hAnsi="Arial"/>
          <w:sz w:val="18"/>
          <w:szCs w:val="18"/>
          <w:color w:val="auto"/>
        </w:rPr>
        <w:t>based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4" w:lineRule="exact"/>
        <w:rPr>
          <w:sz w:val="20"/>
          <w:szCs w:val="20"/>
          <w:color w:val="auto"/>
        </w:rPr>
      </w:pPr>
    </w:p>
    <w:p>
      <w:pPr>
        <w:ind w:left="40" w:right="339" w:firstLine="648"/>
        <w:spacing w:after="0" w:line="219" w:lineRule="exact"/>
        <w:rPr>
          <w:sz w:val="20"/>
          <w:szCs w:val="20"/>
          <w:color w:val="auto"/>
        </w:rPr>
      </w:pPr>
      <w:r>
        <w:rPr>
          <w:rFonts w:ascii="Arial" w:cs="Arial" w:eastAsia="Arial" w:hAnsi="Arial"/>
          <w:sz w:val="18"/>
          <w:szCs w:val="18"/>
          <w:color w:val="auto"/>
        </w:rPr>
        <w:t>Since our inception on April 30, 2015, we have devoted substantially all of our resources to organizing and staffing our company, business planning, identifying potential product candidates,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w:t>
      </w:r>
    </w:p>
    <w:p>
      <w:pPr>
        <w:spacing w:after="0" w:line="205" w:lineRule="exact"/>
        <w:rPr>
          <w:sz w:val="20"/>
          <w:szCs w:val="20"/>
          <w:color w:val="auto"/>
        </w:rPr>
      </w:pPr>
    </w:p>
    <w:p>
      <w:pPr>
        <w:ind w:left="40" w:right="259" w:firstLine="648"/>
        <w:spacing w:after="0" w:line="273" w:lineRule="auto"/>
        <w:rPr>
          <w:sz w:val="20"/>
          <w:szCs w:val="20"/>
          <w:color w:val="auto"/>
        </w:rPr>
      </w:pPr>
      <w:r>
        <w:rPr>
          <w:rFonts w:ascii="Arial" w:cs="Arial" w:eastAsia="Arial" w:hAnsi="Arial"/>
          <w:sz w:val="17"/>
          <w:szCs w:val="17"/>
          <w:color w:val="auto"/>
        </w:rPr>
        <w:t>To date, we have financed our operations primarily through private placements of our securities, proceeds from our initial public offering and proceeds from our secondary public offering. On November 1, 2019, we completed our secondary public offering of 5,134,750 shares of our common stock, at a price of $28.00 per share, which includes the exercise in full of the underwriters’ option to purchase 669,750 additional shares of our common stock. The aggregate gross proceeds to us, before deducting underwriting discounts and commissions and estimated offering expenses payable by us, were approximately $143.8 million.</w:t>
      </w:r>
    </w:p>
    <w:p>
      <w:pPr>
        <w:spacing w:after="0" w:line="178"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We have received aggregate gross proceeds of $373.8 million through March 31, 2020 from the sale and issuance of our common stock.</w:t>
      </w:r>
    </w:p>
    <w:p>
      <w:pPr>
        <w:spacing w:after="0" w:line="170" w:lineRule="exact"/>
        <w:rPr>
          <w:sz w:val="20"/>
          <w:szCs w:val="20"/>
          <w:color w:val="auto"/>
        </w:rPr>
      </w:pPr>
    </w:p>
    <w:p>
      <w:pPr>
        <w:ind w:left="40" w:right="239" w:firstLine="648"/>
        <w:spacing w:after="0" w:line="275" w:lineRule="auto"/>
        <w:rPr>
          <w:sz w:val="20"/>
          <w:szCs w:val="20"/>
          <w:color w:val="auto"/>
        </w:rPr>
      </w:pPr>
      <w:r>
        <w:rPr>
          <w:rFonts w:ascii="Arial" w:cs="Arial" w:eastAsia="Arial" w:hAnsi="Arial"/>
          <w:sz w:val="17"/>
          <w:szCs w:val="17"/>
          <w:color w:val="auto"/>
        </w:rPr>
        <w:t>As of March 31, 2020, we had an accumulated deficit of $192.0 million. Our net losses were $26.2 million and $15.9 million for the three months ended March 31, 2020 and 2019, respectively.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176" w:lineRule="exact"/>
        <w:rPr>
          <w:sz w:val="20"/>
          <w:szCs w:val="20"/>
          <w:color w:val="auto"/>
        </w:rPr>
      </w:pPr>
    </w:p>
    <w:p>
      <w:pPr>
        <w:ind w:left="1020" w:right="13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the regulatory approval process both in the U.S. and internationally;</w:t>
      </w:r>
    </w:p>
    <w:p>
      <w:pPr>
        <w:spacing w:after="0" w:line="170" w:lineRule="exact"/>
        <w:rPr>
          <w:rFonts w:ascii="Arial" w:cs="Arial" w:eastAsia="Arial" w:hAnsi="Arial"/>
          <w:sz w:val="18"/>
          <w:szCs w:val="18"/>
          <w:color w:val="auto"/>
        </w:rPr>
      </w:pPr>
    </w:p>
    <w:p>
      <w:pPr>
        <w:ind w:left="1020" w:hanging="328"/>
        <w:spacing w:after="0" w:line="207" w:lineRule="exact"/>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development;</w:t>
      </w:r>
    </w:p>
    <w:p>
      <w:pPr>
        <w:spacing w:after="0" w:line="225" w:lineRule="exact"/>
        <w:rPr>
          <w:rFonts w:ascii="Arial" w:cs="Arial" w:eastAsia="Arial" w:hAnsi="Arial"/>
          <w:sz w:val="18"/>
          <w:szCs w:val="18"/>
          <w:color w:val="auto"/>
        </w:rPr>
      </w:pPr>
    </w:p>
    <w:p>
      <w:pPr>
        <w:ind w:left="1020" w:right="43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1020" w:hanging="328"/>
        <w:spacing w:after="0" w:line="207" w:lineRule="exact"/>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any additional product candidates we identify;</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1020" w:right="33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We believe that our cash on hand will be sufficient to fund our operations through the fourth quarter of 2022. We do not expect to generate revenues from product sales unless and until we successfully complete development and obtain regulatory approval for a product candidate, which is subject to significant uncertainty and may never occur. We completed our BLA submission for our lead product candidate, naxitamab for the treatment of pediatric R/R high risk NB on March 31, 2020. Although no assurance can be given, our goal is to complete the submission of our rolling BLA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for our second lead product candidate omburtamab for the treatment of CNS/LM from NB in June 2020. We currently use CROs and CMOs to carry out our pre-clinical and clinical development activities.</w:t>
      </w:r>
    </w:p>
    <w:p>
      <w:pPr>
        <w:spacing w:after="0" w:line="170"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Pursuant to the MSK License, we have obtained exclusive rights to MSK’s rights in our current antibody product candidates. Under the MSK License, we have committed to funding scientific research at MSK as well as conducting certain clinical trial activities at MSK.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Master Data Services Agreement, or MDSA, and two separate Core Facility Service Agreements, or CFSAs. Also, under our Investigator-Sponsored Master Clinical Trial Agreement, or MCTA, with MSK, we will provide drug product and funding for certain clinical trials at MSK.</w:t>
      </w:r>
    </w:p>
    <w:p>
      <w:pPr>
        <w:spacing w:after="0" w:line="185"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also referred to as Liquid Radiation</w:t>
      </w:r>
      <w:r>
        <w:rPr>
          <w:rFonts w:ascii="Arial" w:cs="Arial" w:eastAsia="Arial" w:hAnsi="Arial"/>
          <w:sz w:val="8"/>
          <w:szCs w:val="8"/>
          <w:color w:val="auto"/>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will pay MSK and MIT a cash upfront payment and issue an aggregate of 42,900 shares of our common stock to the licensors.</w:t>
      </w:r>
    </w:p>
    <w:p>
      <w:pPr>
        <w:spacing w:after="0" w:line="185" w:lineRule="exact"/>
        <w:rPr>
          <w:sz w:val="20"/>
          <w:szCs w:val="20"/>
          <w:color w:val="auto"/>
        </w:rPr>
      </w:pPr>
    </w:p>
    <w:p>
      <w:pPr>
        <w:ind w:left="40" w:right="239" w:firstLine="648"/>
        <w:spacing w:after="0" w:line="218" w:lineRule="exact"/>
        <w:rPr>
          <w:sz w:val="20"/>
          <w:szCs w:val="20"/>
          <w:color w:val="auto"/>
        </w:rPr>
      </w:pPr>
      <w:r>
        <w:rPr>
          <w:rFonts w:ascii="Arial" w:cs="Arial" w:eastAsia="Arial" w:hAnsi="Arial"/>
          <w:sz w:val="18"/>
          <w:szCs w:val="18"/>
          <w:color w:val="auto"/>
        </w:rPr>
        <w:t>Under the SADA License Agreement, we have committed to funding scientific research at MSK for up to $1.5 million over the next three years. Further, the SADA License Agreement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w:t>
      </w:r>
      <w:r>
        <w:rPr>
          <w:rFonts w:ascii="MS PGothic" w:cs="MS PGothic" w:eastAsia="MS PGothic" w:hAnsi="MS PGothic"/>
          <w:sz w:val="18"/>
          <w:szCs w:val="18"/>
          <w:color w:val="auto"/>
        </w:rPr>
        <w:t>‑</w:t>
      </w:r>
      <w:r>
        <w:rPr>
          <w:rFonts w:ascii="Arial" w:cs="Arial" w:eastAsia="Arial" w:hAnsi="Arial"/>
          <w:sz w:val="18"/>
          <w:szCs w:val="18"/>
          <w:color w:val="auto"/>
        </w:rPr>
        <w:t>refundable but are creditable against royalty payments otherwise due under the SADA License Agreement.</w:t>
      </w:r>
    </w:p>
    <w:p>
      <w:pPr>
        <w:spacing w:after="0" w:line="207"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7"/>
          <w:szCs w:val="17"/>
          <w:color w:val="auto"/>
        </w:rPr>
        <w:t>Under the SADA License, we are also obligated to pay MSK and MIT certain clinical, regulatory and sales</w:t>
      </w:r>
      <w:r>
        <w:rPr>
          <w:rFonts w:ascii="MS PGothic" w:cs="MS PGothic" w:eastAsia="MS PGothic" w:hAnsi="MS PGothic"/>
          <w:sz w:val="17"/>
          <w:szCs w:val="17"/>
          <w:color w:val="auto"/>
        </w:rPr>
        <w:t>‑</w:t>
      </w:r>
      <w:r>
        <w:rPr>
          <w:rFonts w:ascii="Arial" w:cs="Arial" w:eastAsia="Arial" w:hAnsi="Arial"/>
          <w:sz w:val="17"/>
          <w:szCs w:val="17"/>
          <w:color w:val="auto"/>
        </w:rPr>
        <w:t>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w:t>
      </w:r>
      <w:r>
        <w:rPr>
          <w:rFonts w:ascii="MS PGothic" w:cs="MS PGothic" w:eastAsia="MS PGothic" w:hAnsi="MS PGothic"/>
          <w:sz w:val="17"/>
          <w:szCs w:val="17"/>
          <w:color w:val="auto"/>
        </w:rPr>
        <w:t>‑</w:t>
      </w:r>
      <w:r>
        <w:rPr>
          <w:rFonts w:ascii="Arial" w:cs="Arial" w:eastAsia="Arial" w:hAnsi="Arial"/>
          <w:sz w:val="17"/>
          <w:szCs w:val="17"/>
          <w:color w:val="auto"/>
        </w:rPr>
        <w:t>based milestones, totaling $23,750,000, that become due should the Company achieve certain amounts of sales of licensed products. In addition, for each of the SADA construct generated by MSK or MIT and sold for the Company by a sublicensee, the Company will pay sales milestones in the total amount of $60,000,000. Finally, under the terms of the SADA License, MSK is entitled to receive 25% of any income generated from the sale of any PRV or the sale of other comparable incentives provided by any non-U.S. jurisdiction.</w:t>
      </w:r>
    </w:p>
    <w:p>
      <w:pPr>
        <w:spacing w:after="0" w:line="203"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These MSK agreements are important to our business. For a more detailed discussion of the terms and conditions of certain of these agreements, see Note 6 (License Agreements and Commitments).</w:t>
      </w:r>
    </w:p>
    <w:p>
      <w:pPr>
        <w:spacing w:after="0" w:line="170" w:lineRule="exact"/>
        <w:rPr>
          <w:sz w:val="20"/>
          <w:szCs w:val="20"/>
          <w:color w:val="auto"/>
        </w:rPr>
      </w:pPr>
    </w:p>
    <w:p>
      <w:pPr>
        <w:ind w:left="40" w:right="159" w:firstLine="648"/>
        <w:spacing w:after="0" w:line="290" w:lineRule="auto"/>
        <w:rPr>
          <w:sz w:val="20"/>
          <w:szCs w:val="20"/>
          <w:color w:val="auto"/>
        </w:rPr>
      </w:pPr>
      <w:r>
        <w:rPr>
          <w:rFonts w:ascii="Arial" w:cs="Arial" w:eastAsia="Arial" w:hAnsi="Arial"/>
          <w:sz w:val="16"/>
          <w:szCs w:val="16"/>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 associated with the development of our existing product candidates and any future product candidates, our platform and technology and because the extent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To date, we have not generated any revenue from product sales and do not expect to do so until the end of 2020.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Research and development expenses consist of expenses incurred in connection with the discovery and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development of our product candidates. We expense research and development costs as incurred. These expenses include:</w:t>
      </w:r>
    </w:p>
    <w:p>
      <w:pPr>
        <w:spacing w:after="0" w:line="245" w:lineRule="exact"/>
        <w:rPr>
          <w:sz w:val="20"/>
          <w:szCs w:val="20"/>
          <w:color w:val="auto"/>
        </w:rPr>
      </w:pPr>
    </w:p>
    <w:p>
      <w:pPr>
        <w:ind w:left="1020" w:right="319" w:hanging="328"/>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sponsored research, laboratory facility services, clinical trial and data service at MSK under the Sponsored Research Agreement, or the SRA, the two CFSAs, the MCTA, and the MDSA, with MSK;</w:t>
      </w:r>
    </w:p>
    <w:p>
      <w:pPr>
        <w:spacing w:after="0" w:line="146" w:lineRule="exact"/>
        <w:rPr>
          <w:rFonts w:ascii="Arial" w:cs="Arial" w:eastAsia="Arial" w:hAnsi="Arial"/>
          <w:sz w:val="17"/>
          <w:szCs w:val="17"/>
          <w:color w:val="auto"/>
        </w:rPr>
      </w:pPr>
    </w:p>
    <w:p>
      <w:pPr>
        <w:ind w:left="1020" w:right="339" w:hanging="328"/>
        <w:spacing w:after="0" w:line="223" w:lineRule="exact"/>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w:t>
      </w:r>
      <w:r>
        <w:rPr>
          <w:rFonts w:ascii="MS PGothic" w:cs="MS PGothic" w:eastAsia="MS PGothic" w:hAnsi="MS PGothic"/>
          <w:sz w:val="18"/>
          <w:szCs w:val="18"/>
          <w:color w:val="auto"/>
        </w:rPr>
        <w:t>‑</w:t>
      </w:r>
      <w:r>
        <w:rPr>
          <w:rFonts w:ascii="Arial" w:cs="Arial" w:eastAsia="Arial" w:hAnsi="Arial"/>
          <w:sz w:val="18"/>
          <w:szCs w:val="18"/>
          <w:color w:val="auto"/>
        </w:rPr>
        <w:t>clinical studies and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trials;</w:t>
      </w:r>
    </w:p>
    <w:p>
      <w:pPr>
        <w:spacing w:after="0" w:line="202" w:lineRule="exact"/>
        <w:rPr>
          <w:rFonts w:ascii="Arial" w:cs="Arial" w:eastAsia="Arial" w:hAnsi="Arial"/>
          <w:sz w:val="18"/>
          <w:szCs w:val="18"/>
          <w:color w:val="auto"/>
        </w:rPr>
      </w:pPr>
    </w:p>
    <w:p>
      <w:pPr>
        <w:ind w:left="1020" w:right="259" w:hanging="328"/>
        <w:spacing w:after="0" w:line="220" w:lineRule="exact"/>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w:t>
      </w:r>
      <w:r>
        <w:rPr>
          <w:rFonts w:ascii="MS PGothic" w:cs="MS PGothic" w:eastAsia="MS PGothic" w:hAnsi="MS PGothic"/>
          <w:sz w:val="18"/>
          <w:szCs w:val="18"/>
          <w:color w:val="auto"/>
        </w:rPr>
        <w:t>‑</w:t>
      </w:r>
      <w:r>
        <w:rPr>
          <w:rFonts w:ascii="Arial" w:cs="Arial" w:eastAsia="Arial" w:hAnsi="Arial"/>
          <w:sz w:val="18"/>
          <w:szCs w:val="18"/>
          <w:color w:val="auto"/>
        </w:rPr>
        <w:t>up expenses and the cost of acquiring and manufacturing pre</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 materials, including manufacturing validation batches;</w:t>
      </w:r>
    </w:p>
    <w:p>
      <w:pPr>
        <w:spacing w:after="0" w:line="204" w:lineRule="exact"/>
        <w:rPr>
          <w:rFonts w:ascii="Arial" w:cs="Arial" w:eastAsia="Arial" w:hAnsi="Arial"/>
          <w:sz w:val="18"/>
          <w:szCs w:val="18"/>
          <w:color w:val="auto"/>
        </w:rPr>
      </w:pPr>
    </w:p>
    <w:p>
      <w:pPr>
        <w:ind w:left="1020" w:hanging="328"/>
        <w:spacing w:after="0" w:line="184" w:lineRule="exact"/>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upfront, milestone and other non-revenue related payments due under our third</w:t>
      </w:r>
      <w:r>
        <w:rPr>
          <w:rFonts w:ascii="MS PGothic" w:cs="MS PGothic" w:eastAsia="MS PGothic" w:hAnsi="MS PGothic"/>
          <w:sz w:val="16"/>
          <w:szCs w:val="16"/>
          <w:color w:val="auto"/>
        </w:rPr>
        <w:t>‑</w:t>
      </w:r>
      <w:r>
        <w:rPr>
          <w:rFonts w:ascii="Arial" w:cs="Arial" w:eastAsia="Arial" w:hAnsi="Arial"/>
          <w:sz w:val="16"/>
          <w:szCs w:val="16"/>
          <w:color w:val="auto"/>
        </w:rPr>
        <w:t>party licensing agreements;</w:t>
      </w:r>
    </w:p>
    <w:p>
      <w:pPr>
        <w:spacing w:after="0" w:line="248" w:lineRule="exact"/>
        <w:rPr>
          <w:rFonts w:ascii="Arial" w:cs="Arial" w:eastAsia="Arial" w:hAnsi="Arial"/>
          <w:sz w:val="16"/>
          <w:szCs w:val="16"/>
          <w:color w:val="auto"/>
        </w:rPr>
      </w:pPr>
    </w:p>
    <w:p>
      <w:pPr>
        <w:ind w:left="1020" w:hanging="328"/>
        <w:spacing w:after="0" w:line="207" w:lineRule="exact"/>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which include salaries, benefits, travel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1020" w:right="739" w:hanging="328"/>
        <w:spacing w:after="0" w:line="223" w:lineRule="exact"/>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w:t>
      </w:r>
      <w:r>
        <w:rPr>
          <w:rFonts w:ascii="MS PGothic" w:cs="MS PGothic" w:eastAsia="MS PGothic" w:hAnsi="MS PGothic"/>
          <w:sz w:val="18"/>
          <w:szCs w:val="18"/>
          <w:color w:val="auto"/>
        </w:rPr>
        <w:t>‑</w:t>
      </w:r>
      <w:r>
        <w:rPr>
          <w:rFonts w:ascii="Arial" w:cs="Arial" w:eastAsia="Arial" w:hAnsi="Arial"/>
          <w:sz w:val="18"/>
          <w:szCs w:val="18"/>
          <w:color w:val="auto"/>
        </w:rPr>
        <w:t>related costs, including rent, insurance, supplies and maintenance expenses, and other operating costs.</w:t>
      </w:r>
    </w:p>
    <w:p>
      <w:pPr>
        <w:spacing w:after="0" w:line="203" w:lineRule="exact"/>
        <w:rPr>
          <w:sz w:val="20"/>
          <w:szCs w:val="20"/>
          <w:color w:val="auto"/>
        </w:rPr>
      </w:pPr>
    </w:p>
    <w:p>
      <w:pPr>
        <w:ind w:left="40" w:right="279" w:firstLine="648"/>
        <w:spacing w:after="0" w:line="311" w:lineRule="auto"/>
        <w:rPr>
          <w:sz w:val="20"/>
          <w:szCs w:val="20"/>
          <w:color w:val="auto"/>
        </w:rPr>
      </w:pPr>
      <w:r>
        <w:rPr>
          <w:rFonts w:ascii="Arial" w:cs="Arial" w:eastAsia="Arial" w:hAnsi="Arial"/>
          <w:sz w:val="16"/>
          <w:szCs w:val="16"/>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naxitamab and omburtamab or any future product candidates we may develop. This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uncertainty is due to the numerous risks and uncertainties associated with the duration and cost of clinical trials, which vary significantly over the life of a project as a result of many factors, including:</w:t>
      </w:r>
    </w:p>
    <w:p>
      <w:pPr>
        <w:spacing w:after="0" w:line="170" w:lineRule="exact"/>
        <w:rPr>
          <w:sz w:val="20"/>
          <w:szCs w:val="20"/>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20" w:right="37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170"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1020" w:hanging="328"/>
        <w:spacing w:after="0" w:line="207" w:lineRule="exact"/>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25" w:lineRule="exact"/>
        <w:rPr>
          <w:rFonts w:ascii="Arial" w:cs="Arial" w:eastAsia="Arial" w:hAnsi="Arial"/>
          <w:sz w:val="18"/>
          <w:szCs w:val="18"/>
          <w:color w:val="auto"/>
        </w:rPr>
      </w:pPr>
    </w:p>
    <w:p>
      <w:pPr>
        <w:ind w:left="1020" w:hanging="328"/>
        <w:spacing w:after="0" w:line="207" w:lineRule="exact"/>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clinical trials and pre</w:t>
      </w:r>
      <w:r>
        <w:rPr>
          <w:rFonts w:ascii="MS PGothic" w:cs="MS PGothic" w:eastAsia="MS PGothic" w:hAnsi="MS PGothic"/>
          <w:sz w:val="18"/>
          <w:szCs w:val="18"/>
          <w:color w:val="auto"/>
        </w:rPr>
        <w:t>‑</w:t>
      </w:r>
      <w:r>
        <w:rPr>
          <w:rFonts w:ascii="Arial" w:cs="Arial" w:eastAsia="Arial" w:hAnsi="Arial"/>
          <w:sz w:val="18"/>
          <w:szCs w:val="18"/>
          <w:color w:val="auto"/>
        </w:rPr>
        <w:t>clinical studies;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1020" w:right="81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our BLA submissions and their acceptance;</w:t>
      </w:r>
    </w:p>
    <w:p>
      <w:pPr>
        <w:spacing w:after="0" w:line="225" w:lineRule="exact"/>
        <w:rPr>
          <w:rFonts w:ascii="Arial" w:cs="Arial" w:eastAsia="Arial" w:hAnsi="Arial"/>
          <w:sz w:val="18"/>
          <w:szCs w:val="18"/>
          <w:color w:val="auto"/>
        </w:rPr>
      </w:pPr>
    </w:p>
    <w:p>
      <w:pPr>
        <w:ind w:left="1020" w:right="299" w:hanging="328"/>
        <w:spacing w:after="0" w:line="223" w:lineRule="exact"/>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w:t>
      </w:r>
      <w:r>
        <w:rPr>
          <w:rFonts w:ascii="MS PGothic" w:cs="MS PGothic" w:eastAsia="MS PGothic" w:hAnsi="MS PGothic"/>
          <w:sz w:val="18"/>
          <w:szCs w:val="18"/>
          <w:color w:val="auto"/>
        </w:rPr>
        <w:t>‑</w:t>
      </w:r>
      <w:r>
        <w:rPr>
          <w:rFonts w:ascii="Arial" w:cs="Arial" w:eastAsia="Arial" w:hAnsi="Arial"/>
          <w:sz w:val="18"/>
          <w:szCs w:val="18"/>
          <w:color w:val="auto"/>
        </w:rPr>
        <w:t>U.S. regulatory authority;</w:t>
      </w:r>
    </w:p>
    <w:p>
      <w:pPr>
        <w:spacing w:after="0" w:line="202"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requirement by the FDA or any non-US regulatory authority to conduct post market surveillance or safety studies;</w:t>
      </w:r>
    </w:p>
    <w:p>
      <w:pPr>
        <w:spacing w:after="0" w:line="170"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jc w:val="both"/>
        <w:ind w:left="40" w:right="279" w:firstLine="648"/>
        <w:spacing w:after="0" w:line="263"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4"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78" w:lineRule="exact"/>
        <w:rPr>
          <w:sz w:val="20"/>
          <w:szCs w:val="20"/>
          <w:color w:val="auto"/>
        </w:rPr>
      </w:pPr>
    </w:p>
    <w:p>
      <w:pPr>
        <w:ind w:left="40" w:right="79" w:firstLine="648"/>
        <w:spacing w:after="0" w:line="221" w:lineRule="exact"/>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20" w:lineRule="exact"/>
        <w:rPr>
          <w:sz w:val="20"/>
          <w:szCs w:val="20"/>
          <w:color w:val="auto"/>
        </w:rPr>
      </w:pPr>
      <w:r>
        <w:rPr>
          <w:rFonts w:ascii="Arial" w:cs="Arial" w:eastAsia="Arial" w:hAnsi="Arial"/>
          <w:sz w:val="18"/>
          <w:szCs w:val="18"/>
          <w:color w:val="auto"/>
        </w:rPr>
        <w:t>our research and development expenses to increase significantly over the next several years as we increase personnel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conduct clinical trials and potentially prepare regulatory filings for naxitamab and omburtamab.</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40" w:right="239" w:firstLine="648"/>
        <w:spacing w:after="0" w:line="220" w:lineRule="exact"/>
        <w:rPr>
          <w:sz w:val="20"/>
          <w:szCs w:val="20"/>
          <w:color w:val="auto"/>
        </w:rPr>
      </w:pPr>
      <w:r>
        <w:rPr>
          <w:rFonts w:ascii="Arial" w:cs="Arial" w:eastAsia="Arial" w:hAnsi="Arial"/>
          <w:sz w:val="17"/>
          <w:szCs w:val="17"/>
          <w:color w:val="auto"/>
        </w:rPr>
        <w:t>General and administrative expenses consist primarily of employee related expenses, including salaries, bonus, benefits,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for personnel in executive, finance and administrative functions. Other significant costs include facility costs not otherwise included in research and development expenses, legal fees relating to corporate matters, and fees for patent, accounting, tax, and consulting services.</w:t>
      </w:r>
    </w:p>
    <w:p>
      <w:pPr>
        <w:spacing w:after="0" w:line="204"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potential commercialization of our product candidates and costs associated with operating as a public company, including expenses related to services associated with maintaining compliance with exchange listing and the SEC requirements,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w:t>
      </w:r>
      <w:r>
        <w:rPr>
          <w:rFonts w:ascii="MS PGothic" w:cs="MS PGothic" w:eastAsia="MS PGothic" w:hAnsi="MS PGothic"/>
          <w:sz w:val="16"/>
          <w:szCs w:val="16"/>
          <w:color w:val="auto"/>
        </w:rPr>
        <w:t>‑</w:t>
      </w:r>
      <w:r>
        <w:rPr>
          <w:rFonts w:ascii="Arial" w:cs="Arial" w:eastAsia="Arial" w:hAnsi="Arial"/>
          <w:sz w:val="16"/>
          <w:szCs w:val="16"/>
          <w:color w:val="auto"/>
        </w:rPr>
        <w:t>related expenses as a result of our preparation for commercial operations, especially as it relates to the sales and marketing of that product candidate.</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w:t>
      </w:r>
      <w:r>
        <w:rPr>
          <w:rFonts w:ascii="MS PGothic" w:cs="MS PGothic" w:eastAsia="MS PGothic" w:hAnsi="MS PGothic"/>
          <w:sz w:val="16"/>
          <w:szCs w:val="16"/>
          <w:color w:val="auto"/>
        </w:rPr>
        <w:t>‑</w:t>
      </w:r>
      <w:r>
        <w:rPr>
          <w:rFonts w:ascii="Arial" w:cs="Arial" w:eastAsia="Arial" w:hAnsi="Arial"/>
          <w:sz w:val="16"/>
          <w:szCs w:val="16"/>
          <w:color w:val="auto"/>
        </w:rPr>
        <w: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7" w:lineRule="exact"/>
        <w:rPr>
          <w:sz w:val="20"/>
          <w:szCs w:val="20"/>
          <w:color w:val="auto"/>
        </w:rPr>
      </w:pPr>
    </w:p>
    <w:p>
      <w:pPr>
        <w:jc w:val="both"/>
        <w:ind w:left="40" w:right="499"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77" w:lineRule="exact"/>
        <w:rPr>
          <w:sz w:val="20"/>
          <w:szCs w:val="20"/>
          <w:color w:val="auto"/>
        </w:rPr>
      </w:pPr>
    </w:p>
    <w:p>
      <w:pPr>
        <w:ind w:left="40" w:right="219" w:firstLine="648"/>
        <w:spacing w:after="0" w:line="296" w:lineRule="auto"/>
        <w:rPr>
          <w:sz w:val="20"/>
          <w:szCs w:val="20"/>
          <w:color w:val="auto"/>
        </w:rPr>
      </w:pPr>
      <w:r>
        <w:rPr>
          <w:rFonts w:ascii="Arial" w:cs="Arial" w:eastAsia="Arial" w:hAnsi="Arial"/>
          <w:sz w:val="16"/>
          <w:szCs w:val="16"/>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 We have made estimates of the impact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COVID-19 within our financial statements and there may be changes to those estimates in future periods. Actual results may differ from these estimates.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40" w:right="159" w:firstLine="648"/>
        <w:spacing w:after="0" w:line="269" w:lineRule="auto"/>
        <w:rPr>
          <w:sz w:val="20"/>
          <w:szCs w:val="20"/>
          <w:color w:val="auto"/>
        </w:rPr>
      </w:pPr>
      <w:r>
        <w:rPr>
          <w:rFonts w:ascii="Arial" w:cs="Arial" w:eastAsia="Arial" w:hAnsi="Arial"/>
          <w:sz w:val="17"/>
          <w:szCs w:val="17"/>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800" w:hanging="10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40" w:right="99" w:firstLine="652"/>
        <w:spacing w:after="0" w:line="277" w:lineRule="auto"/>
        <w:tabs>
          <w:tab w:leader="none" w:pos="796"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40" w:right="119" w:firstLine="652"/>
        <w:spacing w:after="0" w:line="308" w:lineRule="auto"/>
        <w:tabs>
          <w:tab w:leader="none" w:pos="796"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40" w:right="679" w:firstLine="648"/>
        <w:spacing w:after="0" w:line="277" w:lineRule="auto"/>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95" w:lineRule="exact"/>
        <w:rPr>
          <w:sz w:val="20"/>
          <w:szCs w:val="20"/>
          <w:color w:val="auto"/>
        </w:rPr>
      </w:pPr>
    </w:p>
    <w:p>
      <w:pPr>
        <w:ind w:left="40" w:right="159" w:firstLine="648"/>
        <w:spacing w:after="0" w:line="271" w:lineRule="auto"/>
        <w:rPr>
          <w:sz w:val="20"/>
          <w:szCs w:val="20"/>
          <w:color w:val="auto"/>
        </w:rPr>
      </w:pPr>
      <w:r>
        <w:rPr>
          <w:rFonts w:ascii="Arial" w:cs="Arial" w:eastAsia="Arial" w:hAnsi="Arial"/>
          <w:sz w:val="17"/>
          <w:szCs w:val="17"/>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left="40" w:right="139" w:firstLine="648"/>
        <w:spacing w:after="0" w:line="219" w:lineRule="exact"/>
        <w:rPr>
          <w:sz w:val="20"/>
          <w:szCs w:val="20"/>
          <w:color w:val="auto"/>
        </w:rPr>
      </w:pPr>
      <w:r>
        <w:rPr>
          <w:rFonts w:ascii="Arial" w:cs="Arial" w:eastAsia="Arial" w:hAnsi="Arial"/>
          <w:sz w:val="17"/>
          <w:szCs w:val="17"/>
          <w:color w:val="auto"/>
        </w:rPr>
        <w:t>We measure stock options and restricted share units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and restricted share units to employees and directors with only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and record the expense for these awards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requisite service period.</w:t>
      </w:r>
    </w:p>
    <w:p>
      <w:pPr>
        <w:spacing w:after="0" w:line="205" w:lineRule="exact"/>
        <w:rPr>
          <w:sz w:val="20"/>
          <w:szCs w:val="20"/>
          <w:color w:val="auto"/>
        </w:rPr>
      </w:pPr>
    </w:p>
    <w:p>
      <w:pPr>
        <w:ind w:left="40" w:right="159" w:firstLine="648"/>
        <w:spacing w:after="0" w:line="219" w:lineRule="exact"/>
        <w:rPr>
          <w:sz w:val="20"/>
          <w:szCs w:val="20"/>
          <w:color w:val="auto"/>
        </w:rPr>
      </w:pPr>
      <w:r>
        <w:rPr>
          <w:rFonts w:ascii="Arial" w:cs="Arial" w:eastAsia="Arial" w:hAnsi="Arial"/>
          <w:sz w:val="17"/>
          <w:szCs w:val="17"/>
          <w:color w:val="auto"/>
        </w:rPr>
        <w:t>For share</w:t>
      </w:r>
      <w:r>
        <w:rPr>
          <w:rFonts w:ascii="MS PGothic" w:cs="MS PGothic" w:eastAsia="MS PGothic" w:hAnsi="MS PGothic"/>
          <w:sz w:val="17"/>
          <w:szCs w:val="17"/>
          <w:color w:val="auto"/>
        </w:rPr>
        <w:t>‑</w:t>
      </w:r>
      <w:r>
        <w:rPr>
          <w:rFonts w:ascii="Arial" w:cs="Arial" w:eastAsia="Arial" w:hAnsi="Arial"/>
          <w:sz w:val="17"/>
          <w:szCs w:val="17"/>
          <w:color w:val="auto"/>
        </w:rPr>
        <w:t>based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prior to January 1, 2019, compensation expense is recognized over the period during which services are rendered by such non</w:t>
      </w:r>
      <w:r>
        <w:rPr>
          <w:rFonts w:ascii="MS PGothic" w:cs="MS PGothic" w:eastAsia="MS PGothic" w:hAnsi="MS PGothic"/>
          <w:sz w:val="17"/>
          <w:szCs w:val="17"/>
          <w:color w:val="auto"/>
        </w:rPr>
        <w:t>‑</w:t>
      </w:r>
      <w:r>
        <w:rPr>
          <w:rFonts w:ascii="Arial" w:cs="Arial" w:eastAsia="Arial" w:hAnsi="Arial"/>
          <w:sz w:val="17"/>
          <w:szCs w:val="17"/>
          <w:color w:val="auto"/>
        </w:rPr>
        <w:t>employees until completed. At the end of each financial reporting period prior to completion of the service, the fair value of these awards is remeasured using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of our shares of common stock and updated assumption inputs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No share-based awards were granted to non-employees after December 31, 2018.</w:t>
      </w:r>
    </w:p>
    <w:p>
      <w:pPr>
        <w:spacing w:after="0" w:line="205" w:lineRule="exact"/>
        <w:rPr>
          <w:sz w:val="20"/>
          <w:szCs w:val="20"/>
          <w:color w:val="auto"/>
        </w:rPr>
      </w:pPr>
    </w:p>
    <w:p>
      <w:pPr>
        <w:ind w:left="40" w:right="159" w:firstLine="648"/>
        <w:spacing w:after="0" w:line="217"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Historically, we have been a private company and lack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information for our shares. Therefore, we estimate our expected share price volatility based on the historical volatility of a group of publicly</w:t>
      </w:r>
      <w:r>
        <w:rPr>
          <w:rFonts w:ascii="MS PGothic" w:cs="MS PGothic" w:eastAsia="MS PGothic" w:hAnsi="MS PGothic"/>
          <w:sz w:val="17"/>
          <w:szCs w:val="17"/>
          <w:color w:val="auto"/>
        </w:rPr>
        <w:t>‑</w:t>
      </w:r>
      <w:r>
        <w:rPr>
          <w:rFonts w:ascii="Arial" w:cs="Arial" w:eastAsia="Arial" w:hAnsi="Arial"/>
          <w:sz w:val="17"/>
          <w:szCs w:val="17"/>
          <w:color w:val="auto"/>
        </w:rPr>
        <w:t>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is equal to the contractual term of the option award.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(10,494)</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2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(26,179)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(15,934)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(10,245)</w:t>
            </w:r>
          </w:p>
        </w:tc>
        <w:tc>
          <w:tcPr>
            <w:tcW w:w="0" w:type="dxa"/>
            <w:vAlign w:val="bottom"/>
          </w:tcPr>
          <w:p>
            <w:pPr>
              <w:spacing w:after="0"/>
              <w:rPr>
                <w:sz w:val="1"/>
                <w:szCs w:val="1"/>
                <w:color w:val="auto"/>
              </w:rPr>
            </w:pPr>
          </w:p>
        </w:tc>
      </w:tr>
      <w:tr>
        <w:trPr>
          <w:trHeight w:val="635"/>
        </w:trPr>
        <w:tc>
          <w:tcPr>
            <w:tcW w:w="3480" w:type="dxa"/>
            <w:vAlign w:val="bottom"/>
          </w:tcPr>
          <w:p>
            <w:pPr>
              <w:spacing w:after="0"/>
              <w:rPr>
                <w:sz w:val="24"/>
                <w:szCs w:val="24"/>
                <w:color w:val="auto"/>
              </w:rPr>
            </w:pPr>
          </w:p>
        </w:tc>
        <w:tc>
          <w:tcPr>
            <w:tcW w:w="2760" w:type="dxa"/>
            <w:vAlign w:val="bottom"/>
          </w:tcPr>
          <w:p>
            <w:pPr>
              <w:jc w:val="right"/>
              <w:ind w:right="15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40" w:right="279" w:firstLine="648"/>
        <w:spacing w:after="0" w:line="221" w:lineRule="exact"/>
        <w:rPr>
          <w:sz w:val="20"/>
          <w:szCs w:val="20"/>
          <w:color w:val="auto"/>
        </w:rPr>
      </w:pPr>
      <w:r>
        <w:rPr>
          <w:rFonts w:ascii="Arial" w:cs="Arial" w:eastAsia="Arial" w:hAnsi="Arial"/>
          <w:sz w:val="16"/>
          <w:szCs w:val="16"/>
          <w:color w:val="auto"/>
        </w:rPr>
        <w:t>We do not record our research and development 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or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as they primarily relate to personnel, research, manufacturing, license fees and consumable costs, which are simultaneously deployed across multiple projects under development. These costs are included in the table below.</w:t>
      </w:r>
    </w:p>
    <w:p>
      <w:pPr>
        <w:spacing w:after="0" w:line="209"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ind w:left="7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7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7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5"/>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2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Clinical trials</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Personnel costs</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7"/>
        </w:trPr>
        <w:tc>
          <w:tcPr>
            <w:tcW w:w="4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w:t>
            </w:r>
          </w:p>
        </w:tc>
      </w:tr>
    </w:tbl>
    <w:p>
      <w:pPr>
        <w:spacing w:after="0" w:line="202" w:lineRule="exact"/>
        <w:rPr>
          <w:sz w:val="20"/>
          <w:szCs w:val="20"/>
          <w:color w:val="auto"/>
        </w:rPr>
      </w:pPr>
    </w:p>
    <w:p>
      <w:pPr>
        <w:ind w:left="40" w:right="219" w:firstLine="648"/>
        <w:spacing w:after="0" w:line="273" w:lineRule="auto"/>
        <w:rPr>
          <w:sz w:val="20"/>
          <w:szCs w:val="20"/>
          <w:color w:val="auto"/>
        </w:rPr>
      </w:pPr>
      <w:r>
        <w:rPr>
          <w:rFonts w:ascii="Arial" w:cs="Arial" w:eastAsia="Arial" w:hAnsi="Arial"/>
          <w:sz w:val="17"/>
          <w:szCs w:val="17"/>
          <w:color w:val="auto"/>
        </w:rPr>
        <w:t>Research and development expenses increased by $6.1 million, from $12.5 million for the three months ended March 31, 2019 to $18.6 million for the three months ended March 31, 2020. This was primarily due to a $2.8 million increase in outsourced research and supplies for increased need for clinical trial support, and $2.1 million increase in employee-related costs, including salary, benefits and non-cash stock-based compensation for personnel related to our research activities due to our expanding workforce. In addition, expenses for outsourced manufacturing increased by $0.9 million for our lead product candidates, naxitamab and omburtamab.</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General and administrative expenses increased by $4.4 million, from $3.7 million for the three months ended March 31, 2019 to $8.1 million for the three months ended March 31, 2020. The increase in general and administrative expenses was primarily attributable to a $1.6 million increase in employee related costs, including salary, benefits and non-cash stock-based compensation for personnel related to our business activities. Costs for setting up commercial infrastructure increased by $1.6 million for the three months ended March 31, 2020. In addition, professional fees increased by $0.2 million. The increase in general and administrative expenses overall primarily relates to the infrastructure and administrative costs due to the Company’s growth.</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5"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Other income for the three months ended March 31, 2020 was $568,000 as compared to other income of $319,000 for the three months ended March 31, 2019. Our interest income increased by $249,000 due to higher average cash balances as a result of our secondary public offering.</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 operations through March 31, 2020 primarily through gross proceeds from the sale of our common stock of $230.0 million in the years 2015 through 2018 and an additional $143.8 million from the sale of our common stock in 2019. We will need additional capital to continue funding our operations, which we may obtain from additional equity or debt financings, collaborations, licensing arrangements, or other sources.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As of March 31, 2020 and December 31, 2019, we had cash and cash equivalents of approximately $185.8 million and $207.1 million, respectively. We believe that our cash on hand will be sufficient to fund our operations and capital expenditures through the fourth quarter of 2022.</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2020 and 2019:</w:t>
      </w:r>
    </w:p>
    <w:p>
      <w:pPr>
        <w:spacing w:after="0" w:line="135"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p>
      <w:pPr>
        <w:ind w:left="7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(21,756)</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(21,362)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 Net cash used in operating activities was $21.8 million for the three months ended March 31, 2020, as compared to $13.5 million for the three months ended March 31, 2019. The $8.3 million increase in net cash used in operations was primarily due to an increase of $10.2 million in net loss for the three months ended March 31, 2020, which was primarily due to operational expenses related to the development of our lead product candidates, naxitamab and omburtamab, and the expansion of our other business activities. This increase was partially offset by an increase $1.4 million in non-cash expenses, including stock-based compensation to employees.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Net cash used in investing activities was $26,000 for the three months ended March 31, 2020, as compared to $126,000 for the three months ended March 31, 2019. The $100,000 decrease in net cash used in investing activities was primarily caused by a decrease spending on laboratory equipment in 2020. Expenditures were higher in 2019 as we set up our laboratory facilities during 2019.</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Net cash provided by financing activities was $370,000 for the three months ended March 31, 2020. There were no financing activities during the three months ended March 31, 2019. The increase of $370,000 was due to proceeds from exercised stock options during three months ended in March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initiate and advance our BLA submission for omburtamab. In addition, we plan to advance the development of other pipeline programs, initiate new research and pre</w:t>
      </w:r>
      <w:r>
        <w:rPr>
          <w:rFonts w:ascii="MS PGothic" w:cs="MS PGothic" w:eastAsia="MS PGothic" w:hAnsi="MS PGothic"/>
          <w:sz w:val="16"/>
          <w:szCs w:val="16"/>
          <w:color w:val="auto"/>
        </w:rPr>
        <w:t>‑</w:t>
      </w:r>
      <w:r>
        <w:rPr>
          <w:rFonts w:ascii="Arial" w:cs="Arial" w:eastAsia="Arial" w:hAnsi="Arial"/>
          <w:sz w:val="16"/>
          <w:szCs w:val="16"/>
          <w:color w:val="auto"/>
        </w:rPr>
        <w:t>clinical development efforts and seek marketing approval for any additional product candidates that we successfully develop. If we obtain approval for any of our product candidates, we expect to incur commercialization expenses, which may be significant, related to establishing sales, marketing, manufacturing capabilities, distribution and other commercial infrastructure to commercialize such products. Furthermore, we expect to incur additional costs associated with operating as a public company. Accordingly, we might need to obtain substantial additional funding in connection with our continuing operations. If we are unable to raise capital when needed or on attractive terms, we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color w:val="auto"/>
        </w:rPr>
        <w:t>would be forced to delay, reduce or eliminate our research and development programs and/or future commercialization efforts.</w:t>
      </w:r>
    </w:p>
    <w:p>
      <w:pPr>
        <w:spacing w:after="0" w:line="170"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We believe that our existing cash and cash equivalents as of March 31, 2020, will enable us to fund our operating expenses and capital expenditure requirements through the fourth quarter of 2022. 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23" w:lineRule="exact"/>
        <w:rPr>
          <w:sz w:val="20"/>
          <w:szCs w:val="20"/>
          <w:color w:val="auto"/>
        </w:rPr>
      </w:pPr>
    </w:p>
    <w:p>
      <w:pPr>
        <w:ind w:left="1020" w:right="459" w:hanging="328"/>
        <w:spacing w:after="0" w:line="220" w:lineRule="exact"/>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and clinical trials for our other product candidates;</w:t>
      </w:r>
    </w:p>
    <w:p>
      <w:pPr>
        <w:spacing w:after="0" w:line="190" w:lineRule="exact"/>
        <w:rPr>
          <w:rFonts w:ascii="Arial" w:cs="Arial" w:eastAsia="Arial" w:hAnsi="Arial"/>
          <w:sz w:val="18"/>
          <w:szCs w:val="18"/>
          <w:color w:val="auto"/>
        </w:rPr>
      </w:pPr>
    </w:p>
    <w:p>
      <w:pPr>
        <w:ind w:left="1020" w:hanging="328"/>
        <w:spacing w:after="0" w:line="196" w:lineRule="exact"/>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research and pre</w:t>
      </w:r>
      <w:r>
        <w:rPr>
          <w:rFonts w:ascii="MS PGothic" w:cs="MS PGothic" w:eastAsia="MS PGothic" w:hAnsi="MS PGothic"/>
          <w:sz w:val="17"/>
          <w:szCs w:val="17"/>
          <w:color w:val="auto"/>
        </w:rPr>
        <w:t>‑</w:t>
      </w:r>
      <w:r>
        <w:rPr>
          <w:rFonts w:ascii="Arial" w:cs="Arial" w:eastAsia="Arial" w:hAnsi="Arial"/>
          <w:sz w:val="17"/>
          <w:szCs w:val="17"/>
          <w:color w:val="auto"/>
        </w:rPr>
        <w:t>clinical development efforts for any future product candidates that we may develop;</w:t>
      </w:r>
    </w:p>
    <w:p>
      <w:pPr>
        <w:spacing w:after="0" w:line="223" w:lineRule="exact"/>
        <w:rPr>
          <w:rFonts w:ascii="Arial" w:cs="Arial" w:eastAsia="Arial" w:hAnsi="Arial"/>
          <w:sz w:val="17"/>
          <w:szCs w:val="17"/>
          <w:color w:val="auto"/>
        </w:rPr>
      </w:pPr>
    </w:p>
    <w:p>
      <w:pPr>
        <w:ind w:left="1020" w:right="73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156" w:lineRule="exact"/>
        <w:rPr>
          <w:rFonts w:ascii="Arial" w:cs="Arial" w:eastAsia="Arial" w:hAnsi="Arial"/>
          <w:sz w:val="18"/>
          <w:szCs w:val="18"/>
          <w:color w:val="auto"/>
        </w:rPr>
      </w:pPr>
    </w:p>
    <w:p>
      <w:pPr>
        <w:ind w:left="1020" w:right="79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56"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11"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11" w:lineRule="exact"/>
        <w:rPr>
          <w:rFonts w:ascii="Arial" w:cs="Arial" w:eastAsia="Arial" w:hAnsi="Arial"/>
          <w:sz w:val="18"/>
          <w:szCs w:val="18"/>
          <w:color w:val="auto"/>
        </w:rPr>
      </w:pPr>
    </w:p>
    <w:p>
      <w:pPr>
        <w:ind w:left="1020" w:right="159" w:hanging="328"/>
        <w:spacing w:after="0" w:line="286"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1" w:lineRule="exact"/>
        <w:rPr>
          <w:rFonts w:ascii="Arial" w:cs="Arial" w:eastAsia="Arial" w:hAnsi="Arial"/>
          <w:sz w:val="17"/>
          <w:szCs w:val="17"/>
          <w:color w:val="auto"/>
        </w:rPr>
      </w:pPr>
    </w:p>
    <w:p>
      <w:pPr>
        <w:ind w:left="1020" w:right="39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future revenue, if any, received from commercial sales of our current and future product candidates upon any marketing approvals;</w:t>
      </w:r>
    </w:p>
    <w:p>
      <w:pPr>
        <w:spacing w:after="0" w:line="156"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11" w:lineRule="exact"/>
        <w:rPr>
          <w:rFonts w:ascii="Arial" w:cs="Arial" w:eastAsia="Arial" w:hAnsi="Arial"/>
          <w:sz w:val="18"/>
          <w:szCs w:val="18"/>
          <w:color w:val="auto"/>
        </w:rPr>
      </w:pPr>
    </w:p>
    <w:p>
      <w:pPr>
        <w:ind w:left="1020" w:right="59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56"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56"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6"/>
          <w:szCs w:val="16"/>
          <w:color w:val="auto"/>
        </w:rPr>
        <w:t>Identifying potential product candidates and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204" w:lineRule="exact"/>
        <w:rPr>
          <w:sz w:val="20"/>
          <w:szCs w:val="20"/>
          <w:color w:val="auto"/>
        </w:rPr>
      </w:pPr>
    </w:p>
    <w:p>
      <w:pPr>
        <w:ind w:left="40" w:right="239" w:firstLine="648"/>
        <w:spacing w:after="0" w:line="31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left="40" w:right="239" w:firstLine="648"/>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the applicable regulations of the SEC.</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A summary of our minimum contractual obligations related to our material outstanding contractual commitments is included in Note 6 of our enclosed financial statements.</w:t>
      </w:r>
    </w:p>
    <w:p>
      <w:pPr>
        <w:spacing w:after="0" w:line="170"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7"/>
          <w:szCs w:val="17"/>
          <w:color w:val="auto"/>
        </w:rPr>
        <w:t>We enter into contracts in the normal course of business with CROs, CMOs, clinical sites and other third parties for clinical trials, pre</w:t>
      </w:r>
      <w:r>
        <w:rPr>
          <w:rFonts w:ascii="MS PGothic" w:cs="MS PGothic" w:eastAsia="MS PGothic" w:hAnsi="MS PGothic"/>
          <w:sz w:val="17"/>
          <w:szCs w:val="17"/>
          <w:color w:val="auto"/>
        </w:rPr>
        <w:t>‑</w:t>
      </w:r>
      <w:r>
        <w:rPr>
          <w:rFonts w:ascii="Arial" w:cs="Arial" w:eastAsia="Arial" w:hAnsi="Arial"/>
          <w:sz w:val="17"/>
          <w:szCs w:val="17"/>
          <w:color w:val="auto"/>
        </w:rPr>
        <w:t>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w:t>
      </w:r>
      <w:r>
        <w:rPr>
          <w:rFonts w:ascii="MS PGothic" w:cs="MS PGothic" w:eastAsia="MS PGothic" w:hAnsi="MS PGothic"/>
          <w:sz w:val="17"/>
          <w:szCs w:val="17"/>
          <w:color w:val="auto"/>
        </w:rPr>
        <w:t>‑</w:t>
      </w:r>
      <w:r>
        <w:rPr>
          <w:rFonts w:ascii="Arial" w:cs="Arial" w:eastAsia="Arial" w:hAnsi="Arial"/>
          <w:sz w:val="17"/>
          <w:szCs w:val="17"/>
          <w:color w:val="auto"/>
        </w:rPr>
        <w:t>cancellable obligations of our service providers, up to the date of cancellation. These payments are not included in the table of contractual obligations and commitments above.</w:t>
      </w:r>
    </w:p>
    <w:p>
      <w:pPr>
        <w:spacing w:after="0" w:line="206"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where timing is uncertain. In addition, we have other contingent payment obligations, such as royalties or other third-party milestones, which are not included in the table above as the amount, timing and likelihood of such payments are not known.</w:t>
      </w:r>
    </w:p>
    <w:p>
      <w:pPr>
        <w:spacing w:after="0" w:line="188"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We have entered into three license agreements and certain other agreements with MSK. The license agreements are further described below as the MSK License, the MSK CD33 License, and the SADA license. Additionally, through the SAAA we have established a direct license with MSK relating to the GD2-GD3 Vaccine.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Under the MSK License and MSK CD33 License we are obligated to (i) make certain payments to MSK, which</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become due based upon the achievement of the related milestone activities or the passage of time in the event such</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milestone activities are not achieved, as well as certain sales</w:t>
      </w:r>
      <w:r>
        <w:rPr>
          <w:rFonts w:ascii="MS PGothic" w:cs="MS PGothic" w:eastAsia="MS PGothic" w:hAnsi="MS PGothic"/>
          <w:sz w:val="16"/>
          <w:szCs w:val="16"/>
          <w:color w:val="auto"/>
        </w:rPr>
        <w:t>‑</w:t>
      </w:r>
      <w:r>
        <w:rPr>
          <w:rFonts w:ascii="Arial" w:cs="Arial" w:eastAsia="Arial" w:hAnsi="Arial"/>
          <w:sz w:val="16"/>
          <w:szCs w:val="16"/>
          <w:color w:val="auto"/>
        </w:rPr>
        <w:t>related milestones, (ii) pay mid to high single digit royalties to</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MSK,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of a mid to high single digit royalties based on net sales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products licensed under the applicable agreement and (iii) pay to MSK a percentage of any sublicense fees received by us.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the MSK License, we are also obligated to pay annual minimum royalties of $80,000 over the royalty term, starting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2020. Under the MSK CD33 License, we are obligated to pay annual minimum royalties of $40,000 over the royalty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term beginning in 2027, increasing to $60,000 once a patent within the licensed rights is issued. These amounts are</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refundable but are creditable against royalty payments otherwise due under the respective agreements. Total expensed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minimum royalty payments in 2016 under the MSK License were $1,200,000, upon determination that the payment of such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minimum royalties was probable and the amount was estimable in 2016. We are also obligated to pay MSK certain clinical,</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regulatory and sales</w:t>
      </w:r>
      <w:r>
        <w:rPr>
          <w:rFonts w:ascii="MS PGothic" w:cs="MS PGothic" w:eastAsia="MS PGothic" w:hAnsi="MS PGothic"/>
          <w:sz w:val="16"/>
          <w:szCs w:val="16"/>
          <w:color w:val="auto"/>
        </w:rPr>
        <w:t>‑</w:t>
      </w:r>
      <w:r>
        <w:rPr>
          <w:rFonts w:ascii="Arial" w:cs="Arial" w:eastAsia="Arial" w:hAnsi="Arial"/>
          <w:sz w:val="16"/>
          <w:szCs w:val="16"/>
          <w:color w:val="auto"/>
        </w:rPr>
        <w:t>based milestone payments under the MSK License and MSK CD33 License. Certain of the clinical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regulatory milestone payments become due at the earlier of completion of the related milestone activity or the date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indicated in the MSK License.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firstLine="648"/>
        <w:spacing w:after="0" w:line="301" w:lineRule="auto"/>
        <w:rPr>
          <w:sz w:val="20"/>
          <w:szCs w:val="20"/>
          <w:color w:val="auto"/>
        </w:rPr>
      </w:pPr>
      <w:r>
        <w:rPr>
          <w:rFonts w:ascii="Arial" w:cs="Arial" w:eastAsia="Arial" w:hAnsi="Arial"/>
          <w:sz w:val="16"/>
          <w:szCs w:val="16"/>
          <w:color w:val="auto"/>
        </w:rPr>
        <w:t>Total clinical, regulatory and sales-based milestones potentially due under the MSK License are $2,450,000, $9,000,000 and $20,000,000, respectively. In addition, under the MSK CD33 License, we are obligated to make potential payments of $550,000, $500,000 and $7,500,000 for clinical, regulatory and sales-based milestones, respectively. We record milestones in the period in which the contingent liability is probable and the amount is reasonably estimable.</w:t>
      </w:r>
    </w:p>
    <w:p>
      <w:pPr>
        <w:spacing w:after="0" w:line="157"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w:t>
      </w:r>
      <w:r>
        <w:rPr>
          <w:rFonts w:ascii="MS PGothic" w:cs="MS PGothic" w:eastAsia="MS PGothic" w:hAnsi="MS PGothic"/>
          <w:sz w:val="16"/>
          <w:szCs w:val="16"/>
          <w:color w:val="auto"/>
        </w:rPr>
        <w:t>‑</w:t>
      </w:r>
      <w:r>
        <w:rPr>
          <w:rFonts w:ascii="Arial" w:cs="Arial" w:eastAsia="Arial" w:hAnsi="Arial"/>
          <w:sz w:val="16"/>
          <w:szCs w:val="16"/>
          <w:color w:val="auto"/>
        </w:rPr>
        <w:t>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the MSK CD33 License. Our failure to meet certain conditions under such arrangements could cause the related license to such licensed product to be canceled and could result in termination of the entire respective arrangement with MSK. In addition, we may terminate the MSK License or the MSK CD33 License with prior written notice to MSK. No milestones were expensed in the first quarter of 2020 or the first quarter of 2019 under the MSK License or the MSK CD33 License.</w:t>
      </w:r>
    </w:p>
    <w:p>
      <w:pPr>
        <w:spacing w:after="0" w:line="206"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w:t>
      </w:r>
    </w:p>
    <w:p>
      <w:pPr>
        <w:spacing w:after="0" w:line="187"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Pursuant to the Mabvax/Y-mAbs Sublicense, MabVax sublicensed to us certain patent rights and know-how for development and commercialization of products for the prevention or treatment of NB by means of administering a bi-valent ganglioside vaccine, rights to which were granted to MabVax, pursuant to an exclusive license agreement dated June 20, 2008 between MabVax and MSK, as amended, or the MabVax/MSK License Agreement.</w:t>
      </w:r>
    </w:p>
    <w:p>
      <w:pPr>
        <w:spacing w:after="0" w:line="171" w:lineRule="exact"/>
        <w:rPr>
          <w:sz w:val="20"/>
          <w:szCs w:val="20"/>
          <w:color w:val="auto"/>
        </w:rPr>
      </w:pPr>
    </w:p>
    <w:p>
      <w:pPr>
        <w:ind w:left="40" w:right="119" w:firstLine="648"/>
        <w:spacing w:after="0" w:line="285" w:lineRule="auto"/>
        <w:rPr>
          <w:sz w:val="20"/>
          <w:szCs w:val="20"/>
          <w:color w:val="auto"/>
        </w:rPr>
      </w:pPr>
      <w:r>
        <w:rPr>
          <w:rFonts w:ascii="Arial" w:cs="Arial" w:eastAsia="Arial" w:hAnsi="Arial"/>
          <w:sz w:val="16"/>
          <w:szCs w:val="16"/>
          <w:color w:val="auto"/>
        </w:rPr>
        <w:t>On March 21, 2019, MabVax filed a voluntary petition for relief under Chapter 11 of the Bankruptcy Code. The essence of the transaction created by the SAAA was for us, in light of the Chapter 11 bankruptcy proceedings affecting MabVax, to preserve the MabVax/MSK License Agreement and the rights granted to us under the MabVax/Y-mAbs Sublicense and for us to create a direct relationship with MSK with respect to the rights covered under the MabVax/Y-mAbs Sublicense. Pursuant to the SAAA, MabVax agreed to assume the MabVax/Y-mAbs Sublicense and the MabVax/Y-mAbs License Agreement pursuant to Section 365 of the Bankruptcy Code and concurrently to assign both of these agreements to MSK. MabVax also agreed to pay MSK a certain amount to cure all of its existing defaults under the MabVax/MSK License Agreement. We remain responsible for any potential downstream payment obligations by MabVax to MSK related to the GD2-GD3 Vaccine that were specified in the MabVax/MSK License Agreement. This includes the obligation to pay development milestones totaling $1,400,000 and mid single digit royalty payments to MSK. In addition, if we obtain FDA approval for the GD2-GD3 Vaccine, then we are obligated to file with the FDA for a Priority Review Voucher, or PRV. The SAAA stipulates that, if we are granted a PRV from the FDA covering a licensed product under the MabVax/Y-mAbs Sublicense and the PRV is subsequently sold, we will pay directly to MabVax and to MSK, respectively, a percentage of the proceeds from the sale thereof in order that MabVax and MSK each receive the same amount therefrom as envisaged under the MabVax/MSK License Agreement. The MabVax/MSK License Agreement will expire with effect for us, on a country by 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390"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On April 15, 2020, we entered the SADA License Agreement, which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w:t>
      </w:r>
      <w:r>
        <w:rPr>
          <w:rFonts w:ascii="MS PGothic" w:cs="MS PGothic" w:eastAsia="MS PGothic" w:hAnsi="MS PGothic"/>
          <w:sz w:val="18"/>
          <w:szCs w:val="18"/>
          <w:color w:val="auto"/>
        </w:rPr>
        <w:t>‑</w:t>
      </w:r>
      <w:r>
        <w:rPr>
          <w:rFonts w:ascii="Arial" w:cs="Arial" w:eastAsia="Arial" w:hAnsi="Arial"/>
          <w:sz w:val="18"/>
          <w:szCs w:val="18"/>
          <w:color w:val="auto"/>
        </w:rPr>
        <w:t>refundable but are creditable against royalty payments otherwise due under the SADA License Agreement.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7"/>
          <w:szCs w:val="17"/>
          <w:color w:val="auto"/>
        </w:rPr>
        <w:t>Under the SADA License Agreement, we are also obligated to pay MSK and MIT certain clinical, regulatory and sales</w:t>
      </w:r>
      <w:r>
        <w:rPr>
          <w:rFonts w:ascii="MS PGothic" w:cs="MS PGothic" w:eastAsia="MS PGothic" w:hAnsi="MS PGothic"/>
          <w:sz w:val="17"/>
          <w:szCs w:val="17"/>
          <w:color w:val="auto"/>
        </w:rPr>
        <w:t>‑</w:t>
      </w:r>
      <w:r>
        <w:rPr>
          <w:rFonts w:ascii="Arial" w:cs="Arial" w:eastAsia="Arial" w:hAnsi="Arial"/>
          <w:sz w:val="17"/>
          <w:szCs w:val="17"/>
          <w:color w:val="auto"/>
        </w:rPr>
        <w:t>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w:t>
      </w:r>
      <w:r>
        <w:rPr>
          <w:rFonts w:ascii="MS PGothic" w:cs="MS PGothic" w:eastAsia="MS PGothic" w:hAnsi="MS PGothic"/>
          <w:sz w:val="17"/>
          <w:szCs w:val="17"/>
          <w:color w:val="auto"/>
        </w:rPr>
        <w:t>‑</w:t>
      </w:r>
      <w:r>
        <w:rPr>
          <w:rFonts w:ascii="Arial" w:cs="Arial" w:eastAsia="Arial" w:hAnsi="Arial"/>
          <w:sz w:val="17"/>
          <w:szCs w:val="17"/>
          <w:color w:val="auto"/>
        </w:rPr>
        <w:t>based milestones, totaling $23,750,000, that become due should the Company achieve certain amounts of sales of licensed products. In addition, for each of the SADA construct generated by MSK or MIT and sold for the Company by a sublicensee, the Company will pay sales milestones in the total amount of $60,000,000. Further, under the SADA License Agreement, we have committed to funding scientific research at MSK for up to $1.5 million over the next three years.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7"/>
          <w:szCs w:val="17"/>
          <w:color w:val="auto"/>
        </w:rPr>
        <w:t>We are exposed to market risk related to changes in interest rates. As of March 31, 2020 and December 31, 2019, we had cash and cash equivalents of $185.8 million and $207.1 million, respectively. Due to the nature of our investments in money market funds, the carrying value of our cash equivalents approximate their fair value at March 31, 2020. We currently have, and may, from time to time in the future, cash in banks in excess of FDIC insurance limits. We have not experienced any losses to date. We mitigate our risk by maintaining the majority of our cash and equivalents with high quality financial institutions. Our exposure to changes in the general level of U.S. interest rates is considered immaterial, particularly because our cash equivalents are primarily held in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bank accounts.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such balances, an immediate 100 basis point change in interest rates would not have any effect on the fair market value of cash balances.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Our primary exposure to market risk is foreign exchange rate sensitivity to the Danish Kroner (DKK), the currency used in the Kingdom of Denmark, where our wholly owned subsidiary, Y-mAbs Therapeutics A/S, is located. As of March 31, 2020 and December 31, 2019, we had cash and cash equivalents denominated in DKK of $2.3 million and $1.1 million, respectively, and an immediate 2% change, respectively, in DKK exchange rate would not have any material effect on the fair market value of cash balances with the subsidiary.</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Chief Executive Officer and Chief Financial Officer concluded that our disclosure controls and procedures were not effective at the reasonable assurance level as of March 31, 2020, due to material weaknesses in our internal control over financial reporting, as described in Management’s Report on Internal Control over Financial Reporting in “Item 9A. Controls and Procedures” in the Annual Report on Form 10-K for the year ended December 31, 2019.</w:t>
      </w:r>
    </w:p>
    <w:p>
      <w:pPr>
        <w:spacing w:after="0" w:line="192"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their inherent limitations, disclosure controls and procedures may not prevent or detect all misstatements. Accordingly,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even effective disclosure controls and procedures can only provide reasonable assurance of achieving their control objectives.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40" w:right="17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 15(f) and 15d 15(f) under the Exchange Act) during the first quarter ended March 31, 2020 that has materially affected, or is reasonably likely to materially affect, our internal control over financial reporting.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Material Weakness Remediation Efforts</w:t>
      </w:r>
    </w:p>
    <w:p>
      <w:pPr>
        <w:spacing w:after="0" w:line="225" w:lineRule="exact"/>
        <w:rPr>
          <w:sz w:val="20"/>
          <w:szCs w:val="20"/>
          <w:color w:val="auto"/>
        </w:rPr>
      </w:pPr>
    </w:p>
    <w:p>
      <w:pPr>
        <w:ind w:left="40" w:right="219" w:firstLine="648"/>
        <w:spacing w:after="0" w:line="289" w:lineRule="auto"/>
        <w:rPr>
          <w:sz w:val="20"/>
          <w:szCs w:val="20"/>
          <w:color w:val="auto"/>
        </w:rPr>
      </w:pPr>
      <w:r>
        <w:rPr>
          <w:rFonts w:ascii="Arial" w:cs="Arial" w:eastAsia="Arial" w:hAnsi="Arial"/>
          <w:sz w:val="16"/>
          <w:szCs w:val="16"/>
          <w:color w:val="auto"/>
        </w:rPr>
        <w:t>We are in the midst of the costly and challenging process of compiling the system and processing documentation necessary to design, implement and test the processes and controls to remediate the identified deficiencies needed to comply with Section 404. We are addressing the material weaknesses identified above by hiring additional finance and accounting professionals in 2019 and 2020 with the plan to mitigate the identified material weaknesses in our internal control over financial reporting by increasing the oversight and review procedures with regard to financial reporting, financial processes and internal control procedures and we are evaluating the implementation of additional procedures to address these material weaknesses. We are in the process of designing and testing controls to remediate the control gaps identified in our annual assessment. No assurance can be given that these or other measures will fully remediate the material weaknesses described above in a timely manner.</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Emerging Growth Company Status; The JOBS Act</w:t>
      </w:r>
    </w:p>
    <w:p>
      <w:pPr>
        <w:spacing w:after="0" w:line="225" w:lineRule="exact"/>
        <w:rPr>
          <w:sz w:val="20"/>
          <w:szCs w:val="20"/>
          <w:color w:val="auto"/>
        </w:rPr>
      </w:pPr>
    </w:p>
    <w:p>
      <w:pPr>
        <w:ind w:left="40" w:right="299" w:firstLine="648"/>
        <w:spacing w:after="0" w:line="25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so long as we are an emerging growth company and qualify as a smaller reporting company we expect that:</w:t>
      </w:r>
    </w:p>
    <w:p>
      <w:pPr>
        <w:spacing w:after="0" w:line="248" w:lineRule="exact"/>
        <w:rPr>
          <w:sz w:val="20"/>
          <w:szCs w:val="20"/>
          <w:color w:val="auto"/>
        </w:rPr>
      </w:pPr>
    </w:p>
    <w:p>
      <w:pPr>
        <w:jc w:val="both"/>
        <w:ind w:left="1020" w:right="99" w:hanging="328"/>
        <w:spacing w:after="0" w:line="31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present only two years of audited financial statements, in addition to any required unaudited financial statements, with correspondingly reduced Management’s Discussion and Analysis of Financial Condition and Results of Operations disclosure as long as we continue to qualify as a smaller reporting company;</w:t>
      </w:r>
    </w:p>
    <w:p>
      <w:pPr>
        <w:spacing w:after="0" w:line="148" w:lineRule="exact"/>
        <w:rPr>
          <w:rFonts w:ascii="Arial" w:cs="Arial" w:eastAsia="Arial" w:hAnsi="Arial"/>
          <w:sz w:val="16"/>
          <w:szCs w:val="16"/>
          <w:color w:val="auto"/>
        </w:rPr>
      </w:pPr>
    </w:p>
    <w:p>
      <w:pPr>
        <w:jc w:val="both"/>
        <w:ind w:left="1020" w:right="239" w:hanging="328"/>
        <w:spacing w:after="0" w:line="28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165" w:lineRule="exact"/>
        <w:rPr>
          <w:rFonts w:ascii="Arial" w:cs="Arial" w:eastAsia="Arial" w:hAnsi="Arial"/>
          <w:sz w:val="17"/>
          <w:szCs w:val="17"/>
          <w:color w:val="auto"/>
        </w:rPr>
      </w:pPr>
    </w:p>
    <w:p>
      <w:pPr>
        <w:jc w:val="both"/>
        <w:ind w:left="1020" w:right="379" w:hanging="328"/>
        <w:spacing w:after="0" w:line="220" w:lineRule="exact"/>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w:t>
      </w:r>
    </w:p>
    <w:p>
      <w:pPr>
        <w:spacing w:after="0" w:line="204" w:lineRule="exact"/>
        <w:rPr>
          <w:rFonts w:ascii="Arial" w:cs="Arial" w:eastAsia="Arial" w:hAnsi="Arial"/>
          <w:sz w:val="18"/>
          <w:szCs w:val="18"/>
          <w:color w:val="auto"/>
        </w:rPr>
      </w:pPr>
    </w:p>
    <w:p>
      <w:pPr>
        <w:ind w:left="1020" w:hanging="32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 (i) the last day of the fiscal year following the fifth anniversary of our initial public offering,</w:t>
      </w:r>
    </w:p>
    <w:p>
      <w:pPr>
        <w:jc w:val="both"/>
        <w:ind w:left="40" w:right="279" w:firstLine="4"/>
        <w:spacing w:after="0" w:line="216" w:lineRule="exact"/>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are $1.07 billion or more, which amount is periodically updated, (iii) the date on which we have, during the previous rolling three</w:t>
      </w:r>
      <w:r>
        <w:rPr>
          <w:rFonts w:ascii="MS PGothic" w:cs="MS PGothic" w:eastAsia="MS PGothic" w:hAnsi="MS PGothic"/>
          <w:sz w:val="18"/>
          <w:szCs w:val="18"/>
          <w:color w:val="auto"/>
        </w:rPr>
        <w:t>‑</w:t>
      </w:r>
      <w:r>
        <w:rPr>
          <w:rFonts w:ascii="Arial" w:cs="Arial" w:eastAsia="Arial" w:hAnsi="Arial"/>
          <w:sz w:val="18"/>
          <w:szCs w:val="18"/>
          <w:color w:val="auto"/>
        </w:rPr>
        <w:t>year period,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securities or (iv) the date on which we are deemed to be a “large accelerated filer” as defined in the Exchange Act.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From time to time, we may become involved in legal proceedings arising in the ordinary course of our business.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Quarterly Report on Form 10-Q,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40" w:right="99" w:firstLine="648"/>
        <w:spacing w:after="0" w:line="340"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31"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7"/>
          <w:szCs w:val="17"/>
          <w:color w:val="auto"/>
        </w:rPr>
        <w:t>We are a clinical-stage biopharmaceutical company with a limited operating history. Since our inception in 2015, we have incurred significant losses each year. As of March 31, 2020, we had an accumulated deficit of $192.0 million. We have financed our operations principally through private placements, the initial public offering of our common stock in 2018 as well as our secondary public offering in November 2019. To date, we have devoted substantially all of our efforts to research and development of our lead product candidates. While our lead product candidates are in pivotal clinical trials, no assurance can be given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81"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The net losses we incur may fluctuate significantly from quarter to quarter. We have no product candidates approved for commercial sale, have not generated any revenue from product sales, and do not anticipate generating any revenue from product sales until sometime after we receive regulatory approval for the commercial sale of a product candidate. No assurance can be given that we will ever receive regulatory approval for any of our product candidates. Our ability to generate revenue and achieve profitability depends significantly on our success in many factors, including:</w:t>
      </w:r>
    </w:p>
    <w:p>
      <w:pPr>
        <w:spacing w:after="0" w:line="164" w:lineRule="exact"/>
        <w:rPr>
          <w:sz w:val="20"/>
          <w:szCs w:val="20"/>
          <w:color w:val="auto"/>
        </w:rPr>
      </w:pPr>
    </w:p>
    <w:p>
      <w:pPr>
        <w:ind w:left="1020" w:hanging="32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completing research regarding, and non-clinical and clinical development of, our product candidates;</w:t>
      </w:r>
    </w:p>
    <w:p>
      <w:pPr>
        <w:spacing w:after="0" w:line="236" w:lineRule="exact"/>
        <w:rPr>
          <w:rFonts w:ascii="Arial" w:cs="Arial" w:eastAsia="Arial" w:hAnsi="Arial"/>
          <w:sz w:val="17"/>
          <w:szCs w:val="17"/>
          <w:color w:val="auto"/>
        </w:rPr>
      </w:pPr>
    </w:p>
    <w:p>
      <w:pPr>
        <w:ind w:left="1020" w:right="299" w:hanging="32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170" w:lineRule="exact"/>
        <w:rPr>
          <w:rFonts w:ascii="Arial" w:cs="Arial" w:eastAsia="Arial" w:hAnsi="Arial"/>
          <w:sz w:val="18"/>
          <w:szCs w:val="18"/>
          <w:color w:val="auto"/>
        </w:rPr>
      </w:pPr>
    </w:p>
    <w:p>
      <w:pPr>
        <w:ind w:left="1020" w:right="259" w:hanging="328"/>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including establishing and maintaining commercially viable supply relationships with third parties or establishing our own manufacturing capabilities and infrastructure;</w:t>
      </w:r>
    </w:p>
    <w:p>
      <w:pPr>
        <w:spacing w:after="0" w:line="183" w:lineRule="exact"/>
        <w:rPr>
          <w:rFonts w:ascii="Arial" w:cs="Arial" w:eastAsia="Arial" w:hAnsi="Arial"/>
          <w:sz w:val="18"/>
          <w:szCs w:val="18"/>
          <w:color w:val="auto"/>
        </w:rPr>
      </w:pPr>
    </w:p>
    <w:p>
      <w:pPr>
        <w:ind w:left="1020" w:right="239" w:hanging="32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addressing any competing products, product candidates, related technologies and/or market developments;</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negotiating favorable terms in any collaboration, licensing, or other arrangements into which we may enter;</w:t>
      </w:r>
    </w:p>
    <w:p>
      <w:pPr>
        <w:spacing w:after="0" w:line="248" w:lineRule="exact"/>
        <w:rPr>
          <w:rFonts w:ascii="Arial" w:cs="Arial" w:eastAsia="Arial" w:hAnsi="Arial"/>
          <w:sz w:val="16"/>
          <w:szCs w:val="16"/>
          <w:color w:val="auto"/>
        </w:rPr>
      </w:pPr>
    </w:p>
    <w:p>
      <w:pPr>
        <w:ind w:left="1020" w:right="299" w:hanging="328"/>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left="40" w:right="179" w:firstLine="648"/>
        <w:spacing w:after="0" w:line="287"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2" w:lineRule="exact"/>
        <w:rPr>
          <w:sz w:val="20"/>
          <w:szCs w:val="20"/>
          <w:color w:val="auto"/>
        </w:rPr>
      </w:pPr>
    </w:p>
    <w:p>
      <w:pPr>
        <w:ind w:left="40" w:right="479"/>
        <w:spacing w:after="0" w:line="263" w:lineRule="auto"/>
        <w:rPr>
          <w:sz w:val="20"/>
          <w:szCs w:val="20"/>
          <w:color w:val="auto"/>
        </w:rPr>
      </w:pPr>
      <w:r>
        <w:rPr>
          <w:rFonts w:ascii="Arial" w:cs="Arial" w:eastAsia="Arial" w:hAnsi="Arial"/>
          <w:sz w:val="18"/>
          <w:szCs w:val="18"/>
          <w:b w:val="1"/>
          <w:bCs w:val="1"/>
          <w:i w:val="1"/>
          <w:iCs w:val="1"/>
          <w:color w:val="auto"/>
        </w:rPr>
        <w:t>Our payment obligations to MSK and MIT may be a drain on our cash resources, or may cause us to incur debt obligations or issue additional equity securities to satisfy such payment obligations, which may adversely affect our financial position and results of operations.</w:t>
      </w:r>
    </w:p>
    <w:p>
      <w:pPr>
        <w:spacing w:after="0" w:line="184" w:lineRule="exact"/>
        <w:rPr>
          <w:sz w:val="20"/>
          <w:szCs w:val="20"/>
          <w:color w:val="auto"/>
        </w:rPr>
      </w:pPr>
    </w:p>
    <w:p>
      <w:pPr>
        <w:ind w:left="40" w:right="239" w:firstLine="648"/>
        <w:spacing w:after="0" w:line="342" w:lineRule="auto"/>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through 2020. As licensed product candidates progress through clinical development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88" w:lineRule="auto"/>
        <w:rPr>
          <w:sz w:val="20"/>
          <w:szCs w:val="20"/>
          <w:color w:val="auto"/>
        </w:rPr>
      </w:pPr>
      <w:r>
        <w:rPr>
          <w:rFonts w:ascii="Arial" w:cs="Arial" w:eastAsia="Arial" w:hAnsi="Arial"/>
          <w:sz w:val="16"/>
          <w:szCs w:val="16"/>
          <w:color w:val="auto"/>
        </w:rPr>
        <w:t>commercialization, certain milestone payments will come due, and we will owe MSK customary royalties on commercial sales of our approved products, if any, including, unless such royalties become due earlier, an annual fixed minimum royalty of $80,000 over the royalty term starting in 2020. These milestone payments become due upon achievement of the related clinical, regulatory or sales-based milestone set forth in the MSK License. Certain of the clinical and regulatory milestone payments become due at the earlier of completion of the related milestone activity or the date indicated in the MSK License,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sales-based milestones, respectively.</w:t>
      </w:r>
    </w:p>
    <w:p>
      <w:pPr>
        <w:spacing w:after="0" w:line="168"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will provide drug product and funding for certain clinical trials at MSK under separate appendices to be executed. Additionally, we have entered into a Sponsored Research Agreement, or the SRA, with MSK pursuant to which we agreed to pay MSK to conduct certain research projects over a period of five years related to the intellectual property licensed under the MSK License. The SRA was amended on September 13, 2019, and will expire five years from the date of the amendment. We also entered into a Sponsored Research Agreement, or the CD33 SRA, in connection with the MSK CD33 License, pursuant to which we committed to provide aggregate research funding to MSK annually for a term of two years. We entered into a Manufacturing Agreement with MSK’s Radiochemistry and Molecular Imaging Probes Core Facility, or RMIP, pursuant to which RMIP will complete specified manufacturing activities related to 131I-omburtamab in connection with our Phase 2 trial, Study 101. We also remain responsible for any potential downstream payment obligations to MSK related to the GD2-GD3 Vaccine. This includes our obligation to make development milestone payments totaling $1,400,000 and mid-single digit royalty payments to MSK.</w:t>
      </w:r>
    </w:p>
    <w:p>
      <w:pPr>
        <w:spacing w:after="0" w:line="184"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In April 2020, we entered into the SADA License Agreement which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$4,730,000 and $18,125,000, respectively. Additionally, we are also obligated to make sales-based milestones payments totaling $23,750,000, that become due should the Company achieve certain amounts of sales of licensed products under the SADA License. In addition, for each of the SADA Technology construct generated by MSK or MIT and sold for the Company by a sublicensee of the Company, the Company will pay sales-based milestone payments in the total amount of $60,000,000. Under the SADA License Agreement, we have also committed to fund scientific research at MSK for up to $1,500,000 over the next three years.</w:t>
      </w:r>
    </w:p>
    <w:p>
      <w:pPr>
        <w:spacing w:after="0" w:line="171"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These payments could be significant and in order to satisfy our obligations to MSK and MIT, if and when they are triggered, we may use our existing cash, incur debt obligations or issue additional equity securities, which may materially and adversely affect our financial position and results of operations.</w:t>
      </w:r>
    </w:p>
    <w:p>
      <w:pPr>
        <w:spacing w:after="0" w:line="184" w:lineRule="exact"/>
        <w:rPr>
          <w:sz w:val="20"/>
          <w:szCs w:val="20"/>
          <w:color w:val="auto"/>
        </w:rPr>
      </w:pPr>
    </w:p>
    <w:p>
      <w:pPr>
        <w:ind w:left="40" w:right="279"/>
        <w:spacing w:after="0" w:line="311" w:lineRule="auto"/>
        <w:rPr>
          <w:sz w:val="20"/>
          <w:szCs w:val="20"/>
          <w:color w:val="auto"/>
        </w:rPr>
      </w:pPr>
      <w:r>
        <w:rPr>
          <w:rFonts w:ascii="Arial" w:cs="Arial" w:eastAsia="Arial" w:hAnsi="Arial"/>
          <w:sz w:val="16"/>
          <w:szCs w:val="16"/>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49" w:lineRule="exact"/>
        <w:rPr>
          <w:sz w:val="20"/>
          <w:szCs w:val="20"/>
          <w:color w:val="auto"/>
        </w:rPr>
      </w:pPr>
    </w:p>
    <w:p>
      <w:pPr>
        <w:ind w:left="40" w:right="79" w:firstLine="648"/>
        <w:spacing w:after="0" w:line="311"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71" w:lineRule="auto"/>
        <w:rPr>
          <w:sz w:val="20"/>
          <w:szCs w:val="20"/>
          <w:color w:val="auto"/>
        </w:rPr>
      </w:pPr>
      <w:r>
        <w:rPr>
          <w:rFonts w:ascii="Arial" w:cs="Arial" w:eastAsia="Arial" w:hAnsi="Arial"/>
          <w:sz w:val="17"/>
          <w:szCs w:val="17"/>
          <w:color w:val="auto"/>
        </w:rPr>
        <w:t>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78"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As of March 31, 2020 we had cash and cash equivalents of approximately $185.8 million. We believe that our cash on hand will be sufficient to fund our operations and capital expenditures through the fourth quarter of 2022.</w:t>
      </w:r>
    </w:p>
    <w:p>
      <w:pPr>
        <w:spacing w:after="0" w:line="124" w:lineRule="exact"/>
        <w:rPr>
          <w:sz w:val="20"/>
          <w:szCs w:val="20"/>
          <w:color w:val="auto"/>
        </w:rPr>
      </w:pPr>
    </w:p>
    <w:p>
      <w:pPr>
        <w:ind w:left="40" w:right="199" w:firstLine="648"/>
        <w:spacing w:after="0" w:line="301" w:lineRule="auto"/>
        <w:rPr>
          <w:sz w:val="20"/>
          <w:szCs w:val="20"/>
          <w:color w:val="auto"/>
        </w:rPr>
      </w:pPr>
      <w:r>
        <w:rPr>
          <w:rFonts w:ascii="Arial" w:cs="Arial" w:eastAsia="Arial" w:hAnsi="Arial"/>
          <w:sz w:val="16"/>
          <w:szCs w:val="16"/>
          <w:color w:val="auto"/>
        </w:rPr>
        <w:t>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57"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5"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product candidates on terms unfavorable to us.</w:t>
      </w:r>
    </w:p>
    <w:p>
      <w:pPr>
        <w:spacing w:after="0" w:line="170"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68"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4"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4" w:lineRule="exact"/>
        <w:rPr>
          <w:sz w:val="20"/>
          <w:szCs w:val="20"/>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1020" w:right="279" w:hanging="32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1020" w:right="719" w:hanging="32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1020" w:right="359" w:hanging="328"/>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146" w:lineRule="exact"/>
        <w:rPr>
          <w:rFonts w:ascii="Arial" w:cs="Arial" w:eastAsia="Arial" w:hAnsi="Arial"/>
          <w:sz w:val="17"/>
          <w:szCs w:val="17"/>
          <w:color w:val="auto"/>
        </w:rPr>
      </w:pPr>
    </w:p>
    <w:p>
      <w:pPr>
        <w:ind w:left="1020" w:right="239" w:hanging="328"/>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jc w:val="both"/>
        <w:ind w:left="40" w:right="499"/>
        <w:spacing w:after="0" w:line="381" w:lineRule="auto"/>
        <w:rPr>
          <w:sz w:val="20"/>
          <w:szCs w:val="20"/>
          <w:color w:val="auto"/>
        </w:rPr>
      </w:pPr>
      <w:r>
        <w:rPr>
          <w:rFonts w:ascii="Arial" w:cs="Arial" w:eastAsia="Arial" w:hAnsi="Arial"/>
          <w:sz w:val="15"/>
          <w:szCs w:val="15"/>
          <w:b w:val="1"/>
          <w:bCs w:val="1"/>
          <w:i w:val="1"/>
          <w:iCs w:val="1"/>
          <w:color w:val="auto"/>
        </w:rPr>
        <w:t>We may expand our resources to pursue a particular product candidate or indication and fail to capitalize on other product candidates or indications that may be more profitable or for which there is a greater likelihood of success.</w:t>
      </w:r>
    </w:p>
    <w:p>
      <w:pPr>
        <w:spacing w:after="0" w:line="100"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2" w:lineRule="auto"/>
        <w:rPr>
          <w:sz w:val="20"/>
          <w:szCs w:val="20"/>
          <w:color w:val="auto"/>
        </w:rPr>
      </w:pPr>
      <w:r>
        <w:rPr>
          <w:rFonts w:ascii="Arial" w:cs="Arial" w:eastAsia="Arial" w:hAnsi="Arial"/>
          <w:sz w:val="17"/>
          <w:szCs w:val="17"/>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77"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Management performed its initial assessment of the effectiveness of internal control over financial reporting. This assessment included disclosures of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and executing the activities necessary to remediate the material weaknesses identified in our assessment.</w:t>
      </w:r>
    </w:p>
    <w:p>
      <w:pPr>
        <w:spacing w:after="0" w:line="195"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In connection with the audit of our financial statements for the years ended December 31, 2018 and 2019,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 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7" w:lineRule="exact"/>
        <w:rPr>
          <w:sz w:val="20"/>
          <w:szCs w:val="20"/>
          <w:color w:val="auto"/>
        </w:rPr>
      </w:pPr>
    </w:p>
    <w:p>
      <w:pPr>
        <w:ind w:left="40" w:right="119" w:firstLine="648"/>
        <w:spacing w:after="0" w:line="311" w:lineRule="auto"/>
        <w:rPr>
          <w:sz w:val="20"/>
          <w:szCs w:val="20"/>
          <w:color w:val="auto"/>
        </w:rPr>
      </w:pPr>
      <w:r>
        <w:rPr>
          <w:rFonts w:ascii="Arial" w:cs="Arial" w:eastAsia="Arial" w:hAnsi="Arial"/>
          <w:sz w:val="16"/>
          <w:szCs w:val="16"/>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49"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6"/>
          <w:szCs w:val="16"/>
          <w:color w:val="auto"/>
        </w:rPr>
        <w:t>We have commenced addressing the material weaknesses identified above by hiring additional finance and accounting professionals in 2018 and 2019 with the plan to help mitigate the identified material weaknesses in our internal control over financial reporting by increasing the oversight and review procedures with regard to financial reporting, financial processes and procedures and internal control procedures and we are evaluating the implementation of additional procedures to address these material weaknesses. We are in the process of designing and testing controls to remediate the control gaps identified in our annual assessment. No assurance can be given that these or other measures will fully remediate the material weaknesses described above in a timely manner. Additionally, if the costs related to compliance are significant, our results of operations and financial condition may be materially adversely affected.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No assurance can be given that all of our existing material weaknesses have been identified, or that we will not in the future identify additional material weaknesses.</w:t>
      </w:r>
    </w:p>
    <w:p>
      <w:pPr>
        <w:spacing w:after="0" w:line="167"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404(b) of the Sarbanes-Oxley Act until the date we are no longer an “emerging growth company” as defined in the JOBS Act, as we expect to take advantage of the exemptions contained in the JOBS Act. We will remain an “emerging growth company” for up to five years, although if the market value of our common stock that is held by non-affiliates exceeds $700.0 million as of June 30 of any year before that time, we would cease to be an “emerging growth company” as of December 31 of that year. At such time, our independent registered public accounting firm may issue a report on internal control over financial reporting that is adverse in the event our controls are determined to not be effectively designed, implemented or operating. Our remediation efforts may not enable us to avoid material weaknesses in our internal control over financial reporting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Select Market or other adverse consequences that would materially harm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87"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 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85" w:lineRule="exact"/>
        <w:rPr>
          <w:sz w:val="20"/>
          <w:szCs w:val="20"/>
          <w:color w:val="auto"/>
        </w:rPr>
      </w:pPr>
    </w:p>
    <w:p>
      <w:pPr>
        <w:ind w:left="40" w:right="499" w:firstLine="648"/>
        <w:spacing w:after="0" w:line="277" w:lineRule="auto"/>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170" w:lineRule="exact"/>
        <w:rPr>
          <w:sz w:val="20"/>
          <w:szCs w:val="20"/>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1020" w:right="13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1020" w:right="39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1020" w:right="79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170" w:lineRule="exact"/>
        <w:rPr>
          <w:rFonts w:ascii="Arial" w:cs="Arial" w:eastAsia="Arial" w:hAnsi="Arial"/>
          <w:sz w:val="18"/>
          <w:szCs w:val="18"/>
          <w:color w:val="auto"/>
        </w:rPr>
      </w:pPr>
    </w:p>
    <w:p>
      <w:pPr>
        <w:ind w:left="1020" w:right="25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1020" w:right="39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1020" w:right="51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4"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76" w:lineRule="exact"/>
        <w:rPr>
          <w:sz w:val="20"/>
          <w:szCs w:val="20"/>
          <w:color w:val="auto"/>
        </w:rPr>
      </w:pPr>
    </w:p>
    <w:p>
      <w:pPr>
        <w:ind w:left="40" w:right="439"/>
        <w:spacing w:after="0" w:line="320" w:lineRule="auto"/>
        <w:rPr>
          <w:sz w:val="20"/>
          <w:szCs w:val="20"/>
          <w:color w:val="auto"/>
        </w:rPr>
      </w:pPr>
      <w:r>
        <w:rPr>
          <w:rFonts w:ascii="Arial" w:cs="Arial" w:eastAsia="Arial" w:hAnsi="Arial"/>
          <w:sz w:val="15"/>
          <w:szCs w:val="15"/>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46" w:lineRule="exact"/>
        <w:rPr>
          <w:sz w:val="20"/>
          <w:szCs w:val="20"/>
          <w:color w:val="auto"/>
        </w:rPr>
      </w:pPr>
    </w:p>
    <w:p>
      <w:pPr>
        <w:ind w:left="40" w:right="99" w:firstLine="648"/>
        <w:spacing w:after="0" w:line="289"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66" w:lineRule="exact"/>
        <w:rPr>
          <w:sz w:val="20"/>
          <w:szCs w:val="20"/>
          <w:color w:val="auto"/>
        </w:rPr>
      </w:pPr>
    </w:p>
    <w:p>
      <w:pPr>
        <w:ind w:left="40" w:right="259" w:firstLine="648"/>
        <w:spacing w:after="0" w:line="296" w:lineRule="auto"/>
        <w:rPr>
          <w:sz w:val="20"/>
          <w:szCs w:val="20"/>
          <w:color w:val="auto"/>
        </w:rPr>
      </w:pPr>
      <w:r>
        <w:rPr>
          <w:rFonts w:ascii="Arial" w:cs="Arial" w:eastAsia="Arial" w:hAnsi="Arial"/>
          <w:sz w:val="16"/>
          <w:szCs w:val="16"/>
          <w:color w:val="auto"/>
        </w:rPr>
        <w:t>No assurance can be given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clinical studies begin, issues may arise that could suspend or terminate such clinical trials. A failure of one or more clinical studies can occur at any stage of testing, and our future clinical studies may not be successful.</w:t>
      </w:r>
    </w:p>
    <w:p>
      <w:pPr>
        <w:spacing w:after="0" w:line="161"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and it may indicate that the market opportunity for our product candidates is smaller than we expect.</w:t>
      </w:r>
    </w:p>
    <w:p>
      <w:pPr>
        <w:spacing w:after="0" w:line="187"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6"/>
          <w:szCs w:val="16"/>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may never achieve profitability without obtaining regulatory approval for additional and broader indications, including use of our product candidates for front-line and second-line therapy.</w:t>
      </w:r>
    </w:p>
    <w:p>
      <w:pPr>
        <w:spacing w:after="0" w:line="170"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92"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4" w:lineRule="exact"/>
        <w:rPr>
          <w:sz w:val="20"/>
          <w:szCs w:val="20"/>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20" w:right="19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20" w:right="299" w:hanging="32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8" w:lineRule="exact"/>
        <w:rPr>
          <w:sz w:val="20"/>
          <w:szCs w:val="20"/>
          <w:color w:val="auto"/>
        </w:rPr>
      </w:pPr>
    </w:p>
    <w:p>
      <w:pPr>
        <w:ind w:left="40" w:right="159"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79"/>
        <w:spacing w:after="0" w:line="293"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64"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88"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78"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92" w:lineRule="exact"/>
        <w:rPr>
          <w:sz w:val="20"/>
          <w:szCs w:val="20"/>
          <w:color w:val="auto"/>
        </w:rPr>
      </w:pPr>
    </w:p>
    <w:p>
      <w:pPr>
        <w:ind w:left="1020" w:hanging="32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1020" w:right="69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narrow the indications for use or require additional warnings on the label, such as a “black box” warning or a contraindication, or impose distribution or use restrictions;</w:t>
      </w:r>
    </w:p>
    <w:p>
      <w:pPr>
        <w:spacing w:after="0" w:line="170" w:lineRule="exact"/>
        <w:rPr>
          <w:rFonts w:ascii="Arial" w:cs="Arial" w:eastAsia="Arial" w:hAnsi="Arial"/>
          <w:sz w:val="18"/>
          <w:szCs w:val="18"/>
          <w:color w:val="auto"/>
        </w:rPr>
      </w:pPr>
    </w:p>
    <w:p>
      <w:pPr>
        <w:ind w:left="1020" w:right="459" w:hanging="328"/>
        <w:spacing w:after="0" w:line="31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48" w:lineRule="exact"/>
        <w:rPr>
          <w:rFonts w:ascii="Arial" w:cs="Arial" w:eastAsia="Arial" w:hAnsi="Arial"/>
          <w:sz w:val="16"/>
          <w:szCs w:val="16"/>
          <w:color w:val="auto"/>
        </w:rPr>
      </w:pPr>
    </w:p>
    <w:p>
      <w:pPr>
        <w:ind w:left="1020" w:right="47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left="40" w:right="79"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87"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1"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4"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68" w:lineRule="exact"/>
        <w:rPr>
          <w:sz w:val="20"/>
          <w:szCs w:val="20"/>
          <w:color w:val="auto"/>
        </w:rPr>
      </w:pPr>
    </w:p>
    <w:p>
      <w:pPr>
        <w:jc w:val="both"/>
        <w:ind w:left="40" w:right="119"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jc w:val="both"/>
        <w:ind w:left="40" w:right="79" w:firstLine="648"/>
        <w:spacing w:after="0" w:line="25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88"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In October 2017, the FDA issued a partial clinical hold on the IND application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 dependent cytotoxicity, respectively. We submitted a response to the FDA in March 2018, and met with the FDA in April 2018. Subsequently, we submitted a complete response to the partial clinical hold to the FDA in May 2018 and the partial clinical hold was removed in June 2018. One or more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clinical trials of our lead product candidates may be subject to additional clinical holds in the future, which may ultimately delay or otherwise adversely affect the clinical development of our lead product candidates.</w:t>
      </w:r>
    </w:p>
    <w:p>
      <w:pPr>
        <w:spacing w:after="0" w:line="170"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In addition, we have initiated Study 201 and Study 101 and such studies form the primary basis for our submitted and planned BLAs, to establish comparability of study population and pharmacokinetics analysis with Study 12-230 and Study 03-133,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our BLA, or completing submission of our BLA if such submission is made on a rolling basis.</w:t>
      </w:r>
    </w:p>
    <w:p>
      <w:pPr>
        <w:spacing w:after="0" w:line="164" w:lineRule="exact"/>
        <w:rPr>
          <w:sz w:val="20"/>
          <w:szCs w:val="20"/>
          <w:color w:val="auto"/>
        </w:rPr>
      </w:pPr>
    </w:p>
    <w:p>
      <w:pPr>
        <w:ind w:left="40" w:right="139" w:firstLine="648"/>
        <w:spacing w:after="0" w:line="269"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7" w:lineRule="exact"/>
        <w:rPr>
          <w:sz w:val="20"/>
          <w:szCs w:val="20"/>
          <w:color w:val="auto"/>
        </w:rPr>
      </w:pPr>
    </w:p>
    <w:p>
      <w:pPr>
        <w:jc w:val="both"/>
        <w:ind w:left="40" w:right="159" w:firstLine="648"/>
        <w:spacing w:after="0" w:line="263"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4" w:lineRule="exact"/>
        <w:rPr>
          <w:sz w:val="20"/>
          <w:szCs w:val="20"/>
          <w:color w:val="auto"/>
        </w:rPr>
      </w:pPr>
    </w:p>
    <w:p>
      <w:pPr>
        <w:ind w:left="40" w:right="119"/>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5" w:lineRule="exact"/>
        <w:rPr>
          <w:sz w:val="20"/>
          <w:szCs w:val="20"/>
          <w:color w:val="auto"/>
        </w:rPr>
      </w:pPr>
    </w:p>
    <w:p>
      <w:pPr>
        <w:ind w:left="40" w:right="239" w:firstLine="648"/>
        <w:spacing w:after="0" w:line="253" w:lineRule="auto"/>
        <w:rPr>
          <w:sz w:val="20"/>
          <w:szCs w:val="20"/>
          <w:color w:val="auto"/>
        </w:rPr>
      </w:pPr>
      <w:r>
        <w:rPr>
          <w:rFonts w:ascii="Arial" w:cs="Arial" w:eastAsia="Arial" w:hAnsi="Arial"/>
          <w:sz w:val="18"/>
          <w:szCs w:val="18"/>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cash and cash equivalents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94" w:lineRule="exact"/>
        <w:rPr>
          <w:sz w:val="20"/>
          <w:szCs w:val="20"/>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not be able to assemble sufficient resources to acquire or discover additional product candidates;</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279" w:hanging="328"/>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1020" w:hanging="32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candidates we develop may nevertheless be covered by third parties’ patents or other exclusive rights;</w:t>
      </w:r>
    </w:p>
    <w:p>
      <w:pPr>
        <w:spacing w:after="0" w:line="248" w:lineRule="exact"/>
        <w:rPr>
          <w:rFonts w:ascii="Arial" w:cs="Arial" w:eastAsia="Arial" w:hAnsi="Arial"/>
          <w:sz w:val="16"/>
          <w:szCs w:val="16"/>
          <w:color w:val="auto"/>
        </w:rPr>
      </w:pPr>
    </w:p>
    <w:p>
      <w:pPr>
        <w:ind w:left="1020" w:right="9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1020" w:right="31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no assurance can be given you that any such product candidates will be successfully commercialized, widely accepted in the marketplace or more effective than other commercially available alternatives.</w:t>
      </w:r>
    </w:p>
    <w:p>
      <w:pPr>
        <w:spacing w:after="0" w:line="164"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4" w:lineRule="exact"/>
        <w:rPr>
          <w:sz w:val="20"/>
          <w:szCs w:val="20"/>
          <w:color w:val="auto"/>
        </w:rPr>
      </w:pPr>
    </w:p>
    <w:p>
      <w:pPr>
        <w:ind w:left="40" w:right="179" w:firstLine="648"/>
        <w:spacing w:after="0" w:line="293"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64" w:lineRule="exact"/>
        <w:rPr>
          <w:sz w:val="20"/>
          <w:szCs w:val="20"/>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1020" w:right="61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1020" w:right="61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70" w:lineRule="exact"/>
        <w:rPr>
          <w:rFonts w:ascii="Arial" w:cs="Arial" w:eastAsia="Arial" w:hAnsi="Arial"/>
          <w:sz w:val="18"/>
          <w:szCs w:val="18"/>
          <w:color w:val="auto"/>
        </w:rPr>
      </w:pPr>
    </w:p>
    <w:p>
      <w:pPr>
        <w:ind w:left="1020" w:right="49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1020" w:right="339" w:hanging="328"/>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b w:val="1"/>
          <w:bCs w:val="1"/>
          <w:i w:val="1"/>
          <w:iCs w:val="1"/>
          <w:color w:val="auto"/>
        </w:rPr>
        <w:t>We currently have only a limited marketing and sales organization and have only limited experience in marketing products. We may not be successful in commercializing our product candidates if and when they are approved unless we are able to expand sales and marketing capabilities or enter into agreements with third parties to sell and market such approved products.</w:t>
      </w:r>
    </w:p>
    <w:p>
      <w:pPr>
        <w:spacing w:after="0" w:line="187"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We only have a limited sales or marketing infrastructure and have only limited experience in the sale or marketing of pharmaceutical drugs. We are not currently a party to a strategic collaboration that provides us with access to a collaborator’s resources in selling or marketing drugs. To achieve commercial success for any approved drug we must either develop a sales and marketing organization or outsource these functions to strategic collaborators and other third parties.</w:t>
      </w:r>
    </w:p>
    <w:p>
      <w:pPr>
        <w:spacing w:after="0" w:line="188"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4"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ind w:left="1020" w:hanging="328"/>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70" w:lineRule="exact"/>
        <w:rPr>
          <w:rFonts w:ascii="Arial" w:cs="Arial" w:eastAsia="Arial" w:hAnsi="Arial"/>
          <w:sz w:val="18"/>
          <w:szCs w:val="18"/>
          <w:color w:val="auto"/>
        </w:rPr>
      </w:pPr>
    </w:p>
    <w:p>
      <w:pPr>
        <w:ind w:left="1020" w:right="759" w:hanging="328"/>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inability to obtain sufficient coverage and reimbursement from third-party payors and governmental agencies.</w:t>
      </w:r>
    </w:p>
    <w:p>
      <w:pPr>
        <w:spacing w:after="0" w:line="248"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308" w:lineRule="auto"/>
        <w:rPr>
          <w:sz w:val="20"/>
          <w:szCs w:val="20"/>
          <w:color w:val="auto"/>
        </w:rPr>
      </w:pPr>
      <w:r>
        <w:rPr>
          <w:rFonts w:ascii="Arial" w:cs="Arial" w:eastAsia="Arial" w:hAnsi="Arial"/>
          <w:sz w:val="17"/>
          <w:szCs w:val="17"/>
          <w:color w:val="auto"/>
        </w:rPr>
        <w:t>market our drugs effectively. If we do not establish further sales and marketing capabilities successfully, either on our own or in collaboration with third parties, we will not be successful in commercializing our product candidates.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 variety of risks associated with operating our business internationally could materially adversely affect our business.</w:t>
      </w:r>
    </w:p>
    <w:p>
      <w:pPr>
        <w:spacing w:after="0" w:line="260"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84" w:lineRule="exact"/>
        <w:rPr>
          <w:sz w:val="20"/>
          <w:szCs w:val="20"/>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020" w:right="279" w:hanging="328"/>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020" w:right="659" w:hanging="328"/>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83" w:lineRule="exact"/>
        <w:rPr>
          <w:rFonts w:ascii="Arial" w:cs="Arial" w:eastAsia="Arial" w:hAnsi="Arial"/>
          <w:sz w:val="18"/>
          <w:szCs w:val="18"/>
          <w:color w:val="auto"/>
        </w:rPr>
      </w:pPr>
    </w:p>
    <w:p>
      <w:pPr>
        <w:ind w:left="1020" w:right="119" w:hanging="328"/>
        <w:spacing w:after="0" w:line="308"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1020" w:right="319" w:hanging="328"/>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70"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78"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8"/>
          <w:szCs w:val="18"/>
          <w:color w:val="auto"/>
        </w:rPr>
        <w:t>Specifically, MacroGenics, Inc. and Daiichi Sankyo Co. are developing antibodies against B7</w:t>
      </w:r>
      <w:r>
        <w:rPr>
          <w:rFonts w:ascii="MS PGothic" w:cs="MS PGothic" w:eastAsia="MS PGothic" w:hAnsi="MS PGothic"/>
          <w:sz w:val="18"/>
          <w:szCs w:val="18"/>
          <w:color w:val="auto"/>
        </w:rPr>
        <w:t>‑</w:t>
      </w:r>
      <w:r>
        <w:rPr>
          <w:rFonts w:ascii="Arial" w:cs="Arial" w:eastAsia="Arial" w:hAnsi="Arial"/>
          <w:sz w:val="18"/>
          <w:szCs w:val="18"/>
          <w:color w:val="auto"/>
        </w:rPr>
        <w:t>H3. United Therapeutics Corporation has commercialized Unituxin (dinutuximab), an antibody against GD2, in the United States and has announced plans to seek a label expansion for Unituxin in combination with irinotecan and temozolomide for the treatment of pediatric patients with R/R NB. United Therapeutics Corporation has also announced that it is developing a humanized GD2 antibody. In addition, naxitamab may face competition from dinutuximab beta, a similar antibody product against GD2 developed by Apeiron Biologics AG, or Apeiron, that was approved in Europe in May 2017 to treat high</w:t>
      </w:r>
      <w:r>
        <w:rPr>
          <w:rFonts w:ascii="MS PGothic" w:cs="MS PGothic" w:eastAsia="MS PGothic" w:hAnsi="MS PGothic"/>
          <w:sz w:val="18"/>
          <w:szCs w:val="18"/>
          <w:color w:val="auto"/>
        </w:rPr>
        <w:t>‑</w:t>
      </w:r>
      <w:r>
        <w:rPr>
          <w:rFonts w:ascii="Arial" w:cs="Arial" w:eastAsia="Arial" w:hAnsi="Arial"/>
          <w:sz w:val="18"/>
          <w:szCs w:val="18"/>
          <w:color w:val="auto"/>
        </w:rPr>
        <w:t>risk NB and R/R NB. In October 2016, EUSA Pharma (UK) Ltd., or EUSA, announced that it had acquired global commercialization rights to dinutuximab beta, which is currently being commercialized under the name Qarziba</w:t>
      </w:r>
      <w:r>
        <w:rPr>
          <w:rFonts w:ascii="Arial" w:cs="Arial" w:eastAsia="Arial" w:hAnsi="Arial"/>
          <w:sz w:val="8"/>
          <w:szCs w:val="8"/>
          <w:color w:val="auto"/>
        </w:rPr>
        <w:t>®</w:t>
      </w:r>
      <w:r>
        <w:rPr>
          <w:rFonts w:ascii="Arial" w:cs="Arial" w:eastAsia="Arial" w:hAnsi="Arial"/>
          <w:sz w:val="18"/>
          <w:szCs w:val="18"/>
          <w:color w:val="auto"/>
        </w:rPr>
        <w:t xml:space="preserve"> in Europe. EUSA has previously announced plans to file for registration of dinutuximab beta in the United States in 2020 in R/R NB. In January 2020, EUSA and BeiGene Ltd., announced an exclusive collaboration to commercialize Qarziba® in mainland China.</w:t>
      </w:r>
    </w:p>
    <w:p>
      <w:pPr>
        <w:spacing w:after="0" w:line="211" w:lineRule="exact"/>
        <w:rPr>
          <w:sz w:val="20"/>
          <w:szCs w:val="20"/>
          <w:color w:val="auto"/>
        </w:rPr>
      </w:pPr>
    </w:p>
    <w:p>
      <w:pPr>
        <w:ind w:left="40" w:right="199" w:firstLine="648"/>
        <w:spacing w:after="0" w:line="253" w:lineRule="auto"/>
        <w:rPr>
          <w:sz w:val="20"/>
          <w:szCs w:val="20"/>
          <w:color w:val="auto"/>
        </w:rPr>
      </w:pPr>
      <w:r>
        <w:rPr>
          <w:rFonts w:ascii="Arial" w:cs="Arial" w:eastAsia="Arial" w:hAnsi="Arial"/>
          <w:sz w:val="18"/>
          <w:szCs w:val="18"/>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94"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85" w:lineRule="exact"/>
        <w:rPr>
          <w:sz w:val="20"/>
          <w:szCs w:val="20"/>
          <w:color w:val="auto"/>
        </w:rPr>
      </w:pPr>
    </w:p>
    <w:p>
      <w:pPr>
        <w:ind w:left="40" w:right="79"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24" w:lineRule="exact"/>
        <w:rPr>
          <w:sz w:val="20"/>
          <w:szCs w:val="20"/>
          <w:color w:val="auto"/>
        </w:rPr>
      </w:pPr>
    </w:p>
    <w:p>
      <w:pPr>
        <w:ind w:left="1020" w:right="459" w:hanging="328"/>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19" w:hanging="328"/>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7" w:lineRule="exact"/>
        <w:rPr>
          <w:rFonts w:ascii="Arial" w:cs="Arial" w:eastAsia="Arial" w:hAnsi="Arial"/>
          <w:sz w:val="18"/>
          <w:szCs w:val="18"/>
          <w:color w:val="auto"/>
        </w:rPr>
      </w:pPr>
    </w:p>
    <w:p>
      <w:pPr>
        <w:jc w:val="both"/>
        <w:ind w:left="1020" w:right="259" w:hanging="328"/>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20" w:right="399" w:hanging="328"/>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third parties or any potential future collaborators could independently develop, or develop with third parties, products that compete directly or indirectly with our products or product candidates;</w:t>
      </w:r>
    </w:p>
    <w:p>
      <w:pPr>
        <w:spacing w:after="0" w:line="146" w:lineRule="exact"/>
        <w:rPr>
          <w:rFonts w:ascii="Arial" w:cs="Arial" w:eastAsia="Arial" w:hAnsi="Arial"/>
          <w:sz w:val="17"/>
          <w:szCs w:val="17"/>
          <w:color w:val="auto"/>
        </w:rPr>
      </w:pPr>
    </w:p>
    <w:p>
      <w:pPr>
        <w:ind w:left="1020" w:right="79" w:hanging="328"/>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6" w:lineRule="exact"/>
        <w:rPr>
          <w:rFonts w:ascii="Arial" w:cs="Arial" w:eastAsia="Arial" w:hAnsi="Arial"/>
          <w:sz w:val="18"/>
          <w:szCs w:val="18"/>
          <w:color w:val="auto"/>
        </w:rPr>
      </w:pPr>
    </w:p>
    <w:p>
      <w:pPr>
        <w:ind w:left="1020" w:right="43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ind w:left="1020" w:right="319" w:hanging="328"/>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1020" w:right="119" w:hanging="328"/>
        <w:spacing w:after="0" w:line="28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165" w:lineRule="exact"/>
        <w:rPr>
          <w:rFonts w:ascii="Arial" w:cs="Arial" w:eastAsia="Arial" w:hAnsi="Arial"/>
          <w:sz w:val="17"/>
          <w:szCs w:val="17"/>
          <w:color w:val="auto"/>
        </w:rPr>
      </w:pPr>
    </w:p>
    <w:p>
      <w:pPr>
        <w:ind w:left="1020" w:right="359" w:hanging="32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20" w:right="79" w:hanging="328"/>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183" w:lineRule="exact"/>
        <w:rPr>
          <w:rFonts w:ascii="Arial" w:cs="Arial" w:eastAsia="Arial" w:hAnsi="Arial"/>
          <w:sz w:val="18"/>
          <w:szCs w:val="18"/>
          <w:color w:val="auto"/>
        </w:rPr>
      </w:pPr>
    </w:p>
    <w:p>
      <w:pPr>
        <w:ind w:left="1020" w:right="179" w:hanging="328"/>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84"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4"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beta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390"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CMOs, other contractors or consultants, may fail or suffer security breaches.</w:t>
      </w:r>
    </w:p>
    <w:p>
      <w:pPr>
        <w:spacing w:after="0" w:line="170"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CMOs, other contractors and consultants are vulnerable to damage from computer viruses, cyber-attack,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6"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Our operations, and those of our third-party research institution collaborators, CROs, CMOs, suppliers, other contractors and consultants, could be subject to earthquakes, power shortages, telecommunications failures, water shortages, floods, hurricanes, typhoons, fires, extreme weather conditions, medical epidemics, terrorist activities, other natural or man-made disasters or business interruptions, for which we are predominantly self-insured, and other severe hazards or global health crises, such as the outbreak of Ebola or the global COVID-19 pandemic,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182"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b w:val="1"/>
          <w:bCs w:val="1"/>
          <w:i w:val="1"/>
          <w:iCs w:val="1"/>
          <w:color w:val="auto"/>
        </w:rPr>
        <w:t>Our normal business operations may be adversely impacted by the global COVID-19 pandemic. COVID-19 and future outbreak of any highly infectious or contagious diseases, could materially and adversely affect our operations and have a material impact on our financial position. Further, the spread of the COVID-19 outbreak has caused severe disruptions in the U.S. and global economy and financial markets and could potentially create widespread business continuity issues of an as yet unknown magnitude and duration.</w:t>
      </w:r>
    </w:p>
    <w:p>
      <w:pPr>
        <w:spacing w:after="0" w:line="176" w:lineRule="exact"/>
        <w:rPr>
          <w:sz w:val="20"/>
          <w:szCs w:val="20"/>
          <w:color w:val="auto"/>
        </w:rPr>
      </w:pPr>
    </w:p>
    <w:p>
      <w:pPr>
        <w:ind w:left="40" w:right="119" w:firstLine="648"/>
        <w:spacing w:after="0" w:line="288" w:lineRule="auto"/>
        <w:rPr>
          <w:sz w:val="20"/>
          <w:szCs w:val="20"/>
          <w:color w:val="auto"/>
        </w:rPr>
      </w:pPr>
      <w:r>
        <w:rPr>
          <w:rFonts w:ascii="Arial" w:cs="Arial" w:eastAsia="Arial" w:hAnsi="Arial"/>
          <w:sz w:val="16"/>
          <w:szCs w:val="16"/>
          <w:color w:val="auto"/>
        </w:rPr>
        <w:t>We are susceptible to a widespread outbreak of highly infectious or contagious diseases, such as the COVID-19 outbreak, which was declared by the World Health Organization as a pandemic in March 2020. In addition to the various effects noted in the above risk factor regarding global health crises, the COVID-19 pandemic, and preventative measures taken to contain or mitigate this pandemic have caused, and are continuing to cause, business slowdowns or shutdowns in various regions around the world and disruption in the global supply chain and business operations. Actions taken to help limit the spread of COVID-19, such as general public health decrees or other government mandates to restrict business activities and travel, avoid large gatherings or to self-quarantine, have impacted and will likely continue to impact our ability to carry out business as usual, including the temporary suspension of some of our operations, shortages in materials, costs associated with operational changes and an extended period of remote work arrangements for some of our employees which could increase cybersecurity risks and other operational risks.</w:t>
      </w:r>
    </w:p>
    <w:p>
      <w:pPr>
        <w:spacing w:after="0" w:line="168"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color w:val="auto"/>
        </w:rPr>
        <w:t>The outbreak of COVID-19 has severely impacted global economic activity and caused significant volatility and negative pressure in global financial markets. The global impact of the outbreak has been rapidly evolving and many countries, including the United States, have reacted by instituting quarantines, mandating business and school closures and restricting travel. Many experts predict that the outbreak will trigger a period of global economic slowdown or a global recession. We are unable to predict the extent or nature of these impacts at this time. COVID-19 is adversely affecting, and is expected to continue to adversely affect, our operations, and COVID-19 or another pandemic could have material and adverse effects on our ability to successfully operate our business due to, among other factors:</w:t>
      </w:r>
    </w:p>
    <w:p>
      <w:pPr>
        <w:spacing w:after="0" w:line="166" w:lineRule="exact"/>
        <w:rPr>
          <w:sz w:val="20"/>
          <w:szCs w:val="20"/>
          <w:color w:val="auto"/>
        </w:rPr>
      </w:pPr>
    </w:p>
    <w:p>
      <w:pPr>
        <w:ind w:left="1020" w:right="439" w:hanging="328"/>
        <w:spacing w:after="0" w:line="31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destabilization of the markets and negative impacts on the healthcare system or regulatory authorities globally could negatively impact our ability to obtain approval to market, market and sell our products, including through the disruption of regulatory activities or health care activities in general.</w:t>
      </w:r>
    </w:p>
    <w:p>
      <w:pPr>
        <w:spacing w:after="0" w:line="148" w:lineRule="exact"/>
        <w:rPr>
          <w:rFonts w:ascii="Arial" w:cs="Arial" w:eastAsia="Arial" w:hAnsi="Arial"/>
          <w:sz w:val="16"/>
          <w:szCs w:val="16"/>
          <w:color w:val="auto"/>
        </w:rPr>
      </w:pPr>
    </w:p>
    <w:p>
      <w:pPr>
        <w:jc w:val="both"/>
        <w:ind w:left="1020" w:right="339" w:hanging="328"/>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83"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employees, especially if a significant number of them are impacted;</w:t>
      </w:r>
    </w:p>
    <w:p>
      <w:pPr>
        <w:spacing w:after="0" w:line="170" w:lineRule="exact"/>
        <w:rPr>
          <w:rFonts w:ascii="Arial" w:cs="Arial" w:eastAsia="Arial" w:hAnsi="Arial"/>
          <w:sz w:val="18"/>
          <w:szCs w:val="18"/>
          <w:color w:val="auto"/>
        </w:rPr>
      </w:pPr>
    </w:p>
    <w:p>
      <w:pPr>
        <w:ind w:left="1020" w:right="459" w:hanging="328"/>
        <w:spacing w:after="0" w:line="286"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negative impact on our clinical trials, including as a result of any difficulty enrolling new patients in our clinical trials during the outbreak and ensuring that patients already enrolled complete our clinical trials, as well as any potential trial delays caused by or related to COVID-19;</w:t>
      </w:r>
    </w:p>
    <w:p>
      <w:pPr>
        <w:spacing w:after="0" w:line="165" w:lineRule="exact"/>
        <w:rPr>
          <w:rFonts w:ascii="Arial" w:cs="Arial" w:eastAsia="Arial" w:hAnsi="Arial"/>
          <w:sz w:val="17"/>
          <w:szCs w:val="17"/>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general decline in business activity;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25"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Despite our efforts to manage and mitigate these impacts to our company, their ultimate impact also depends on factors beyond our knowledge or control, including the duration and severity of this and any other pandemic, as well as third-party actions taken to contain its spread and mitigate its public health effects, and the pace of global economic recovery following containment of the spread. In addition, while we cannot predict the impact that COVID-19 will have on our suppliers, vendors and other business partners and each of their financial conditions, any material adverse effects on these parties could adversely impact us. The ultimate impact of this and any other pandemic on our business is highly uncertain and the continued spread of COVID-19 may have further adverse impacts on our business, operations, any pending regulatory approvals, supply chain, and financial position, and may also exacerbate other risks discussed in our Annual Report on Form 10-K for the period ended December 31, 2019.</w:t>
      </w:r>
    </w:p>
    <w:p>
      <w:pPr>
        <w:spacing w:after="0" w:line="181"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collaborators. We currently carry $5.0 million of clinical trial insurance and expect to take out additional product liability insurance upon marketing approval of any of our product candidates. The amount of current clinical trial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72" w:lineRule="auto"/>
        <w:rPr>
          <w:sz w:val="20"/>
          <w:szCs w:val="20"/>
          <w:color w:val="auto"/>
        </w:rPr>
      </w:pPr>
      <w:r>
        <w:rPr>
          <w:rFonts w:ascii="Arial" w:cs="Arial" w:eastAsia="Arial" w:hAnsi="Arial"/>
          <w:sz w:val="17"/>
          <w:szCs w:val="17"/>
          <w:color w:val="auto"/>
        </w:rPr>
        <w:t>future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0" w:right="119"/>
        <w:spacing w:after="0" w:line="290" w:lineRule="auto"/>
        <w:rPr>
          <w:sz w:val="20"/>
          <w:szCs w:val="20"/>
          <w:color w:val="auto"/>
        </w:rPr>
      </w:pPr>
      <w:r>
        <w:rPr>
          <w:rFonts w:ascii="Arial" w:cs="Arial" w:eastAsia="Arial" w:hAnsi="Arial"/>
          <w:sz w:val="16"/>
          <w:szCs w:val="16"/>
          <w:b w:val="1"/>
          <w:bCs w:val="1"/>
          <w:i w:val="1"/>
          <w:iCs w:val="1"/>
          <w:color w:val="auto"/>
        </w:rPr>
        <w:t>Third parties have sponsored most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65"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8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286" w:lineRule="auto"/>
        <w:rPr>
          <w:sz w:val="20"/>
          <w:szCs w:val="20"/>
          <w:color w:val="auto"/>
        </w:rPr>
      </w:pPr>
      <w:r>
        <w:rPr>
          <w:rFonts w:ascii="Arial" w:cs="Arial" w:eastAsia="Arial" w:hAnsi="Arial"/>
          <w:sz w:val="17"/>
          <w:szCs w:val="17"/>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65" w:lineRule="exact"/>
        <w:rPr>
          <w:sz w:val="20"/>
          <w:szCs w:val="20"/>
          <w:color w:val="auto"/>
        </w:rPr>
      </w:pPr>
    </w:p>
    <w:p>
      <w:pPr>
        <w:ind w:left="40" w:right="119" w:firstLine="648"/>
        <w:spacing w:after="0" w:line="268" w:lineRule="auto"/>
        <w:rPr>
          <w:sz w:val="20"/>
          <w:szCs w:val="20"/>
          <w:color w:val="auto"/>
        </w:rPr>
      </w:pPr>
      <w:r>
        <w:rPr>
          <w:rFonts w:ascii="Arial" w:cs="Arial" w:eastAsia="Arial" w:hAnsi="Arial"/>
          <w:sz w:val="17"/>
          <w:szCs w:val="17"/>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40" w:right="199" w:firstLine="648"/>
        <w:spacing w:after="0" w:line="269" w:lineRule="auto"/>
        <w:rPr>
          <w:sz w:val="20"/>
          <w:szCs w:val="20"/>
          <w:color w:val="auto"/>
        </w:rPr>
      </w:pPr>
      <w:r>
        <w:rPr>
          <w:rFonts w:ascii="Arial" w:cs="Arial" w:eastAsia="Arial" w:hAnsi="Arial"/>
          <w:sz w:val="17"/>
          <w:szCs w:val="17"/>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85"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1" w:lineRule="exact"/>
        <w:rPr>
          <w:sz w:val="20"/>
          <w:szCs w:val="20"/>
          <w:color w:val="auto"/>
        </w:rPr>
      </w:pPr>
    </w:p>
    <w:p>
      <w:pPr>
        <w:ind w:left="40" w:right="199"/>
        <w:spacing w:after="0" w:line="273" w:lineRule="auto"/>
        <w:rPr>
          <w:sz w:val="20"/>
          <w:szCs w:val="20"/>
          <w:color w:val="auto"/>
        </w:rPr>
      </w:pPr>
      <w:r>
        <w:rPr>
          <w:rFonts w:ascii="Arial" w:cs="Arial" w:eastAsia="Arial" w:hAnsi="Arial"/>
          <w:sz w:val="17"/>
          <w:szCs w:val="17"/>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 or fail to maintain adequate compliance with CMC guidelines of the FDA.</w:t>
      </w:r>
    </w:p>
    <w:p>
      <w:pPr>
        <w:spacing w:after="0" w:line="178" w:lineRule="exact"/>
        <w:rPr>
          <w:sz w:val="20"/>
          <w:szCs w:val="20"/>
          <w:color w:val="auto"/>
        </w:rPr>
      </w:pPr>
    </w:p>
    <w:p>
      <w:pPr>
        <w:ind w:left="40" w:right="279" w:firstLine="648"/>
        <w:spacing w:after="0" w:line="271" w:lineRule="auto"/>
        <w:rPr>
          <w:sz w:val="20"/>
          <w:szCs w:val="20"/>
          <w:color w:val="auto"/>
        </w:rPr>
      </w:pPr>
      <w:r>
        <w:rPr>
          <w:rFonts w:ascii="Arial" w:cs="Arial" w:eastAsia="Arial" w:hAnsi="Arial"/>
          <w:sz w:val="17"/>
          <w:szCs w:val="17"/>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of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88"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8" w:lineRule="exact"/>
        <w:rPr>
          <w:sz w:val="20"/>
          <w:szCs w:val="20"/>
          <w:color w:val="auto"/>
        </w:rPr>
      </w:pPr>
    </w:p>
    <w:p>
      <w:pPr>
        <w:ind w:left="1020" w:right="139" w:hanging="328"/>
        <w:spacing w:after="0" w:line="25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7"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70" w:lineRule="exact"/>
        <w:rPr>
          <w:rFonts w:ascii="Arial" w:cs="Arial" w:eastAsia="Arial" w:hAnsi="Arial"/>
          <w:sz w:val="18"/>
          <w:szCs w:val="18"/>
          <w:color w:val="auto"/>
        </w:rPr>
      </w:pPr>
    </w:p>
    <w:p>
      <w:pPr>
        <w:ind w:left="1020" w:right="25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1020" w:right="159" w:hanging="328"/>
        <w:spacing w:after="0" w:line="301"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7" w:lineRule="exact"/>
        <w:rPr>
          <w:rFonts w:ascii="Arial" w:cs="Arial" w:eastAsia="Arial" w:hAnsi="Arial"/>
          <w:sz w:val="16"/>
          <w:szCs w:val="16"/>
          <w:color w:val="auto"/>
        </w:rPr>
      </w:pPr>
    </w:p>
    <w:p>
      <w:pPr>
        <w:ind w:left="1020" w:right="33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1020" w:right="239" w:hanging="328"/>
        <w:spacing w:after="0" w:line="27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71" w:lineRule="exact"/>
        <w:rPr>
          <w:rFonts w:ascii="Arial" w:cs="Arial" w:eastAsia="Arial" w:hAnsi="Arial"/>
          <w:sz w:val="17"/>
          <w:szCs w:val="17"/>
          <w:color w:val="auto"/>
        </w:rPr>
      </w:pPr>
    </w:p>
    <w:p>
      <w:pPr>
        <w:ind w:left="1020" w:right="43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170" w:lineRule="exact"/>
        <w:rPr>
          <w:rFonts w:ascii="Arial" w:cs="Arial" w:eastAsia="Arial" w:hAnsi="Arial"/>
          <w:sz w:val="18"/>
          <w:szCs w:val="18"/>
          <w:color w:val="auto"/>
        </w:rPr>
      </w:pPr>
    </w:p>
    <w:p>
      <w:pPr>
        <w:ind w:left="1020" w:right="119" w:hanging="328"/>
        <w:spacing w:after="0" w:line="311"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48" w:lineRule="exact"/>
        <w:rPr>
          <w:rFonts w:ascii="Arial" w:cs="Arial" w:eastAsia="Arial" w:hAnsi="Arial"/>
          <w:sz w:val="16"/>
          <w:szCs w:val="16"/>
          <w:color w:val="auto"/>
        </w:rPr>
      </w:pPr>
    </w:p>
    <w:p>
      <w:pPr>
        <w:ind w:left="1020" w:right="23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19" w:hanging="328"/>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 xml:space="preserve">Each of these risks could delay or prevent the completion of our clinical trials, could delay any BLA submissions or the approval of any of our product candidates by the FDA, result in higher costs or adversely impact commercialization of our product candidates. For example, during 2018 we experienced a shortage in the supply of Iodine-131, one of the components of our </w:t>
      </w:r>
      <w:r>
        <w:rPr>
          <w:rFonts w:ascii="Arial" w:cs="Arial" w:eastAsia="Arial" w:hAnsi="Arial"/>
          <w:sz w:val="7"/>
          <w:szCs w:val="7"/>
          <w:color w:val="auto"/>
        </w:rPr>
        <w:t>131</w:t>
      </w:r>
      <w:r>
        <w:rPr>
          <w:rFonts w:ascii="Arial" w:cs="Arial" w:eastAsia="Arial" w:hAnsi="Arial"/>
          <w:sz w:val="16"/>
          <w:szCs w:val="16"/>
          <w:color w:val="auto"/>
        </w:rPr>
        <w:t xml:space="preserve">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 of our </w:t>
      </w:r>
      <w:r>
        <w:rPr>
          <w:rFonts w:ascii="Arial" w:cs="Arial" w:eastAsia="Arial" w:hAnsi="Arial"/>
          <w:sz w:val="7"/>
          <w:szCs w:val="7"/>
          <w:color w:val="auto"/>
        </w:rPr>
        <w:t>131</w:t>
      </w:r>
      <w:r>
        <w:rPr>
          <w:rFonts w:ascii="Arial" w:cs="Arial" w:eastAsia="Arial" w:hAnsi="Arial"/>
          <w:sz w:val="16"/>
          <w:szCs w:val="16"/>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68"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approved by the FDA pursuant to inspections that will be conducted after we submit our Biologics License Application, or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2" w:lineRule="exact"/>
        <w:rPr>
          <w:sz w:val="20"/>
          <w:szCs w:val="20"/>
          <w:color w:val="auto"/>
        </w:rPr>
      </w:pPr>
    </w:p>
    <w:p>
      <w:pPr>
        <w:ind w:left="40" w:right="279" w:firstLine="648"/>
        <w:spacing w:after="0" w:line="293"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164" w:lineRule="exact"/>
        <w:rPr>
          <w:sz w:val="20"/>
          <w:szCs w:val="20"/>
          <w:color w:val="auto"/>
        </w:rPr>
      </w:pPr>
    </w:p>
    <w:p>
      <w:pPr>
        <w:ind w:left="40" w:right="199"/>
        <w:spacing w:after="0" w:line="301"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57" w:lineRule="exact"/>
        <w:rPr>
          <w:sz w:val="20"/>
          <w:szCs w:val="20"/>
          <w:color w:val="auto"/>
        </w:rPr>
      </w:pPr>
    </w:p>
    <w:p>
      <w:pPr>
        <w:ind w:left="40" w:right="319" w:firstLine="648"/>
        <w:spacing w:after="0" w:line="263" w:lineRule="auto"/>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third-party research institutions for both capabilities.</w:t>
      </w:r>
    </w:p>
    <w:p>
      <w:pPr>
        <w:spacing w:after="0" w:line="184"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87"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85"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color w:val="auto"/>
        </w:rPr>
        <w:t>Our existing agreements with MSK may be subject to termination by MSK upon the occurrence of certain circumstances. If MSK terminates the MSK License, the MSK CD33 License, the SADA License Agreement or its other agreements with us,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81" w:lineRule="exact"/>
        <w:rPr>
          <w:sz w:val="20"/>
          <w:szCs w:val="20"/>
          <w:color w:val="auto"/>
        </w:rPr>
      </w:pPr>
    </w:p>
    <w:p>
      <w:pPr>
        <w:ind w:left="40" w:right="99"/>
        <w:spacing w:after="0" w:line="293" w:lineRule="auto"/>
        <w:rPr>
          <w:sz w:val="20"/>
          <w:szCs w:val="20"/>
          <w:color w:val="auto"/>
        </w:rPr>
      </w:pPr>
      <w:r>
        <w:rPr>
          <w:rFonts w:ascii="Arial" w:cs="Arial" w:eastAsia="Arial" w:hAnsi="Arial"/>
          <w:sz w:val="16"/>
          <w:szCs w:val="16"/>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64"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6"/>
          <w:szCs w:val="16"/>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our product candidates will not occur in the future.</w:t>
      </w:r>
    </w:p>
    <w:p>
      <w:pPr>
        <w:spacing w:after="0" w:line="167"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87"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4"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Although we currently plan to retain all commercial rights to our lead product candidates, we may enter into strategic collaborations for the development, marketing and commercialization of all or some of our product candidates. If those collaborations are not successful, or if we are unable to establish any such collaborations, we may have to alter or delay our development and commercialization plans.</w:t>
      </w:r>
    </w:p>
    <w:p>
      <w:pPr>
        <w:spacing w:after="0" w:line="187"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25" w:lineRule="exact"/>
        <w:rPr>
          <w:sz w:val="20"/>
          <w:szCs w:val="20"/>
          <w:color w:val="auto"/>
        </w:rPr>
      </w:pPr>
    </w:p>
    <w:p>
      <w:pPr>
        <w:ind w:left="1020" w:right="179" w:hanging="32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1020" w:right="159" w:hanging="328"/>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59"/>
        <w:spacing w:after="0" w:line="277" w:lineRule="auto"/>
        <w:rPr>
          <w:sz w:val="20"/>
          <w:szCs w:val="20"/>
          <w:color w:val="auto"/>
        </w:rPr>
      </w:pPr>
      <w:r>
        <w:rPr>
          <w:rFonts w:ascii="Arial" w:cs="Arial" w:eastAsia="Arial" w:hAnsi="Arial"/>
          <w:sz w:val="18"/>
          <w:szCs w:val="18"/>
          <w:color w:val="auto"/>
        </w:rPr>
        <w:t>clinical trial results, changes in the collaborator’s strategic focus or available funding or external factors such as an acquisition that diverts resources or creates competing priorities;</w:t>
      </w:r>
    </w:p>
    <w:p>
      <w:pPr>
        <w:spacing w:after="0" w:line="170" w:lineRule="exact"/>
        <w:rPr>
          <w:sz w:val="20"/>
          <w:szCs w:val="20"/>
          <w:color w:val="auto"/>
        </w:rPr>
      </w:pPr>
    </w:p>
    <w:p>
      <w:pPr>
        <w:ind w:left="1020" w:right="159" w:hanging="328"/>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20" w:right="55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1020" w:right="73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1020" w:right="239" w:hanging="328"/>
        <w:spacing w:after="0" w:line="25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rFonts w:ascii="Arial" w:cs="Arial" w:eastAsia="Arial" w:hAnsi="Arial"/>
          <w:sz w:val="18"/>
          <w:szCs w:val="18"/>
          <w:color w:val="auto"/>
        </w:rPr>
      </w:pPr>
    </w:p>
    <w:p>
      <w:pPr>
        <w:ind w:left="1020" w:right="59" w:hanging="328"/>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3" w:lineRule="exact"/>
        <w:rPr>
          <w:rFonts w:ascii="Arial" w:cs="Arial" w:eastAsia="Arial" w:hAnsi="Arial"/>
          <w:sz w:val="18"/>
          <w:szCs w:val="18"/>
          <w:color w:val="auto"/>
        </w:rPr>
      </w:pPr>
    </w:p>
    <w:p>
      <w:pPr>
        <w:ind w:left="1020" w:right="25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20" w:right="19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1020" w:right="479" w:hanging="328"/>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marketing and/or commercialization of the applicable product candidates;</w:t>
      </w:r>
    </w:p>
    <w:p>
      <w:pPr>
        <w:spacing w:after="0" w:line="123" w:lineRule="exact"/>
        <w:rPr>
          <w:rFonts w:ascii="Arial" w:cs="Arial" w:eastAsia="Arial" w:hAnsi="Arial"/>
          <w:sz w:val="16"/>
          <w:szCs w:val="16"/>
          <w:color w:val="auto"/>
        </w:rPr>
      </w:pPr>
    </w:p>
    <w:p>
      <w:pPr>
        <w:ind w:left="1020" w:right="13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1020" w:right="719" w:hanging="32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70"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342" w:lineRule="auto"/>
        <w:rPr>
          <w:sz w:val="20"/>
          <w:szCs w:val="20"/>
          <w:color w:val="auto"/>
        </w:rPr>
      </w:pPr>
      <w:r>
        <w:rPr>
          <w:rFonts w:ascii="Arial" w:cs="Arial" w:eastAsia="Arial" w:hAnsi="Arial"/>
          <w:sz w:val="16"/>
          <w:szCs w:val="16"/>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24"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left="40" w:right="259"/>
        <w:spacing w:after="0" w:line="296"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61"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2020.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66"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R/R NB, but the FDA may not agree. The FDA may ultimately require one or multiple Phase 3 clinical trials prior to approval.</w:t>
      </w:r>
    </w:p>
    <w:p>
      <w:pPr>
        <w:spacing w:after="0" w:line="180"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We do not have significant experience in completing a submission of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79"/>
        <w:spacing w:after="0" w:line="263" w:lineRule="auto"/>
        <w:rPr>
          <w:sz w:val="20"/>
          <w:szCs w:val="20"/>
          <w:color w:val="auto"/>
        </w:rPr>
      </w:pPr>
      <w:r>
        <w:rPr>
          <w:rFonts w:ascii="Arial" w:cs="Arial" w:eastAsia="Arial" w:hAnsi="Arial"/>
          <w:sz w:val="18"/>
          <w:szCs w:val="18"/>
          <w:color w:val="auto"/>
        </w:rPr>
        <w:t>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84"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85" w:lineRule="exact"/>
        <w:rPr>
          <w:sz w:val="20"/>
          <w:szCs w:val="20"/>
          <w:color w:val="auto"/>
        </w:rPr>
      </w:pPr>
    </w:p>
    <w:p>
      <w:pPr>
        <w:ind w:left="40" w:right="91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1020" w:right="79" w:hanging="328"/>
        <w:spacing w:after="0" w:line="342"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GCPs, or dropping out of a trial;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73" w:lineRule="auto"/>
        <w:rPr>
          <w:sz w:val="20"/>
          <w:szCs w:val="20"/>
          <w:color w:val="auto"/>
        </w:rPr>
      </w:pPr>
      <w:r>
        <w:rPr>
          <w:rFonts w:ascii="Arial" w:cs="Arial" w:eastAsia="Arial" w:hAnsi="Arial"/>
          <w:sz w:val="17"/>
          <w:szCs w:val="17"/>
          <w:color w:val="auto"/>
        </w:rPr>
        <w:t>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jc w:val="both"/>
        <w:ind w:left="40" w:right="19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product candidates could fail to receive marketing approval for many reasons, including the following:</w:t>
      </w:r>
    </w:p>
    <w:p>
      <w:pPr>
        <w:spacing w:after="0" w:line="237" w:lineRule="exact"/>
        <w:rPr>
          <w:sz w:val="20"/>
          <w:szCs w:val="20"/>
          <w:color w:val="auto"/>
        </w:rPr>
      </w:pPr>
    </w:p>
    <w:p>
      <w:pPr>
        <w:ind w:left="1020" w:right="15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20" w:right="17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1020" w:right="83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20" w:right="37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20" w:right="219" w:hanging="328"/>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marketing approval in the United States or elsewhere;</w:t>
      </w:r>
    </w:p>
    <w:p>
      <w:pPr>
        <w:spacing w:after="0" w:line="123" w:lineRule="exact"/>
        <w:rPr>
          <w:rFonts w:ascii="Arial" w:cs="Arial" w:eastAsia="Arial" w:hAnsi="Arial"/>
          <w:sz w:val="16"/>
          <w:szCs w:val="16"/>
          <w:color w:val="auto"/>
        </w:rPr>
      </w:pPr>
    </w:p>
    <w:p>
      <w:pPr>
        <w:ind w:left="1020" w:right="399" w:hanging="328"/>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1020" w:right="379" w:hanging="328"/>
        <w:spacing w:after="0" w:line="30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1020" w:right="59" w:hanging="32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99" w:firstLine="648"/>
        <w:spacing w:after="0" w:line="263"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84"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The FDA may refuse to accept an accelerated approval pathway for naxitamab and omburtamab and may refuse rolling review of our BLAs which could have a material adverse impact on our development and approval process for these product candidates and our other product candidates.</w:t>
      </w:r>
    </w:p>
    <w:p>
      <w:pPr>
        <w:spacing w:after="0" w:line="184"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We have not previously submitted a BLA to the FDA or comparable foreign authorities for any of our product candidates. On March 31, 2020, we completed the submission of our BLA for naxitamab to the FDA with a goal of receiving approval by the FDA in 2020. We began this submission in November 2019, when we submitted the initial portion of the BLA under the FDA’s rolling review process. The FDA may raise issues and pose questions to us that may potentially delay the approval process and delay the acceptance of our BLA submission and the ultimate issuance of any Marketing Authorization. We may not be able to provide a satisfactory or a timely response to FDA questions or resolve all the questions and issues the FDA may pose. If we are unable to address all questions or concerns the FDA may raise or if we do not have timely access to the data required to answer such questions or concerns, we may not be able to ultimately receive a Marketing Authorization for naxitamab.</w:t>
      </w:r>
    </w:p>
    <w:p>
      <w:pPr>
        <w:spacing w:after="0" w:line="181"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Should the FDA refuse to accept an accelerated approval pathway for naxitamab, this may result in a delay in obtaining required Marketing Authorizations, which could materially adversely affect our ability to generate revenue from commercialization of the particular product candidate, which would likely result in significant harm to our financial position and adversely impact our stock price. This could also adversely affect the development and approval process for our other product candidates.</w:t>
      </w:r>
    </w:p>
    <w:p>
      <w:pPr>
        <w:spacing w:after="0" w:line="188" w:lineRule="exact"/>
        <w:rPr>
          <w:sz w:val="20"/>
          <w:szCs w:val="20"/>
          <w:color w:val="auto"/>
        </w:rPr>
      </w:pPr>
    </w:p>
    <w:p>
      <w:pPr>
        <w:jc w:val="both"/>
        <w:ind w:left="40" w:right="99" w:firstLine="648"/>
        <w:spacing w:after="0" w:line="263" w:lineRule="auto"/>
        <w:rPr>
          <w:sz w:val="20"/>
          <w:szCs w:val="20"/>
          <w:color w:val="auto"/>
        </w:rPr>
      </w:pPr>
      <w:r>
        <w:rPr>
          <w:rFonts w:ascii="Arial" w:cs="Arial" w:eastAsia="Arial" w:hAnsi="Arial"/>
          <w:sz w:val="18"/>
          <w:szCs w:val="18"/>
          <w:color w:val="auto"/>
        </w:rPr>
        <w:t>The FDA may refuse to accept an accelerated approval pathway for omburtamab and may refuse rolling review of our BLA which could have a material adverse impact on our development and approval process for this product candidate and our other product candidates.</w:t>
      </w:r>
    </w:p>
    <w:p>
      <w:pPr>
        <w:spacing w:after="0" w:line="184"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We expect to begin submission of a rolling BLA for omburtamab in May 2020 under the FDA’s rolling review process with a goal of receiving approval by the FDA in 2020. We believe that the rolling BLA submission process will provide us with the opportunity for ongoing communications with and feedback from the FDA. During the rolling submission process, however, the FDA may raise issues and pose questions to us that may delay the completion of our BLA submission and thereby potentially also delay the approval process and delay the acceptance of the complete BLA for filing and the ultimate issuance of any Marketing Authorization. We may not be able to provide a satisfactory or a timely response to FDA questions or we may not be able to timely gather the required data to prepare our BLA submissions as we planned. If we are unable to address all questions or concerns the FDA may raise or if we do not have timely access to the data required for the preparations of the BLA, we may not be able to timely file our BLA and ultimately receive a Marketing Authorization for naxitamab. The FDA retains discretion to decide not to review the our BLA for naxitamab we have already submitted and the portions of the BLA for omburtamab we submit on a rolling basis. No assurance can be given that we would be able to satisfactorily or timely answer or resolve all the questions and issues the FDA may pose.</w:t>
      </w:r>
    </w:p>
    <w:p>
      <w:pPr>
        <w:spacing w:after="0" w:line="168"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Should the FDA refuse to accept an accelerated approval pathway for naxitamab or omburtamab or refuse rolling review of our BLAs for either product candidate, this may result in a delay in obtaining required Marketing Authorizations, which could materially adversely affect our ability to generate revenue from commercialization of the particular product candidate, which would likely result in significant harm to our financial position and adversely impact our stock price. This could also adversely affect the development and approval process for our other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b w:val="1"/>
          <w:bCs w:val="1"/>
          <w:i w:val="1"/>
          <w:iCs w:val="1"/>
          <w:color w:val="auto"/>
        </w:rPr>
        <w:t>The European Medicines Agency, or the EMA, or comparable foreign regulatory authorities, may disagree with our regulatory plans, including our plans to seek conditional marketing authorization,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76"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8"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92" w:lineRule="exact"/>
        <w:rPr>
          <w:sz w:val="20"/>
          <w:szCs w:val="20"/>
          <w:color w:val="auto"/>
        </w:rPr>
      </w:pPr>
    </w:p>
    <w:p>
      <w:pPr>
        <w:ind w:left="40" w:right="599" w:firstLine="648"/>
        <w:spacing w:after="0" w:line="263"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4" w:lineRule="exact"/>
        <w:rPr>
          <w:sz w:val="20"/>
          <w:szCs w:val="20"/>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1020" w:right="319" w:hanging="328"/>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ind w:left="40" w:right="159" w:firstLine="648"/>
        <w:spacing w:after="0" w:line="311" w:lineRule="auto"/>
        <w:rPr>
          <w:sz w:val="20"/>
          <w:szCs w:val="20"/>
          <w:color w:val="auto"/>
        </w:rPr>
      </w:pPr>
      <w:r>
        <w:rPr>
          <w:rFonts w:ascii="Arial" w:cs="Arial" w:eastAsia="Arial" w:hAnsi="Arial"/>
          <w:sz w:val="16"/>
          <w:szCs w:val="16"/>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49" w:lineRule="exact"/>
        <w:rPr>
          <w:sz w:val="20"/>
          <w:szCs w:val="20"/>
          <w:color w:val="auto"/>
        </w:rPr>
      </w:pPr>
    </w:p>
    <w:p>
      <w:pPr>
        <w:jc w:val="both"/>
        <w:ind w:left="40" w:right="239" w:firstLine="648"/>
        <w:spacing w:after="0" w:line="311"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9"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6" w:lineRule="exact"/>
        <w:rPr>
          <w:sz w:val="20"/>
          <w:szCs w:val="20"/>
          <w:color w:val="auto"/>
        </w:rPr>
      </w:pPr>
    </w:p>
    <w:p>
      <w:pPr>
        <w:ind w:left="1020" w:right="15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1020" w:right="87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1020" w:right="83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20" w:right="159" w:hanging="328"/>
        <w:spacing w:after="0" w:line="311"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48" w:lineRule="exact"/>
        <w:rPr>
          <w:rFonts w:ascii="Arial" w:cs="Arial" w:eastAsia="Arial" w:hAnsi="Arial"/>
          <w:sz w:val="16"/>
          <w:szCs w:val="16"/>
          <w:color w:val="auto"/>
        </w:rPr>
      </w:pPr>
    </w:p>
    <w:p>
      <w:pPr>
        <w:ind w:left="1020" w:right="99" w:hanging="328"/>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83"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Additionally, on January 31, 2020 the United Kingdom withdrew from and ceased to be part of the European Union, commonly referred to as Brexit. Currently, the European Union and the United Kingdom have reached a withdrawal agreement which sets out a transition period lasting until December 31, 2020 to allow negotiations for a long-term trade deal between the European Union and the United Kingdom. It is uncertain whether a long-term trade agreement will be entered into without delays or at all.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84"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7"/>
          <w:szCs w:val="17"/>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BTD does not change the standards for product approval.</w:t>
      </w:r>
    </w:p>
    <w:p>
      <w:pPr>
        <w:spacing w:after="0" w:line="225"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 xml:space="preserve">In June 2017, </w:t>
      </w:r>
      <w:r>
        <w:rPr>
          <w:rFonts w:ascii="Arial" w:cs="Arial" w:eastAsia="Arial" w:hAnsi="Arial"/>
          <w:sz w:val="7"/>
          <w:szCs w:val="7"/>
          <w:color w:val="auto"/>
        </w:rPr>
        <w:t>131</w:t>
      </w:r>
      <w:r>
        <w:rPr>
          <w:rFonts w:ascii="Arial" w:cs="Arial" w:eastAsia="Arial" w:hAnsi="Arial"/>
          <w:sz w:val="16"/>
          <w:szCs w:val="16"/>
          <w:color w:val="auto"/>
        </w:rPr>
        <w:t>I-omburtamab received BTD for the treatment of pediatric patients with R/R NB who have CNS/LM from NB. In addition, on August 20, 2018, naxitamab received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We may seek BTD for some or all of our other product candidates, but we may never receive such BTD, or, if received, the development of our product candidates may not be expedited or benefited by such designation.</w:t>
      </w:r>
    </w:p>
    <w:p>
      <w:pPr>
        <w:spacing w:after="0" w:line="164" w:lineRule="exact"/>
        <w:rPr>
          <w:sz w:val="20"/>
          <w:szCs w:val="20"/>
          <w:color w:val="auto"/>
        </w:rPr>
      </w:pPr>
    </w:p>
    <w:p>
      <w:pPr>
        <w:ind w:left="40" w:right="279" w:firstLine="648"/>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92" w:lineRule="exact"/>
        <w:rPr>
          <w:sz w:val="20"/>
          <w:szCs w:val="20"/>
          <w:color w:val="auto"/>
        </w:rPr>
      </w:pPr>
    </w:p>
    <w:p>
      <w:pPr>
        <w:ind w:left="40" w:right="279"/>
        <w:spacing w:after="0" w:line="311" w:lineRule="auto"/>
        <w:rPr>
          <w:sz w:val="20"/>
          <w:szCs w:val="20"/>
          <w:color w:val="auto"/>
        </w:rPr>
      </w:pPr>
      <w:r>
        <w:rPr>
          <w:rFonts w:ascii="Arial" w:cs="Arial" w:eastAsia="Arial" w:hAnsi="Arial"/>
          <w:sz w:val="16"/>
          <w:szCs w:val="16"/>
          <w:b w:val="1"/>
          <w:bCs w:val="1"/>
          <w:i w:val="1"/>
          <w:iCs w:val="1"/>
          <w:color w:val="auto"/>
        </w:rPr>
        <w:t>Our product candidates may not be able to obtain Orphan Drug Designation or Rare Pediatric Disease Designation (RPDD) or obtain or maintain orphan drug exclusivity. Absent Congressional action, we will not be eligible to receive PRVs in the event that our product candidates are not approved before October 1, 2022.</w:t>
      </w:r>
    </w:p>
    <w:p>
      <w:pPr>
        <w:spacing w:after="0" w:line="149"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w:t>
      </w:r>
      <w:r>
        <w:rPr>
          <w:rFonts w:ascii="Arial" w:cs="Arial" w:eastAsia="Arial" w:hAnsi="Arial"/>
          <w:sz w:val="8"/>
          <w:szCs w:val="8"/>
          <w:color w:val="auto"/>
        </w:rPr>
        <w:t>131</w:t>
      </w:r>
      <w:r>
        <w:rPr>
          <w:rFonts w:ascii="Arial" w:cs="Arial" w:eastAsia="Arial" w:hAnsi="Arial"/>
          <w:sz w:val="17"/>
          <w:szCs w:val="17"/>
          <w:color w:val="auto"/>
        </w:rPr>
        <w:t>I-omburtamab for the treatment of NB. In February 2017, the European Commission granted orphan medicinal product designation, or OMPD, to omburtamab for the treatment of NB. In 2013, the FDA granted ODD to naxitamab for the treatment of NB. In November 2018, the European Commission granted OMPD for naxitamab for the treatment of NB.</w:t>
      </w:r>
    </w:p>
    <w:p>
      <w:pPr>
        <w:spacing w:after="0" w:line="181" w:lineRule="exact"/>
        <w:rPr>
          <w:sz w:val="20"/>
          <w:szCs w:val="20"/>
          <w:color w:val="auto"/>
        </w:rPr>
      </w:pPr>
    </w:p>
    <w:p>
      <w:pPr>
        <w:jc w:val="both"/>
        <w:ind w:left="40" w:right="239" w:firstLine="648"/>
        <w:spacing w:after="0" w:line="287" w:lineRule="auto"/>
        <w:rPr>
          <w:sz w:val="20"/>
          <w:szCs w:val="20"/>
          <w:color w:val="auto"/>
        </w:rPr>
      </w:pPr>
      <w:r>
        <w:rPr>
          <w:rFonts w:ascii="Arial" w:cs="Arial" w:eastAsia="Arial" w:hAnsi="Arial"/>
          <w:sz w:val="16"/>
          <w:szCs w:val="16"/>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w:t>
      </w:r>
    </w:p>
    <w:p>
      <w:pPr>
        <w:spacing w:after="0" w:line="2" w:lineRule="exact"/>
        <w:rPr>
          <w:sz w:val="20"/>
          <w:szCs w:val="20"/>
          <w:color w:val="auto"/>
        </w:rPr>
      </w:pPr>
    </w:p>
    <w:p>
      <w:pPr>
        <w:ind w:left="40" w:right="339"/>
        <w:spacing w:after="0" w:line="323" w:lineRule="auto"/>
        <w:rPr>
          <w:sz w:val="20"/>
          <w:szCs w:val="20"/>
          <w:color w:val="auto"/>
        </w:rPr>
      </w:pPr>
      <w:r>
        <w:rPr>
          <w:rFonts w:ascii="Arial" w:cs="Arial" w:eastAsia="Arial" w:hAnsi="Arial"/>
          <w:sz w:val="16"/>
          <w:szCs w:val="16"/>
          <w:color w:val="auto"/>
        </w:rPr>
        <w:t>Orphan drug exclusivity in the United States provides that the FDA may not approve any other applications, including a full BLA, to market the same drug for the same indication for seven years, except in limited circumstances.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99"/>
        <w:spacing w:after="0" w:line="263" w:lineRule="auto"/>
        <w:rPr>
          <w:sz w:val="20"/>
          <w:szCs w:val="20"/>
          <w:color w:val="auto"/>
        </w:rPr>
      </w:pPr>
      <w:r>
        <w:rPr>
          <w:rFonts w:ascii="Arial" w:cs="Arial" w:eastAsia="Arial" w:hAnsi="Arial"/>
          <w:sz w:val="18"/>
          <w:szCs w:val="18"/>
          <w:color w:val="auto"/>
        </w:rPr>
        <w:t>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84"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6"/>
          <w:szCs w:val="16"/>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the MSK License provide that MSK is entitled to receive 40-50% of any income generated from the sale of first such PRV, and 33% of any income generated from the sale of any subsequent PRV or the sale of other comparable incentives provided by any non-U.S. jurisdiction. Additionally, the terms of the MSK CD33 License provide that MSK is entitled to receive 25% of any income generated from the sale of any PRV or the sale of other comparable incentives provided by any non-U.S. jurisdiction. Additionally, the SAAA stipulates that, if we are granted a PRV from the FDA covering a licensed product under the MabVax/Y-mAbs Sublicense and the PRV is subsequently sold, we will pay directly to MabVax and to MSK, respectively a total of 20% of the income generated thereof in order that MabVax and MSK each receive the same amount therefrom as envisaged under the MabVax/MSK License Agreement. Finally, the terms of the SADA License provide that MSK is entitled to receive 25% of any income generated from the sale of any PRV or the sale of other comparable incentives provided by any non-U.S. jurisdiction.</w:t>
      </w:r>
    </w:p>
    <w:p>
      <w:pPr>
        <w:spacing w:after="0" w:line="167"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The 21st Century Cures Act among other initiatives, reauthorized the PRV Program such that a drug that receives RPDD before October 1, 2020, will continue to be eligible for a PRV if the drug is approved by the FDA before October 1, 2022.</w:t>
      </w:r>
    </w:p>
    <w:p>
      <w:pPr>
        <w:spacing w:after="0" w:line="184"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6"/>
          <w:szCs w:val="16"/>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71"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7" w:lineRule="exact"/>
        <w:rPr>
          <w:sz w:val="20"/>
          <w:szCs w:val="20"/>
          <w:color w:val="auto"/>
        </w:rPr>
      </w:pPr>
    </w:p>
    <w:p>
      <w:pPr>
        <w:ind w:left="40" w:right="339" w:firstLine="648"/>
        <w:spacing w:after="0" w:line="290"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collaborators we may have in the future, may not be able to promote any drugs we develop for indications or uses for which they are not approved.</w:t>
      </w:r>
    </w:p>
    <w:p>
      <w:pPr>
        <w:spacing w:after="0" w:line="170"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8"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76"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4"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w:t>
      </w:r>
    </w:p>
    <w:p>
      <w:pPr>
        <w:spacing w:after="0" w:line="166" w:lineRule="exact"/>
        <w:rPr>
          <w:sz w:val="20"/>
          <w:szCs w:val="20"/>
          <w:color w:val="auto"/>
        </w:rPr>
      </w:pPr>
    </w:p>
    <w:p>
      <w:pPr>
        <w:ind w:left="40" w:right="119"/>
        <w:spacing w:after="0" w:line="286" w:lineRule="auto"/>
        <w:rPr>
          <w:sz w:val="20"/>
          <w:szCs w:val="20"/>
          <w:color w:val="auto"/>
        </w:rPr>
      </w:pPr>
      <w:r>
        <w:rPr>
          <w:rFonts w:ascii="Arial" w:cs="Arial" w:eastAsia="Arial" w:hAnsi="Arial"/>
          <w:sz w:val="17"/>
          <w:szCs w:val="17"/>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65"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70"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19" w:firstLine="648"/>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4" w:lineRule="exact"/>
        <w:rPr>
          <w:sz w:val="20"/>
          <w:szCs w:val="20"/>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4"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95" w:lineRule="exact"/>
        <w:rPr>
          <w:sz w:val="20"/>
          <w:szCs w:val="20"/>
          <w:color w:val="auto"/>
        </w:rPr>
      </w:pPr>
    </w:p>
    <w:p>
      <w:pPr>
        <w:ind w:left="40" w:right="799" w:firstLine="648"/>
        <w:spacing w:after="0" w:line="342" w:lineRule="auto"/>
        <w:rPr>
          <w:sz w:val="20"/>
          <w:szCs w:val="20"/>
          <w:color w:val="auto"/>
        </w:rPr>
      </w:pPr>
      <w:r>
        <w:rPr>
          <w:rFonts w:ascii="Arial" w:cs="Arial" w:eastAsia="Arial" w:hAnsi="Arial"/>
          <w:sz w:val="16"/>
          <w:szCs w:val="16"/>
          <w:color w:val="auto"/>
        </w:rPr>
        <w:t>In the United States, the Patient Protection and Affordable Care Act, as amended by the Health Care and Education Reconciliation Act, or collectively the Affordable Care Act, or ACA, substantially changed the way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color w:val="auto"/>
        </w:rPr>
        <w:t>healthcare is financed by both governmental and private insurers. The provisions of the Affordable Care Act of potential importance to our product candidates are the following:</w:t>
      </w:r>
    </w:p>
    <w:p>
      <w:pPr>
        <w:spacing w:after="0" w:line="170" w:lineRule="exact"/>
        <w:rPr>
          <w:sz w:val="20"/>
          <w:szCs w:val="20"/>
          <w:color w:val="auto"/>
        </w:rPr>
      </w:pPr>
    </w:p>
    <w:p>
      <w:pPr>
        <w:ind w:left="1020" w:right="99" w:hanging="328"/>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70" w:lineRule="exact"/>
        <w:rPr>
          <w:rFonts w:ascii="Arial" w:cs="Arial" w:eastAsia="Arial" w:hAnsi="Arial"/>
          <w:sz w:val="18"/>
          <w:szCs w:val="18"/>
          <w:color w:val="auto"/>
        </w:rPr>
      </w:pPr>
    </w:p>
    <w:p>
      <w:pPr>
        <w:ind w:left="1020" w:right="359" w:hanging="328"/>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83" w:lineRule="exact"/>
        <w:rPr>
          <w:rFonts w:ascii="Arial" w:cs="Arial" w:eastAsia="Arial" w:hAnsi="Arial"/>
          <w:sz w:val="18"/>
          <w:szCs w:val="18"/>
          <w:color w:val="auto"/>
        </w:rPr>
      </w:pPr>
    </w:p>
    <w:p>
      <w:pPr>
        <w:ind w:left="1020" w:right="139" w:hanging="328"/>
        <w:spacing w:after="0" w:line="30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146" w:lineRule="exact"/>
        <w:rPr>
          <w:rFonts w:ascii="Arial" w:cs="Arial" w:eastAsia="Arial" w:hAnsi="Arial"/>
          <w:sz w:val="17"/>
          <w:szCs w:val="17"/>
          <w:color w:val="auto"/>
        </w:rPr>
      </w:pPr>
    </w:p>
    <w:p>
      <w:pPr>
        <w:ind w:left="1020" w:right="659" w:hanging="328"/>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70" w:lineRule="exact"/>
        <w:rPr>
          <w:rFonts w:ascii="Arial" w:cs="Arial" w:eastAsia="Arial" w:hAnsi="Arial"/>
          <w:sz w:val="18"/>
          <w:szCs w:val="18"/>
          <w:color w:val="auto"/>
        </w:rPr>
      </w:pPr>
    </w:p>
    <w:p>
      <w:pPr>
        <w:ind w:left="1020" w:right="939" w:hanging="328"/>
        <w:spacing w:after="0" w:line="342"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 and</w:t>
      </w:r>
    </w:p>
    <w:p>
      <w:pPr>
        <w:spacing w:after="0" w:line="123" w:lineRule="exact"/>
        <w:rPr>
          <w:rFonts w:ascii="Arial" w:cs="Arial" w:eastAsia="Arial" w:hAnsi="Arial"/>
          <w:sz w:val="16"/>
          <w:szCs w:val="16"/>
          <w:color w:val="auto"/>
        </w:rPr>
      </w:pPr>
    </w:p>
    <w:p>
      <w:pPr>
        <w:ind w:left="1020" w:right="579" w:hanging="328"/>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4"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 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64"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President Trump has also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8"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payors to keep healthcare costs down while expanding individual healthcare benefits.</w:t>
      </w:r>
    </w:p>
    <w:p>
      <w:pPr>
        <w:spacing w:after="0" w:line="185"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1"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The Trump administration released in May 2018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a CMS policy change that was effective January 1, 2019.</w:t>
      </w:r>
    </w:p>
    <w:p>
      <w:pPr>
        <w:spacing w:after="0" w:line="166"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395"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84"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85" w:lineRule="exact"/>
        <w:rPr>
          <w:sz w:val="20"/>
          <w:szCs w:val="20"/>
          <w:color w:val="auto"/>
        </w:rPr>
      </w:pPr>
    </w:p>
    <w:p>
      <w:pPr>
        <w:jc w:val="both"/>
        <w:ind w:left="40" w:right="439" w:firstLine="648"/>
        <w:spacing w:after="0" w:line="311" w:lineRule="auto"/>
        <w:rPr>
          <w:sz w:val="20"/>
          <w:szCs w:val="20"/>
          <w:color w:val="auto"/>
        </w:rPr>
      </w:pPr>
      <w:r>
        <w:rPr>
          <w:rFonts w:ascii="Arial" w:cs="Arial" w:eastAsia="Arial" w:hAnsi="Arial"/>
          <w:sz w:val="16"/>
          <w:szCs w:val="16"/>
          <w:color w:val="auto"/>
        </w:rPr>
        <w:t>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49" w:lineRule="exact"/>
        <w:rPr>
          <w:sz w:val="20"/>
          <w:szCs w:val="20"/>
          <w:color w:val="auto"/>
        </w:rPr>
      </w:pPr>
    </w:p>
    <w:p>
      <w:pPr>
        <w:jc w:val="both"/>
        <w:ind w:left="40" w:right="7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71" w:lineRule="exact"/>
        <w:rPr>
          <w:sz w:val="20"/>
          <w:szCs w:val="20"/>
          <w:color w:val="auto"/>
        </w:rPr>
      </w:pPr>
    </w:p>
    <w:p>
      <w:pPr>
        <w:ind w:left="40" w:right="13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left="40" w:right="239" w:firstLine="648"/>
        <w:spacing w:after="0" w:line="272" w:lineRule="auto"/>
        <w:rPr>
          <w:sz w:val="20"/>
          <w:szCs w:val="20"/>
          <w:color w:val="auto"/>
        </w:rPr>
      </w:pPr>
      <w:r>
        <w:rPr>
          <w:rFonts w:ascii="Arial" w:cs="Arial" w:eastAsia="Arial" w:hAnsi="Arial"/>
          <w:sz w:val="17"/>
          <w:szCs w:val="17"/>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77" w:lineRule="exact"/>
        <w:rPr>
          <w:sz w:val="20"/>
          <w:szCs w:val="20"/>
          <w:color w:val="auto"/>
        </w:rPr>
      </w:pPr>
    </w:p>
    <w:p>
      <w:pPr>
        <w:ind w:left="1020" w:right="99" w:hanging="328"/>
        <w:spacing w:after="0" w:line="293"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Anti-Kickback Statute</w:t>
      </w:r>
      <w:r>
        <w:rPr>
          <w:rFonts w:ascii="Arial" w:cs="Arial" w:eastAsia="Arial" w:hAnsi="Arial"/>
          <w:sz w:val="16"/>
          <w:szCs w:val="16"/>
          <w:color w:val="auto"/>
        </w:rPr>
        <w:t>—the federal healthcare anti-kickback statute prohibits, among other things,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4" w:lineRule="exact"/>
        <w:rPr>
          <w:rFonts w:ascii="Arial" w:cs="Arial" w:eastAsia="Arial" w:hAnsi="Arial"/>
          <w:sz w:val="16"/>
          <w:szCs w:val="16"/>
          <w:color w:val="auto"/>
        </w:rPr>
      </w:pPr>
    </w:p>
    <w:p>
      <w:pPr>
        <w:ind w:left="1020" w:right="79" w:hanging="328"/>
        <w:spacing w:after="0" w:line="293"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False Claims Act</w:t>
      </w:r>
      <w:r>
        <w:rPr>
          <w:rFonts w:ascii="Arial" w:cs="Arial" w:eastAsia="Arial" w:hAnsi="Arial"/>
          <w:sz w:val="16"/>
          <w:szCs w:val="16"/>
          <w:color w:val="auto"/>
        </w:rPr>
        <w:t>—the federal False Claims Act imposes criminal and civil penalties, including through civil</w:t>
      </w:r>
      <w:r>
        <w:rPr>
          <w:rFonts w:ascii="Arial" w:cs="Arial" w:eastAsia="Arial" w:hAnsi="Arial"/>
          <w:sz w:val="16"/>
          <w:szCs w:val="16"/>
          <w:i w:val="1"/>
          <w:iCs w:val="1"/>
          <w:color w:val="auto"/>
        </w:rPr>
        <w:t xml:space="preserve"> </w:t>
      </w:r>
      <w:r>
        <w:rPr>
          <w:rFonts w:ascii="Arial" w:cs="Arial" w:eastAsia="Arial" w:hAnsi="Arial"/>
          <w:sz w:val="16"/>
          <w:szCs w:val="16"/>
          <w:color w:val="auto"/>
        </w:rPr>
        <w:t>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19" w:hanging="328"/>
        <w:spacing w:after="0" w:line="26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—the federal Health Insurance Portability and Accountability Act of 1996, or HIPAA,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6" w:lineRule="exact"/>
        <w:rPr>
          <w:rFonts w:ascii="Arial" w:cs="Arial" w:eastAsia="Arial" w:hAnsi="Arial"/>
          <w:sz w:val="17"/>
          <w:szCs w:val="17"/>
          <w:color w:val="auto"/>
        </w:rPr>
      </w:pPr>
    </w:p>
    <w:p>
      <w:pPr>
        <w:ind w:left="1020" w:right="139" w:hanging="328"/>
        <w:spacing w:after="0" w:line="254"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HIPAA Privacy Provisions</w:t>
      </w:r>
      <w:r>
        <w:rPr>
          <w:rFonts w:ascii="Arial" w:cs="Arial" w:eastAsia="Arial" w:hAnsi="Arial"/>
          <w:sz w:val="18"/>
          <w:szCs w:val="18"/>
          <w:color w:val="auto"/>
        </w:rPr>
        <w:t>—as amended by HITECH and its implementing regulations, HIPAA also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94" w:lineRule="exact"/>
        <w:rPr>
          <w:rFonts w:ascii="Arial" w:cs="Arial" w:eastAsia="Arial" w:hAnsi="Arial"/>
          <w:sz w:val="18"/>
          <w:szCs w:val="18"/>
          <w:color w:val="auto"/>
        </w:rPr>
      </w:pPr>
    </w:p>
    <w:p>
      <w:pPr>
        <w:ind w:left="1020" w:right="279" w:hanging="328"/>
        <w:spacing w:after="0" w:line="290"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5" w:lineRule="exact"/>
        <w:rPr>
          <w:rFonts w:ascii="Arial" w:cs="Arial" w:eastAsia="Arial" w:hAnsi="Arial"/>
          <w:sz w:val="16"/>
          <w:szCs w:val="16"/>
          <w:color w:val="auto"/>
        </w:rPr>
      </w:pPr>
    </w:p>
    <w:p>
      <w:pPr>
        <w:ind w:left="1020" w:right="179" w:hanging="328"/>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FDCA</w:t>
      </w:r>
      <w:r>
        <w:rPr>
          <w:rFonts w:ascii="Arial" w:cs="Arial" w:eastAsia="Arial" w:hAnsi="Arial"/>
          <w:sz w:val="18"/>
          <w:szCs w:val="18"/>
          <w:color w:val="auto"/>
        </w:rPr>
        <w:t>—the FDCA, which prohibits, among other things, the adulteration or misbranding of drugs, biologics</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medical devices; and</w:t>
      </w:r>
    </w:p>
    <w:p>
      <w:pPr>
        <w:spacing w:after="0" w:line="170" w:lineRule="exact"/>
        <w:rPr>
          <w:rFonts w:ascii="Arial" w:cs="Arial" w:eastAsia="Arial" w:hAnsi="Arial"/>
          <w:sz w:val="18"/>
          <w:szCs w:val="18"/>
          <w:color w:val="auto"/>
        </w:rPr>
      </w:pPr>
    </w:p>
    <w:p>
      <w:pPr>
        <w:ind w:left="1020" w:right="179" w:hanging="328"/>
        <w:spacing w:after="0" w:line="25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The collection and processing of personal data—including health data—is governed by the European Union-wide General Data Protection Regulation, or GDPR, which became applicable on May 25, 2018, replacing the current data protection laws of each European Union Member State. GDPR applies to us through the activities of our wholly-owned subsidiary Y-mAbs Therapeutics A/S, and also to any business, regardless of its location, that provides goods or services to residents in the EU which includes our clinical trial activities in European Union Member States. The GDPR imposes more stringent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67" w:lineRule="auto"/>
        <w:rPr>
          <w:sz w:val="20"/>
          <w:szCs w:val="20"/>
          <w:color w:val="auto"/>
        </w:rPr>
      </w:pPr>
      <w:r>
        <w:rPr>
          <w:rFonts w:ascii="Arial" w:cs="Arial" w:eastAsia="Arial" w:hAnsi="Arial"/>
          <w:sz w:val="17"/>
          <w:szCs w:val="17"/>
          <w:color w:val="auto"/>
        </w:rPr>
        <w:t>increased requirements pertaining to health data and pseudonymised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(for example, of up to €20,000,000 or up to 4% of the total worldwide annual turnover of the preceding financial year (whichever is higher) under the GDPR)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188"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4"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49"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9" w:lineRule="exact"/>
        <w:rPr>
          <w:sz w:val="20"/>
          <w:szCs w:val="20"/>
          <w:color w:val="auto"/>
        </w:rPr>
      </w:pPr>
    </w:p>
    <w:p>
      <w:pPr>
        <w:ind w:left="40" w:right="739"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79"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66" w:lineRule="exact"/>
        <w:rPr>
          <w:sz w:val="20"/>
          <w:szCs w:val="20"/>
          <w:color w:val="auto"/>
        </w:rPr>
      </w:pPr>
    </w:p>
    <w:p>
      <w:pPr>
        <w:ind w:left="40" w:right="239"/>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84"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5" w:lineRule="exact"/>
        <w:rPr>
          <w:sz w:val="20"/>
          <w:szCs w:val="20"/>
          <w:color w:val="auto"/>
        </w:rPr>
      </w:pPr>
    </w:p>
    <w:p>
      <w:pPr>
        <w:ind w:left="40" w:right="219" w:firstLine="648"/>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96"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2" w:lineRule="exact"/>
        <w:rPr>
          <w:sz w:val="20"/>
          <w:szCs w:val="20"/>
          <w:color w:val="auto"/>
        </w:rPr>
      </w:pPr>
    </w:p>
    <w:p>
      <w:pPr>
        <w:ind w:left="40" w:right="199" w:firstLine="648"/>
        <w:spacing w:after="0" w:line="289"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0" w:right="439"/>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6"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Our commercial success will depend in large part on obtaining and maintaining proprietary rights including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95"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86" w:lineRule="auto"/>
        <w:rPr>
          <w:sz w:val="20"/>
          <w:szCs w:val="20"/>
          <w:color w:val="auto"/>
        </w:rPr>
      </w:pPr>
      <w:r>
        <w:rPr>
          <w:rFonts w:ascii="Arial" w:cs="Arial" w:eastAsia="Arial" w:hAnsi="Arial"/>
          <w:sz w:val="17"/>
          <w:szCs w:val="17"/>
          <w:b w:val="1"/>
          <w:bCs w:val="1"/>
          <w:i w:val="1"/>
          <w:iCs w:val="1"/>
          <w:color w:val="auto"/>
        </w:rPr>
        <w:t>We currently depend on proprietary technology licensed from MSK and may depend on other third-party licensors in the future. If we lose our existing licenses or are unable to acquire or license additional proprietary rights from MSK or other third parties, we may not be able to continue developing our products.</w:t>
      </w:r>
    </w:p>
    <w:p>
      <w:pPr>
        <w:spacing w:after="0" w:line="165"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66"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 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85"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7"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66"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19"/>
        <w:spacing w:after="0" w:line="342" w:lineRule="auto"/>
        <w:rPr>
          <w:sz w:val="20"/>
          <w:szCs w:val="20"/>
          <w:color w:val="auto"/>
        </w:rPr>
      </w:pPr>
      <w:r>
        <w:rPr>
          <w:rFonts w:ascii="Arial" w:cs="Arial" w:eastAsia="Arial" w:hAnsi="Arial"/>
          <w:sz w:val="16"/>
          <w:szCs w:val="16"/>
          <w:color w:val="auto"/>
        </w:rPr>
        <w:t>property. In addition, any claims asserted against us by our licensors may be costly and time-consuming, divert the attention of key personnel from business operations or otherwise have a material adverse effect on our business.</w:t>
      </w:r>
    </w:p>
    <w:p>
      <w:pPr>
        <w:spacing w:after="0" w:line="124" w:lineRule="exact"/>
        <w:rPr>
          <w:sz w:val="20"/>
          <w:szCs w:val="20"/>
          <w:color w:val="auto"/>
        </w:rPr>
      </w:pPr>
    </w:p>
    <w:p>
      <w:pPr>
        <w:ind w:left="40" w:right="219"/>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left="40" w:right="119" w:firstLine="648"/>
        <w:spacing w:after="0" w:line="267" w:lineRule="auto"/>
        <w:rPr>
          <w:sz w:val="20"/>
          <w:szCs w:val="20"/>
          <w:color w:val="auto"/>
        </w:rPr>
      </w:pPr>
      <w:r>
        <w:rPr>
          <w:rFonts w:ascii="Arial" w:cs="Arial" w:eastAsia="Arial" w:hAnsi="Arial"/>
          <w:sz w:val="17"/>
          <w:szCs w:val="17"/>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1"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and may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40" w:right="139" w:firstLine="648"/>
        <w:spacing w:after="0" w:line="268" w:lineRule="auto"/>
        <w:rPr>
          <w:sz w:val="20"/>
          <w:szCs w:val="20"/>
          <w:color w:val="auto"/>
        </w:rPr>
      </w:pPr>
      <w:r>
        <w:rPr>
          <w:rFonts w:ascii="Arial" w:cs="Arial" w:eastAsia="Arial" w:hAnsi="Arial"/>
          <w:sz w:val="17"/>
          <w:szCs w:val="17"/>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6"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20" w:right="23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170" w:lineRule="exact"/>
        <w:rPr>
          <w:rFonts w:ascii="Arial" w:cs="Arial" w:eastAsia="Arial" w:hAnsi="Arial"/>
          <w:sz w:val="18"/>
          <w:szCs w:val="18"/>
          <w:color w:val="auto"/>
        </w:rPr>
      </w:pPr>
    </w:p>
    <w:p>
      <w:pPr>
        <w:jc w:val="both"/>
        <w:ind w:left="1020" w:right="339" w:hanging="328"/>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method of manufacture or method of use;</w:t>
      </w:r>
    </w:p>
    <w:p>
      <w:pPr>
        <w:spacing w:after="0" w:line="183"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1020" w:right="139" w:hanging="328"/>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83" w:lineRule="exact"/>
        <w:rPr>
          <w:rFonts w:ascii="Arial" w:cs="Arial" w:eastAsia="Arial" w:hAnsi="Arial"/>
          <w:sz w:val="18"/>
          <w:szCs w:val="18"/>
          <w:color w:val="auto"/>
        </w:rPr>
      </w:pPr>
    </w:p>
    <w:p>
      <w:pPr>
        <w:ind w:left="1020" w:right="49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1020" w:right="75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1020" w:right="29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1020" w:right="399" w:hanging="328"/>
        <w:spacing w:after="0" w:line="308"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1020" w:right="29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479" w:hanging="328"/>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jc w:val="both"/>
        <w:ind w:left="1020" w:right="699" w:hanging="328"/>
        <w:spacing w:after="0" w:line="34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owned or in-licensed issued patents may not provide us with any competitive advantages, may be narrowed in scope, or be held invalid or unenforceable as a result of legal challenges by third parties;</w:t>
      </w:r>
    </w:p>
    <w:p>
      <w:pPr>
        <w:spacing w:after="0" w:line="123" w:lineRule="exact"/>
        <w:rPr>
          <w:rFonts w:ascii="Arial" w:cs="Arial" w:eastAsia="Arial" w:hAnsi="Arial"/>
          <w:sz w:val="16"/>
          <w:szCs w:val="16"/>
          <w:color w:val="auto"/>
        </w:rPr>
      </w:pPr>
    </w:p>
    <w:p>
      <w:pPr>
        <w:ind w:left="1020" w:right="299" w:hanging="328"/>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3" w:lineRule="exact"/>
        <w:rPr>
          <w:rFonts w:ascii="Arial" w:cs="Arial" w:eastAsia="Arial" w:hAnsi="Arial"/>
          <w:sz w:val="18"/>
          <w:szCs w:val="18"/>
          <w:color w:val="auto"/>
        </w:rPr>
      </w:pPr>
    </w:p>
    <w:p>
      <w:pPr>
        <w:ind w:left="1020" w:right="379" w:hanging="328"/>
        <w:spacing w:after="0" w:line="25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1020" w:hanging="328"/>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1020" w:right="239" w:hanging="328"/>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product candidates or diagnostic tests we develop may be covered by third parties’ patents or other proprietary rights; or</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jc w:val="both"/>
        <w:ind w:left="40" w:right="79"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infringed the intellectual property of any third party, we may be liable for damages, enhanced damages or subjected to an injunction, any of which could have a material adverse effect on our business.</w:t>
      </w:r>
    </w:p>
    <w:p>
      <w:pPr>
        <w:spacing w:after="0" w:line="187" w:lineRule="exact"/>
        <w:rPr>
          <w:sz w:val="20"/>
          <w:szCs w:val="20"/>
          <w:color w:val="auto"/>
        </w:rPr>
      </w:pPr>
    </w:p>
    <w:p>
      <w:pPr>
        <w:ind w:left="40" w:right="159" w:firstLine="648"/>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65"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patents and patents in-licensed from MSK relating to our proprietary technologies and our product candidates comprise patents that are expected to expire on various dates from 2021 through 2036, without taking into account any possible patent term adjustments, extensions or supplementary protection. Our earliest patents in-licensed from MSK of relevance for our products may expire before, or soon after, our first product achieves marketing approval in the United States.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covering our proprietary technologies or our product candidates that if issued as patents are expected to expire from 2021 through 2039, without taking into account any possible patent term adjustments, extensions or supplementary protections. However, no assurance can be given that the USPTO or relevant foreign patent offices will grant any of these patent applications.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2"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1"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6" w:lineRule="exact"/>
        <w:rPr>
          <w:sz w:val="20"/>
          <w:szCs w:val="20"/>
          <w:color w:val="auto"/>
        </w:rPr>
      </w:pPr>
    </w:p>
    <w:p>
      <w:pPr>
        <w:ind w:left="40" w:right="139"/>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0" w:lineRule="exact"/>
        <w:rPr>
          <w:sz w:val="20"/>
          <w:szCs w:val="20"/>
          <w:color w:val="auto"/>
        </w:rPr>
      </w:pPr>
    </w:p>
    <w:p>
      <w:pPr>
        <w:ind w:left="40" w:right="199"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1" w:lineRule="exact"/>
        <w:rPr>
          <w:sz w:val="20"/>
          <w:szCs w:val="20"/>
          <w:color w:val="auto"/>
        </w:rPr>
      </w:pPr>
    </w:p>
    <w:p>
      <w:pPr>
        <w:jc w:val="both"/>
        <w:ind w:left="40" w:right="279" w:firstLine="648"/>
        <w:spacing w:after="0" w:line="311" w:lineRule="auto"/>
        <w:rPr>
          <w:sz w:val="20"/>
          <w:szCs w:val="20"/>
          <w:color w:val="auto"/>
        </w:rPr>
      </w:pPr>
      <w:r>
        <w:rPr>
          <w:rFonts w:ascii="Arial" w:cs="Arial" w:eastAsia="Arial" w:hAnsi="Arial"/>
          <w:sz w:val="16"/>
          <w:szCs w:val="16"/>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party from using any of our trade secrets, we may incur substantial costs. These lawsuits may consume our time and other resources even if we are successful.</w:t>
      </w:r>
    </w:p>
    <w:p>
      <w:pPr>
        <w:spacing w:after="0" w:line="170" w:lineRule="exact"/>
        <w:rPr>
          <w:sz w:val="20"/>
          <w:szCs w:val="20"/>
          <w:color w:val="auto"/>
        </w:rPr>
      </w:pPr>
    </w:p>
    <w:p>
      <w:pPr>
        <w:ind w:left="40" w:right="59" w:firstLine="648"/>
        <w:spacing w:after="0" w:line="263"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4" w:lineRule="exact"/>
        <w:rPr>
          <w:sz w:val="20"/>
          <w:szCs w:val="20"/>
          <w:color w:val="auto"/>
        </w:rPr>
      </w:pPr>
    </w:p>
    <w:p>
      <w:pPr>
        <w:ind w:left="40" w:right="619"/>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0"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1"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86"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70" w:lineRule="exact"/>
        <w:rPr>
          <w:sz w:val="20"/>
          <w:szCs w:val="20"/>
          <w:color w:val="auto"/>
        </w:rPr>
      </w:pPr>
    </w:p>
    <w:p>
      <w:pPr>
        <w:ind w:left="1020" w:right="299" w:hanging="328"/>
        <w:spacing w:after="0" w:line="30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1020" w:right="119" w:hanging="328"/>
        <w:spacing w:after="0" w:line="311"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48" w:lineRule="exact"/>
        <w:rPr>
          <w:rFonts w:ascii="Arial" w:cs="Arial" w:eastAsia="Arial" w:hAnsi="Arial"/>
          <w:sz w:val="16"/>
          <w:szCs w:val="16"/>
          <w:color w:val="auto"/>
        </w:rPr>
      </w:pPr>
    </w:p>
    <w:p>
      <w:pPr>
        <w:ind w:left="1020" w:right="319" w:hanging="328"/>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199" w:hanging="328"/>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3" w:lineRule="exact"/>
        <w:rPr>
          <w:rFonts w:ascii="Arial" w:cs="Arial" w:eastAsia="Arial" w:hAnsi="Arial"/>
          <w:sz w:val="18"/>
          <w:szCs w:val="18"/>
          <w:color w:val="auto"/>
        </w:rPr>
      </w:pPr>
    </w:p>
    <w:p>
      <w:pPr>
        <w:ind w:left="1020" w:right="639" w:hanging="328"/>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70"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8"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68" w:lineRule="exact"/>
        <w:rPr>
          <w:sz w:val="20"/>
          <w:szCs w:val="20"/>
          <w:color w:val="auto"/>
        </w:rPr>
      </w:pPr>
    </w:p>
    <w:p>
      <w:pPr>
        <w:ind w:left="40" w:right="27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left="40" w:right="279" w:firstLine="648"/>
        <w:spacing w:after="0" w:line="311"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19"/>
        <w:spacing w:after="0" w:line="286" w:lineRule="auto"/>
        <w:rPr>
          <w:sz w:val="20"/>
          <w:szCs w:val="20"/>
          <w:color w:val="auto"/>
        </w:rPr>
      </w:pPr>
      <w:r>
        <w:rPr>
          <w:rFonts w:ascii="Arial" w:cs="Arial" w:eastAsia="Arial" w:hAnsi="Arial"/>
          <w:sz w:val="16"/>
          <w:szCs w:val="16"/>
          <w:color w:val="auto"/>
        </w:rPr>
        <w:t>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secure trademark registrations could adversely affect our business.</w:t>
      </w:r>
    </w:p>
    <w:p>
      <w:pPr>
        <w:spacing w:after="0" w:line="225"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66"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In addition, any proprietary name we propose to use with any of our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64" w:lineRule="exact"/>
        <w:rPr>
          <w:sz w:val="20"/>
          <w:szCs w:val="20"/>
          <w:color w:val="auto"/>
        </w:rPr>
      </w:pPr>
    </w:p>
    <w:p>
      <w:pPr>
        <w:ind w:left="40" w:right="21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6" w:lineRule="exact"/>
        <w:rPr>
          <w:sz w:val="20"/>
          <w:szCs w:val="20"/>
          <w:color w:val="auto"/>
        </w:rPr>
      </w:pPr>
    </w:p>
    <w:p>
      <w:pPr>
        <w:ind w:left="40" w:right="139" w:firstLine="648"/>
        <w:spacing w:after="0" w:line="268" w:lineRule="auto"/>
        <w:rPr>
          <w:sz w:val="20"/>
          <w:szCs w:val="20"/>
          <w:color w:val="auto"/>
        </w:rPr>
      </w:pPr>
      <w:r>
        <w:rPr>
          <w:rFonts w:ascii="Arial" w:cs="Arial" w:eastAsia="Arial" w:hAnsi="Arial"/>
          <w:sz w:val="17"/>
          <w:szCs w:val="17"/>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jc w:val="both"/>
        <w:ind w:left="40" w:right="499"/>
        <w:spacing w:after="0" w:line="311" w:lineRule="auto"/>
        <w:rPr>
          <w:sz w:val="20"/>
          <w:szCs w:val="20"/>
          <w:color w:val="auto"/>
        </w:rPr>
      </w:pPr>
      <w:r>
        <w:rPr>
          <w:rFonts w:ascii="Arial" w:cs="Arial" w:eastAsia="Arial" w:hAnsi="Arial"/>
          <w:sz w:val="16"/>
          <w:szCs w:val="16"/>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49"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88"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2"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95"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24"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right="99"/>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6"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As of May 5, 2020, our executive officers, directors and our stockholders, which own more than 5% of our outstanding common stock beneficially own shares representing approximately 54.9% of our common stock. As a result, if these stockholders were to choose to act together, they would be able to control all matters submitted to our stockholders for approval, as well as our management and affairs. For example, these persons, if they choose to act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159"/>
        <w:spacing w:after="0" w:line="263" w:lineRule="auto"/>
        <w:rPr>
          <w:sz w:val="20"/>
          <w:szCs w:val="20"/>
          <w:color w:val="auto"/>
        </w:rPr>
      </w:pPr>
      <w:r>
        <w:rPr>
          <w:rFonts w:ascii="Arial" w:cs="Arial" w:eastAsia="Arial" w:hAnsi="Arial"/>
          <w:sz w:val="18"/>
          <w:szCs w:val="18"/>
          <w:color w:val="auto"/>
        </w:rPr>
        <w:t>together, would control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4"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84"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1020" w:hanging="328"/>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1020" w:right="99" w:hanging="328"/>
        <w:spacing w:after="0" w:line="286"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65" w:lineRule="exact"/>
        <w:rPr>
          <w:rFonts w:ascii="Arial" w:cs="Arial" w:eastAsia="Arial" w:hAnsi="Arial"/>
          <w:sz w:val="17"/>
          <w:szCs w:val="17"/>
          <w:color w:val="auto"/>
        </w:rPr>
      </w:pPr>
    </w:p>
    <w:p>
      <w:pPr>
        <w:ind w:left="1020" w:right="259" w:hanging="328"/>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70"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21, 2018, our stock has traded at prices as low as $14.16 per share and as high as $36.55 per share through May 5, 2020. As a result of this volatility, you may not be able to sell your common stock at or above the price your paid for it.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and product candidates;</w:t>
      </w:r>
    </w:p>
    <w:p>
      <w:pPr>
        <w:spacing w:after="0" w:line="248" w:lineRule="exact"/>
        <w:rPr>
          <w:rFonts w:ascii="Arial" w:cs="Arial" w:eastAsia="Arial" w:hAnsi="Arial"/>
          <w:sz w:val="16"/>
          <w:szCs w:val="16"/>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1020" w:right="439" w:hanging="328"/>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level of revenues and expenses related to any of our product candidates or development programs;</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1020" w:right="619" w:hanging="328"/>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71"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 attestation requirements of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reduced disclosure obligations regarding executive compensation and exemptions from the requirements of holding a nonbinding advisory vote on executive compensation and shareholder approval of any golden parachute payments not previously approved.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7"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92"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70"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9"/>
        <w:spacing w:after="0" w:line="263" w:lineRule="auto"/>
        <w:rPr>
          <w:sz w:val="20"/>
          <w:szCs w:val="20"/>
          <w:color w:val="auto"/>
        </w:rPr>
      </w:pPr>
      <w:r>
        <w:rPr>
          <w:rFonts w:ascii="Arial" w:cs="Arial" w:eastAsia="Arial" w:hAnsi="Arial"/>
          <w:sz w:val="18"/>
          <w:szCs w:val="18"/>
          <w:color w:val="auto"/>
        </w:rPr>
        <w:t>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84"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6"/>
          <w:szCs w:val="16"/>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we are engaged in a process to document, evaluate and test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40" w:right="239" w:firstLine="648"/>
        <w:spacing w:after="0" w:line="218" w:lineRule="exact"/>
        <w:rPr>
          <w:sz w:val="20"/>
          <w:szCs w:val="20"/>
          <w:color w:val="auto"/>
        </w:rPr>
      </w:pPr>
      <w:r>
        <w:rPr>
          <w:rFonts w:ascii="Arial" w:cs="Arial" w:eastAsia="Arial" w:hAnsi="Arial"/>
          <w:sz w:val="17"/>
          <w:szCs w:val="17"/>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 year period), the corporation’s ability to use its pre change net operating loss carryforwards and other pre change tax attributes to offset its post</w:t>
      </w:r>
      <w:r>
        <w:rPr>
          <w:rFonts w:ascii="MS PGothic" w:cs="MS PGothic" w:eastAsia="MS PGothic" w:hAnsi="MS PGothic"/>
          <w:sz w:val="17"/>
          <w:szCs w:val="17"/>
          <w:color w:val="auto"/>
        </w:rPr>
        <w:t>‑</w:t>
      </w:r>
      <w:r>
        <w:rPr>
          <w:rFonts w:ascii="Arial" w:cs="Arial" w:eastAsia="Arial" w:hAnsi="Arial"/>
          <w:sz w:val="17"/>
          <w:szCs w:val="17"/>
          <w:color w:val="auto"/>
        </w:rPr>
        <w:t>change taxable income or taxes may be limited. The Company has performed an analysis of its Section 382 ownership changes through December 31, 2018. Due to the large annual limitation, the Company believes that it is more likely than not that none of the net operating loss carryforwards will expire as a result of the limitation from the ownership change under Section 382.</w:t>
      </w:r>
    </w:p>
    <w:p>
      <w:pPr>
        <w:spacing w:after="0" w:line="203"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6"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87"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ind w:left="40" w:right="399" w:firstLine="648"/>
        <w:spacing w:after="0" w:line="291" w:lineRule="auto"/>
        <w:rPr>
          <w:sz w:val="20"/>
          <w:szCs w:val="20"/>
          <w:color w:val="auto"/>
        </w:rPr>
      </w:pPr>
      <w:r>
        <w:rPr>
          <w:rFonts w:ascii="Arial" w:cs="Arial" w:eastAsia="Arial" w:hAnsi="Arial"/>
          <w:sz w:val="16"/>
          <w:szCs w:val="16"/>
          <w:color w:val="auto"/>
        </w:rPr>
        <w:t>Sales of our common stock may be made by holders of our public float or by holders of restricted securities in compliance with the provisions of Rule 144 of the Securities Act of 1933, or the Securities Act. There were</w:t>
      </w:r>
    </w:p>
    <w:p>
      <w:pPr>
        <w:ind w:left="40" w:right="99"/>
        <w:spacing w:after="0" w:line="251" w:lineRule="auto"/>
        <w:rPr>
          <w:sz w:val="20"/>
          <w:szCs w:val="20"/>
          <w:color w:val="auto"/>
        </w:rPr>
      </w:pPr>
      <w:r>
        <w:rPr>
          <w:rFonts w:ascii="Arial" w:cs="Arial" w:eastAsia="Arial" w:hAnsi="Arial"/>
          <w:sz w:val="18"/>
          <w:szCs w:val="18"/>
          <w:color w:val="auto"/>
        </w:rPr>
        <w:t>39,757,623 shares of common stock outstanding as of May 5, 2020. Of these shares of our common stock, 6,900,000 shares sold in our initial public offering in 2018 and 5,134,750 shares sold in our secondary public offering in 2019 are freely tradable, without restriction, in the public market. As of May 5, 2020 holders of approximately 2,950,000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our common stock that we may issue under our equity compensation plans.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7" w:lineRule="exact"/>
        <w:rPr>
          <w:sz w:val="20"/>
          <w:szCs w:val="20"/>
          <w:color w:val="auto"/>
        </w:rPr>
      </w:pPr>
    </w:p>
    <w:p>
      <w:pPr>
        <w:ind w:left="40" w:right="299"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2"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7"/>
          <w:szCs w:val="17"/>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65" w:lineRule="exact"/>
        <w:rPr>
          <w:sz w:val="20"/>
          <w:szCs w:val="20"/>
          <w:color w:val="auto"/>
        </w:rPr>
      </w:pPr>
    </w:p>
    <w:p>
      <w:pPr>
        <w:ind w:left="4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left="40" w:right="139"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-35560</wp:posOffset>
            </wp:positionV>
            <wp:extent cx="285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On August 20, 2019, we issued 400,000 shares of our common stock under a stock grant agreement. The issuance did not result in proceeds to the Company. We have deemed this issuance to be exempt from registration under the Securities Act in reliance on Section 4(a)(2), as a transaction by an issuer not involving a public offering. No underwriters were involved in the foregoing issuance of securities.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Proceeds of Our Public Offerings</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On September 25, 2018, we completed the initial public offering of our common stock, or IPO pursuant to which we issued and sold 6,900,000 shares of our common stock at a price to the public of $16.00 per share which included the exercise in full of the underwriters’ option to purchase additional shares. We received aggregate gross proceeds from our initial public offering of $110.4 million, or aggregate net proceeds of approximately $99.8 million after deducting underwriting discounts and commissions and offering expenses. Merrill Lynch, Pierce Fenner &amp; Smith Incorporated and Cowen and Company, LLC acted as joint book-running managers for the initial public offering. Canaccord Genuity LLC acted as lead manager and BTIG LLC acted as co-manager for the initial public offering.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On November 1, 2019, we completed a secondary public offering of our common stock pursuant to which we issued and sold 5,134,750 shares of our common stock at a price to the public of $28.00 per share which included the exercise in full of the underwriters’ option to purchase additional shares. We received aggregate gross proceeds from our secondary public offering of $143.8 million, or aggregate net proceeds of approximately $134.7 million after deducting underwriting discounts and commissions and offering expenses. Morgan Stanley, J.P. Morgan and BofA Securities acted as joint book-running managers for the secondary public offering. Wedbush PacGrow and H.C. Wainwright &amp; Co. acted as co-managers for the secondary public offering.</w:t>
      </w:r>
    </w:p>
    <w:p>
      <w:pPr>
        <w:spacing w:after="0" w:line="177"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None of the underwriting discounts and commissions or offering expenses were incurred or paid, directly or indirectly, to directors or officers of ours or their associates or to persons owning 10 percent or more of our common stock or to any of our affiliates, and we have not used any of the net proceeds from the public offerings to make payments, directly or indirectly, to any such persons.</w:t>
      </w:r>
    </w:p>
    <w:p>
      <w:pPr>
        <w:spacing w:after="0" w:line="187"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We have invested the net proceeds from the public offerings in cash and cash equivalents. There has been no material change in our planned use of proceeds as described in our final prospectus filed pursuant to Rule 424(b)(5) under the Securities Act with the SEC on October 31, 2019.</w:t>
      </w:r>
    </w:p>
    <w:p>
      <w:pPr>
        <w:spacing w:after="0" w:line="184"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As of March 31, 2020, we had cash and cash equivalents of $185.8 million, and we have not used any of the proceeds from our secondary public offering.</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ind w:left="180"/>
              <w:spacing w:after="0"/>
              <w:rPr>
                <w:sz w:val="20"/>
                <w:szCs w:val="20"/>
                <w:color w:val="auto"/>
              </w:rPr>
            </w:pPr>
            <w:r>
              <w:rPr>
                <w:rFonts w:ascii="Arial" w:cs="Arial" w:eastAsia="Arial" w:hAnsi="Arial"/>
                <w:sz w:val="18"/>
                <w:szCs w:val="18"/>
                <w:color w:val="auto"/>
              </w:rPr>
              <w:t>3.1</w:t>
            </w:r>
          </w:p>
        </w:tc>
        <w:tc>
          <w:tcPr>
            <w:tcW w:w="7080" w:type="dxa"/>
            <w:vAlign w:val="bottom"/>
            <w:tcBorders>
              <w:bottom w:val="single" w:sz="8" w:color="0000EE"/>
            </w:tcBorders>
            <w:gridSpan w:val="10"/>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Certificate of Incorporation of the Registrant (incorporated by reference to</w:t>
              </w:r>
            </w:hyperlink>
          </w:p>
        </w:tc>
        <w:tc>
          <w:tcPr>
            <w:tcW w:w="70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6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Exhibit 3.3 to the Registrant’s Current Report on Form 8-K (File No. 001-38650) filed with the Securities</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and Exchange Commission on September 26, 2018)</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6940" w:type="dxa"/>
            <w:vAlign w:val="bottom"/>
            <w:tcBorders>
              <w:bottom w:val="single" w:sz="8" w:color="0000EE"/>
            </w:tcBorders>
            <w:gridSpan w:val="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Bylaws of the Registrant (incorporated by reference to Exhibit 3.4 to the</w:t>
              </w:r>
            </w:hyperlink>
          </w:p>
        </w:tc>
        <w:tc>
          <w:tcPr>
            <w:tcW w:w="84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3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Registrant’s Current Report on Form 8-K (File No. 001-38650) filed with the Securities and Exchange</w:t>
              </w:r>
            </w:hyperlink>
          </w:p>
        </w:tc>
        <w:tc>
          <w:tcPr>
            <w:tcW w:w="40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Commission on September 26, 2018)</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10.1</w:t>
            </w:r>
          </w:p>
        </w:tc>
        <w:tc>
          <w:tcPr>
            <w:tcW w:w="7320" w:type="dxa"/>
            <w:vAlign w:val="bottom"/>
            <w:tcBorders>
              <w:bottom w:val="single" w:sz="8" w:color="0000EE"/>
            </w:tcBorders>
            <w:gridSpan w:val="13"/>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2018 Equity Incentive Plan (incorporated by reference to Exhibit 10.9 to the Registrant’s Registration</w:t>
              </w:r>
            </w:hyperlink>
          </w:p>
        </w:tc>
        <w:tc>
          <w:tcPr>
            <w:tcW w:w="46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3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Statement on Form S-1 (File No. 333-226999) filed with the Securities and Exchange Commission on</w:t>
              </w:r>
            </w:hyperlink>
          </w:p>
        </w:tc>
        <w:tc>
          <w:tcPr>
            <w:tcW w:w="42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August 24, 2018)</w:t>
              </w:r>
            </w:hyperlink>
          </w:p>
        </w:tc>
        <w:tc>
          <w:tcPr>
            <w:tcW w:w="6520" w:type="dxa"/>
            <w:vAlign w:val="bottom"/>
            <w:gridSpan w:val="23"/>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10.2</w:t>
            </w:r>
          </w:p>
        </w:tc>
        <w:tc>
          <w:tcPr>
            <w:tcW w:w="7780" w:type="dxa"/>
            <w:vAlign w:val="bottom"/>
            <w:gridSpan w:val="25"/>
          </w:tcPr>
          <w:p>
            <w:pPr>
              <w:spacing w:after="0"/>
              <w:rPr>
                <w:rFonts w:ascii="Arial" w:cs="Arial" w:eastAsia="Arial" w:hAnsi="Arial"/>
                <w:sz w:val="18"/>
                <w:szCs w:val="18"/>
                <w:color w:val="0000EE"/>
                <w:w w:val="95"/>
              </w:rPr>
            </w:pPr>
            <w:hyperlink r:id="rId118">
              <w:r>
                <w:rPr>
                  <w:rFonts w:ascii="Arial" w:cs="Arial" w:eastAsia="Arial" w:hAnsi="Arial"/>
                  <w:sz w:val="18"/>
                  <w:szCs w:val="18"/>
                  <w:color w:val="0000EE"/>
                  <w:w w:val="95"/>
                </w:rPr>
                <w:t>Form of Stock Option Grant Notice and Stock Option Agreement under the 2018 Equity Incentive Plan</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(incorporated by reference to Exhibit 10.10 to the Registrant’s Registration Statement on Form S-1 (File</w:t>
              </w:r>
            </w:hyperlink>
          </w:p>
        </w:tc>
      </w:tr>
      <w:tr>
        <w:trPr>
          <w:trHeight w:val="237"/>
        </w:trPr>
        <w:tc>
          <w:tcPr>
            <w:tcW w:w="1140" w:type="dxa"/>
            <w:vAlign w:val="bottom"/>
          </w:tcPr>
          <w:p>
            <w:pPr>
              <w:spacing w:after="0"/>
              <w:rPr>
                <w:sz w:val="20"/>
                <w:szCs w:val="20"/>
                <w:color w:val="auto"/>
              </w:rPr>
            </w:pPr>
          </w:p>
        </w:tc>
        <w:tc>
          <w:tcPr>
            <w:tcW w:w="750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No. 333-226999) filed with the Securities and Exchange Commission on August 24, 2018)</w:t>
              </w:r>
            </w:hyperlink>
          </w:p>
        </w:tc>
        <w:tc>
          <w:tcPr>
            <w:tcW w:w="280" w:type="dxa"/>
            <w:vAlign w:val="bottom"/>
            <w:gridSpan w:val="6"/>
          </w:tcPr>
          <w:p>
            <w:pPr>
              <w:spacing w:after="0"/>
              <w:rPr>
                <w:sz w:val="20"/>
                <w:szCs w:val="20"/>
                <w:color w:val="auto"/>
              </w:rPr>
            </w:pPr>
          </w:p>
        </w:tc>
      </w:tr>
      <w:tr>
        <w:trPr>
          <w:trHeight w:val="392"/>
        </w:trPr>
        <w:tc>
          <w:tcPr>
            <w:tcW w:w="1140" w:type="dxa"/>
            <w:vAlign w:val="bottom"/>
          </w:tcPr>
          <w:p>
            <w:pPr>
              <w:ind w:left="100"/>
              <w:spacing w:after="0"/>
              <w:rPr>
                <w:sz w:val="20"/>
                <w:szCs w:val="20"/>
                <w:color w:val="auto"/>
              </w:rPr>
            </w:pPr>
            <w:r>
              <w:rPr>
                <w:rFonts w:ascii="Arial" w:cs="Arial" w:eastAsia="Arial" w:hAnsi="Arial"/>
                <w:sz w:val="18"/>
                <w:szCs w:val="18"/>
                <w:color w:val="auto"/>
              </w:rPr>
              <w:t>10.3</w:t>
            </w:r>
          </w:p>
        </w:tc>
        <w:tc>
          <w:tcPr>
            <w:tcW w:w="7340" w:type="dxa"/>
            <w:vAlign w:val="bottom"/>
            <w:tcBorders>
              <w:bottom w:val="single" w:sz="8" w:color="0000EE"/>
            </w:tcBorders>
            <w:gridSpan w:val="14"/>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Form of Restricted Stock Award Grant Notice and Restricted Stock Award Agreement under the 2018</w:t>
              </w:r>
            </w:hyperlink>
          </w:p>
        </w:tc>
        <w:tc>
          <w:tcPr>
            <w:tcW w:w="44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Equity Incentive Plan (incorporated by reference to Exhibit 10.16 to the Registrant’s Registration Statement</w:t>
              </w:r>
            </w:hyperlink>
          </w:p>
        </w:tc>
      </w:tr>
      <w:tr>
        <w:trPr>
          <w:trHeight w:val="196"/>
        </w:trPr>
        <w:tc>
          <w:tcPr>
            <w:tcW w:w="1140" w:type="dxa"/>
            <w:vAlign w:val="bottom"/>
          </w:tcPr>
          <w:p>
            <w:pPr>
              <w:spacing w:after="0"/>
              <w:rPr>
                <w:sz w:val="17"/>
                <w:szCs w:val="17"/>
                <w:color w:val="auto"/>
              </w:rPr>
            </w:pPr>
          </w:p>
        </w:tc>
        <w:tc>
          <w:tcPr>
            <w:tcW w:w="776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on Form S-1 (File No. 333-226999) filed with the Securities and Exchange Commission on August 24,</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2018)</w:t>
              </w:r>
            </w:hyperlink>
          </w:p>
        </w:tc>
        <w:tc>
          <w:tcPr>
            <w:tcW w:w="1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10.4</w:t>
            </w:r>
          </w:p>
        </w:tc>
        <w:tc>
          <w:tcPr>
            <w:tcW w:w="7680" w:type="dxa"/>
            <w:vAlign w:val="bottom"/>
            <w:tcBorders>
              <w:bottom w:val="single" w:sz="8" w:color="0000EE"/>
            </w:tcBorders>
            <w:gridSpan w:val="23"/>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Form of Restricted Stock Unit Award Grant Notice and Restricted Stock Unit Award Agreement under the</w:t>
              </w:r>
            </w:hyperlink>
          </w:p>
        </w:tc>
        <w:tc>
          <w:tcPr>
            <w:tcW w:w="10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2018 Equity Incentive Plan (incorporated by reference to Exhibit 10.17 to the Registrant’s Registration</w:t>
              </w:r>
            </w:hyperlink>
          </w:p>
        </w:tc>
      </w:tr>
      <w:tr>
        <w:trPr>
          <w:trHeight w:val="196"/>
        </w:trPr>
        <w:tc>
          <w:tcPr>
            <w:tcW w:w="114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Statement on Form S-1 (File No. 333-226999) filed with the Securities and Exchange Commission on</w:t>
              </w:r>
            </w:hyperlink>
          </w:p>
        </w:tc>
        <w:tc>
          <w:tcPr>
            <w:tcW w:w="40" w:type="dxa"/>
            <w:vAlign w:val="bottom"/>
            <w:tcBorders>
              <w:top w:val="single" w:sz="8" w:color="0000EE"/>
            </w:tcBorders>
            <w:gridSpan w:val="2"/>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August 24, 2018)</w:t>
              </w:r>
            </w:hyperlink>
          </w:p>
        </w:tc>
        <w:tc>
          <w:tcPr>
            <w:tcW w:w="6520" w:type="dxa"/>
            <w:vAlign w:val="bottom"/>
            <w:gridSpan w:val="23"/>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10.5</w:t>
            </w:r>
          </w:p>
        </w:tc>
        <w:tc>
          <w:tcPr>
            <w:tcW w:w="7780" w:type="dxa"/>
            <w:vAlign w:val="bottom"/>
            <w:gridSpan w:val="25"/>
          </w:tcPr>
          <w:p>
            <w:pPr>
              <w:spacing w:after="0"/>
              <w:rPr>
                <w:rFonts w:ascii="Arial" w:cs="Arial" w:eastAsia="Arial" w:hAnsi="Arial"/>
                <w:sz w:val="18"/>
                <w:szCs w:val="18"/>
                <w:color w:val="0000EE"/>
              </w:rPr>
            </w:pPr>
            <w:hyperlink r:id="rId121">
              <w:r>
                <w:rPr>
                  <w:rFonts w:ascii="Arial" w:cs="Arial" w:eastAsia="Arial" w:hAnsi="Arial"/>
                  <w:sz w:val="18"/>
                  <w:szCs w:val="18"/>
                  <w:color w:val="0000EE"/>
                </w:rPr>
                <w:t>Non-Employee Director Compensation Policy (incorporated by reference to Exhibit 10.18 to the</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Registrant’s Registration Statement on Form S-1 (File No. 333-226999) filed with the Securities and</w:t>
              </w:r>
            </w:hyperlink>
          </w:p>
        </w:tc>
        <w:tc>
          <w:tcPr>
            <w:tcW w:w="5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Exchange Commission on August 24, 2018) 2018</w:t>
              </w:r>
            </w:hyperlink>
          </w:p>
        </w:tc>
        <w:tc>
          <w:tcPr>
            <w:tcW w:w="4180" w:type="dxa"/>
            <w:vAlign w:val="bottom"/>
            <w:gridSpan w:val="18"/>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10.6</w:t>
            </w:r>
          </w:p>
        </w:tc>
        <w:tc>
          <w:tcPr>
            <w:tcW w:w="7780" w:type="dxa"/>
            <w:vAlign w:val="bottom"/>
            <w:gridSpan w:val="25"/>
          </w:tcPr>
          <w:p>
            <w:pPr>
              <w:spacing w:after="0"/>
              <w:rPr>
                <w:rFonts w:ascii="Arial" w:cs="Arial" w:eastAsia="Arial" w:hAnsi="Arial"/>
                <w:sz w:val="18"/>
                <w:szCs w:val="18"/>
                <w:color w:val="0000EE"/>
                <w:w w:val="97"/>
              </w:rPr>
            </w:pPr>
            <w:hyperlink r:id="rId122">
              <w:r>
                <w:rPr>
                  <w:rFonts w:ascii="Arial" w:cs="Arial" w:eastAsia="Arial" w:hAnsi="Arial"/>
                  <w:sz w:val="18"/>
                  <w:szCs w:val="18"/>
                  <w:color w:val="0000EE"/>
                  <w:w w:val="97"/>
                </w:rPr>
                <w:t>2018 Employee Stock Purchase Plan (incorporated by reference to Exhibit 10.19 to the Registrant’s</w:t>
              </w:r>
            </w:hyperlink>
          </w:p>
        </w:tc>
      </w:tr>
      <w:tr>
        <w:trPr>
          <w:trHeight w:val="196"/>
        </w:trPr>
        <w:tc>
          <w:tcPr>
            <w:tcW w:w="114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Registration Statement on Form S-1 (File No. 333-226999) filed with the Securities and Exchange</w:t>
              </w:r>
            </w:hyperlink>
          </w:p>
        </w:tc>
        <w:tc>
          <w:tcPr>
            <w:tcW w:w="62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Commission on August 24, 2018)</w:t>
              </w:r>
            </w:hyperlink>
          </w:p>
        </w:tc>
        <w:tc>
          <w:tcPr>
            <w:tcW w:w="4640" w:type="dxa"/>
            <w:vAlign w:val="bottom"/>
            <w:tcBorders>
              <w:top w:val="single" w:sz="8" w:color="0000EE"/>
            </w:tcBorders>
            <w:gridSpan w:val="7"/>
          </w:tcPr>
          <w:p>
            <w:pPr>
              <w:spacing w:after="0"/>
              <w:rPr>
                <w:sz w:val="17"/>
                <w:szCs w:val="17"/>
                <w:color w:val="auto"/>
              </w:rPr>
            </w:pPr>
          </w:p>
        </w:tc>
        <w:tc>
          <w:tcPr>
            <w:tcW w:w="700" w:type="dxa"/>
            <w:vAlign w:val="bottom"/>
            <w:gridSpan w:val="15"/>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766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Certification of Principal Executive Officer pursuant to Rule 13a-14(a) or Rule 15d-14(a) of the Securities</w:t>
              </w:r>
            </w:hyperlink>
          </w:p>
        </w:tc>
        <w:tc>
          <w:tcPr>
            <w:tcW w:w="120" w:type="dxa"/>
            <w:vAlign w:val="bottom"/>
            <w:gridSpan w:val="3"/>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7780" w:type="dxa"/>
            <w:vAlign w:val="bottom"/>
            <w:gridSpan w:val="25"/>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Exchange Act of 1934, as adopted pursuant to Section 302 of the Sarbanes-Oxley Act of 2002</w:t>
              </w:r>
            </w:hyperlink>
          </w:p>
        </w:tc>
      </w:tr>
      <w:tr>
        <w:trPr>
          <w:trHeight w:val="391"/>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7780" w:type="dxa"/>
            <w:vAlign w:val="bottom"/>
            <w:gridSpan w:val="25"/>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Certification of Principal Financial Officer pursuant to Rule 13a-14(a) or Rule 15d-14(a) of the Securities</w:t>
              </w:r>
            </w:hyperlink>
          </w:p>
        </w:tc>
      </w:tr>
      <w:tr>
        <w:trPr>
          <w:trHeight w:val="237"/>
        </w:trPr>
        <w:tc>
          <w:tcPr>
            <w:tcW w:w="1140" w:type="dxa"/>
            <w:vAlign w:val="bottom"/>
          </w:tcPr>
          <w:p>
            <w:pPr>
              <w:spacing w:after="0"/>
              <w:rPr>
                <w:sz w:val="20"/>
                <w:szCs w:val="20"/>
                <w:color w:val="auto"/>
              </w:rPr>
            </w:pPr>
          </w:p>
        </w:tc>
        <w:tc>
          <w:tcPr>
            <w:tcW w:w="760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Exchange Act of 1934, as adopted pursuant to Section 302 of the Sarbanes-Oxley Act of 2002</w:t>
              </w:r>
            </w:hyperlink>
          </w:p>
        </w:tc>
        <w:tc>
          <w:tcPr>
            <w:tcW w:w="180" w:type="dxa"/>
            <w:vAlign w:val="bottom"/>
            <w:gridSpan w:val="5"/>
          </w:tcPr>
          <w:p>
            <w:pPr>
              <w:spacing w:after="0"/>
              <w:rPr>
                <w:sz w:val="20"/>
                <w:szCs w:val="20"/>
                <w:color w:val="auto"/>
              </w:rPr>
            </w:pPr>
          </w:p>
        </w:tc>
      </w:tr>
      <w:tr>
        <w:trPr>
          <w:trHeight w:val="391"/>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7780" w:type="dxa"/>
            <w:vAlign w:val="bottom"/>
            <w:gridSpan w:val="25"/>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Certification of Principal Executive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Section 906 of the Sarbanes-Oxley Act of 2002</w:t>
              </w:r>
            </w:hyperlink>
          </w:p>
        </w:tc>
        <w:tc>
          <w:tcPr>
            <w:tcW w:w="4000" w:type="dxa"/>
            <w:vAlign w:val="bottom"/>
            <w:tcBorders>
              <w:top w:val="single" w:sz="8" w:color="0000EE"/>
            </w:tcBorders>
            <w:gridSpan w:val="12"/>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412"/>
        </w:trPr>
        <w:tc>
          <w:tcPr>
            <w:tcW w:w="1140" w:type="dxa"/>
            <w:vAlign w:val="bottom"/>
          </w:tcPr>
          <w:p>
            <w:pPr>
              <w:ind w:left="100"/>
              <w:spacing w:after="0"/>
              <w:rPr>
                <w:sz w:val="20"/>
                <w:szCs w:val="20"/>
                <w:color w:val="auto"/>
              </w:rPr>
            </w:pPr>
            <w:r>
              <w:rPr>
                <w:rFonts w:ascii="Arial" w:cs="Arial" w:eastAsia="Arial" w:hAnsi="Arial"/>
                <w:sz w:val="18"/>
                <w:szCs w:val="18"/>
                <w:color w:val="auto"/>
              </w:rPr>
              <w:t>32.2+</w:t>
            </w:r>
          </w:p>
        </w:tc>
        <w:tc>
          <w:tcPr>
            <w:tcW w:w="73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 of Principal Financial Officer pursuant to 18 U.S.C. Section 1350, as adopted pursuant to</w:t>
              </w:r>
            </w:hyperlink>
          </w:p>
        </w:tc>
        <w:tc>
          <w:tcPr>
            <w:tcW w:w="40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Section 906 of the Sarbanes-Oxley Act of 2002</w:t>
              </w:r>
            </w:hyperlink>
          </w:p>
        </w:tc>
        <w:tc>
          <w:tcPr>
            <w:tcW w:w="4360" w:type="dxa"/>
            <w:vAlign w:val="bottom"/>
            <w:gridSpan w:val="20"/>
          </w:tcPr>
          <w:p>
            <w:pPr>
              <w:spacing w:after="0"/>
              <w:rPr>
                <w:sz w:val="17"/>
                <w:szCs w:val="17"/>
                <w:color w:val="auto"/>
              </w:rPr>
            </w:pPr>
          </w:p>
        </w:tc>
      </w:tr>
      <w:tr>
        <w:trPr>
          <w:trHeight w:val="45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778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864"/>
        </w:trPr>
        <w:tc>
          <w:tcPr>
            <w:tcW w:w="1140" w:type="dxa"/>
            <w:vAlign w:val="bottom"/>
          </w:tcPr>
          <w:p>
            <w:pPr>
              <w:spacing w:after="0"/>
              <w:rPr>
                <w:sz w:val="24"/>
                <w:szCs w:val="24"/>
                <w:color w:val="auto"/>
              </w:rPr>
            </w:pPr>
          </w:p>
        </w:tc>
        <w:tc>
          <w:tcPr>
            <w:tcW w:w="3420" w:type="dxa"/>
            <w:vAlign w:val="bottom"/>
            <w:gridSpan w:val="5"/>
          </w:tcPr>
          <w:p>
            <w:pPr>
              <w:ind w:left="3240"/>
              <w:spacing w:after="0"/>
              <w:rPr>
                <w:sz w:val="20"/>
                <w:szCs w:val="20"/>
                <w:color w:val="auto"/>
              </w:rPr>
            </w:pPr>
            <w:r>
              <w:rPr>
                <w:rFonts w:ascii="Arial" w:cs="Arial" w:eastAsia="Arial" w:hAnsi="Arial"/>
                <w:sz w:val="18"/>
                <w:szCs w:val="18"/>
                <w:color w:val="auto"/>
                <w:w w:val="79"/>
              </w:rPr>
              <w:t>96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46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4640" w:type="dxa"/>
            <w:vAlign w:val="bottom"/>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4640" w:type="dxa"/>
            <w:vAlign w:val="bottom"/>
          </w:tcPr>
          <w:p>
            <w:pPr>
              <w:ind w:left="16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46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4640" w:type="dxa"/>
            <w:vAlign w:val="bottom"/>
          </w:tcPr>
          <w:p>
            <w:pPr>
              <w:ind w:left="16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9" w:lineRule="exact"/>
        <w:rPr>
          <w:sz w:val="20"/>
          <w:szCs w:val="20"/>
          <w:color w:val="auto"/>
        </w:rPr>
      </w:pPr>
    </w:p>
    <w:p>
      <w:pPr>
        <w:ind w:left="400" w:hanging="356"/>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9" w:lineRule="exact"/>
        <w:rPr>
          <w:sz w:val="20"/>
          <w:szCs w:val="20"/>
          <w:color w:val="auto"/>
        </w:rPr>
      </w:pPr>
    </w:p>
    <w:p>
      <w:pPr>
        <w:ind w:left="400" w:hanging="356"/>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80" w:type="dxa"/>
            <w:vAlign w:val="bottom"/>
            <w:gridSpan w:val="2"/>
          </w:tcPr>
          <w:p>
            <w:pPr>
              <w:ind w:left="1520"/>
              <w:spacing w:after="0" w:line="207" w:lineRule="exact"/>
              <w:rPr>
                <w:sz w:val="20"/>
                <w:szCs w:val="20"/>
                <w:color w:val="auto"/>
              </w:rPr>
            </w:pPr>
            <w:r>
              <w:rPr>
                <w:rFonts w:ascii="Arial" w:cs="Arial" w:eastAsia="Arial" w:hAnsi="Arial"/>
                <w:sz w:val="18"/>
                <w:szCs w:val="18"/>
                <w:b w:val="1"/>
                <w:bCs w:val="1"/>
                <w:color w:val="auto"/>
              </w:rPr>
              <w: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MABS THERAPEUTICS,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Dated: May 7, 2020</w:t>
            </w:r>
          </w:p>
        </w:tc>
        <w:tc>
          <w:tcPr>
            <w:tcW w:w="5980" w:type="dxa"/>
            <w:vAlign w:val="bottom"/>
            <w:gridSpan w:val="2"/>
          </w:tcPr>
          <w:p>
            <w:pPr>
              <w:ind w:left="1520"/>
              <w:spacing w:after="0"/>
              <w:rPr>
                <w:sz w:val="20"/>
                <w:szCs w:val="20"/>
                <w:color w:val="auto"/>
              </w:rPr>
            </w:pPr>
            <w:r>
              <w:rPr>
                <w:rFonts w:ascii="Arial" w:cs="Arial" w:eastAsia="Arial" w:hAnsi="Arial"/>
                <w:sz w:val="18"/>
                <w:szCs w:val="18"/>
                <w:color w:val="auto"/>
              </w:rPr>
              <w:t>By:/s/ Claus Juan Møller San Pedro</w:t>
            </w:r>
          </w:p>
        </w:tc>
      </w:tr>
      <w:tr>
        <w:trPr>
          <w:trHeight w:val="195"/>
        </w:trPr>
        <w:tc>
          <w:tcPr>
            <w:tcW w:w="2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2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2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80" w:type="dxa"/>
            <w:vAlign w:val="bottom"/>
          </w:tcPr>
          <w:p>
            <w:pPr>
              <w:jc w:val="right"/>
              <w:ind w:right="165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2940" w:type="dxa"/>
            <w:vAlign w:val="bottom"/>
          </w:tcPr>
          <w:p>
            <w:pPr>
              <w:spacing w:after="0"/>
              <w:rPr>
                <w:sz w:val="20"/>
                <w:szCs w:val="20"/>
                <w:color w:val="auto"/>
              </w:rPr>
            </w:pPr>
            <w:r>
              <w:rPr>
                <w:rFonts w:ascii="Arial" w:cs="Arial" w:eastAsia="Arial" w:hAnsi="Arial"/>
                <w:sz w:val="18"/>
                <w:szCs w:val="18"/>
                <w:color w:val="auto"/>
              </w:rPr>
              <w:t>Dated: May 7, 2020</w:t>
            </w:r>
          </w:p>
        </w:tc>
        <w:tc>
          <w:tcPr>
            <w:tcW w:w="5980" w:type="dxa"/>
            <w:vAlign w:val="bottom"/>
            <w:gridSpan w:val="2"/>
          </w:tcPr>
          <w:p>
            <w:pPr>
              <w:ind w:left="1520"/>
              <w:spacing w:after="0"/>
              <w:rPr>
                <w:sz w:val="20"/>
                <w:szCs w:val="20"/>
                <w:color w:val="auto"/>
              </w:rPr>
            </w:pPr>
            <w:r>
              <w:rPr>
                <w:rFonts w:ascii="Arial" w:cs="Arial" w:eastAsia="Arial" w:hAnsi="Arial"/>
                <w:sz w:val="18"/>
                <w:szCs w:val="18"/>
                <w:color w:val="auto"/>
              </w:rPr>
              <w:t>By:/s/ Bo Kruse</w:t>
            </w:r>
          </w:p>
        </w:tc>
      </w:tr>
      <w:tr>
        <w:trPr>
          <w:trHeight w:val="195"/>
        </w:trPr>
        <w:tc>
          <w:tcPr>
            <w:tcW w:w="2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80" w:type="dxa"/>
            <w:vAlign w:val="bottom"/>
          </w:tcPr>
          <w:p>
            <w:pPr>
              <w:jc w:val="right"/>
              <w:ind w:right="1650"/>
              <w:spacing w:after="0"/>
              <w:rPr>
                <w:sz w:val="20"/>
                <w:szCs w:val="20"/>
                <w:color w:val="auto"/>
              </w:rPr>
            </w:pPr>
            <w:r>
              <w:rPr>
                <w:rFonts w:ascii="Arial" w:cs="Arial" w:eastAsia="Arial" w:hAnsi="Arial"/>
                <w:sz w:val="18"/>
                <w:szCs w:val="18"/>
                <w:color w:val="auto"/>
              </w:rPr>
              <w:t>(Principal Financial Officer)</w:t>
            </w:r>
          </w:p>
        </w:tc>
      </w:tr>
      <w:tr>
        <w:trPr>
          <w:trHeight w:val="864"/>
        </w:trPr>
        <w:tc>
          <w:tcPr>
            <w:tcW w:w="2940" w:type="dxa"/>
            <w:vAlign w:val="bottom"/>
          </w:tcPr>
          <w:p>
            <w:pPr>
              <w:spacing w:after="0"/>
              <w:rPr>
                <w:sz w:val="24"/>
                <w:szCs w:val="24"/>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4180" w:type="dxa"/>
            <w:vAlign w:val="bottom"/>
          </w:tcPr>
          <w:p>
            <w:pPr>
              <w:spacing w:after="0"/>
              <w:rPr>
                <w:sz w:val="24"/>
                <w:szCs w:val="24"/>
                <w:color w:val="auto"/>
              </w:rPr>
            </w:pPr>
          </w:p>
        </w:tc>
      </w:tr>
      <w:tr>
        <w:trPr>
          <w:trHeight w:val="560"/>
        </w:trPr>
        <w:tc>
          <w:tcPr>
            <w:tcW w:w="2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99" w:name="page100"/>
    <w:bookmarkEnd w:id="9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Claus Juan Møller San Pedro certify that:</w:t>
      </w:r>
    </w:p>
    <w:p>
      <w:pPr>
        <w:spacing w:after="0" w:line="225" w:lineRule="exact"/>
        <w:rPr>
          <w:sz w:val="20"/>
          <w:szCs w:val="20"/>
          <w:color w:val="auto"/>
        </w:rPr>
      </w:pPr>
    </w:p>
    <w:p>
      <w:pPr>
        <w:ind w:left="700" w:hanging="332"/>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700" w:right="299" w:hanging="332"/>
        <w:spacing w:after="0" w:line="263"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99" w:hanging="332"/>
        <w:spacing w:after="0" w:line="263"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379" w:hanging="332"/>
        <w:spacing w:after="0" w:line="311"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440" w:right="119" w:hanging="383"/>
        <w:spacing w:after="0" w:line="259" w:lineRule="auto"/>
        <w:tabs>
          <w:tab w:leader="none" w:pos="14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99" w:hanging="383"/>
        <w:spacing w:after="0" w:line="259" w:lineRule="auto"/>
        <w:tabs>
          <w:tab w:leader="none" w:pos="14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440" w:right="79" w:hanging="383"/>
        <w:spacing w:after="0" w:line="263" w:lineRule="auto"/>
        <w:tabs>
          <w:tab w:leader="none" w:pos="14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379" w:hanging="383"/>
        <w:spacing w:after="0" w:line="279" w:lineRule="auto"/>
        <w:tabs>
          <w:tab w:leader="none" w:pos="14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jc w:val="both"/>
        <w:ind w:left="700" w:right="359" w:hanging="332"/>
        <w:spacing w:after="0" w:line="263"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60" w:right="99" w:hanging="503"/>
        <w:spacing w:after="0" w:line="263" w:lineRule="auto"/>
        <w:tabs>
          <w:tab w:leader="none" w:pos="1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560" w:right="679" w:hanging="503"/>
        <w:spacing w:after="0" w:line="277" w:lineRule="auto"/>
        <w:tabs>
          <w:tab w:leader="none" w:pos="1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Dated: May 7,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Claus Juan Møller San Pedro</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Bo Kruse, certify that:</w:t>
      </w:r>
    </w:p>
    <w:p>
      <w:pPr>
        <w:spacing w:after="0" w:line="225" w:lineRule="exact"/>
        <w:rPr>
          <w:sz w:val="20"/>
          <w:szCs w:val="20"/>
          <w:color w:val="auto"/>
        </w:rPr>
      </w:pPr>
    </w:p>
    <w:p>
      <w:pPr>
        <w:ind w:left="700" w:hanging="332"/>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700" w:right="299" w:hanging="332"/>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99" w:hanging="332"/>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379" w:hanging="332"/>
        <w:spacing w:after="0" w:line="311"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440" w:right="99" w:hanging="316"/>
        <w:spacing w:after="0" w:line="259" w:lineRule="auto"/>
        <w:tabs>
          <w:tab w:leader="none" w:pos="1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79" w:hanging="316"/>
        <w:spacing w:after="0" w:line="259" w:lineRule="auto"/>
        <w:tabs>
          <w:tab w:leader="none" w:pos="1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440" w:right="79" w:hanging="316"/>
        <w:spacing w:after="0" w:line="263" w:lineRule="auto"/>
        <w:tabs>
          <w:tab w:leader="none" w:pos="1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359" w:hanging="316"/>
        <w:spacing w:after="0" w:line="279" w:lineRule="auto"/>
        <w:tabs>
          <w:tab w:leader="none" w:pos="14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jc w:val="both"/>
        <w:ind w:left="700" w:right="359" w:hanging="332"/>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40" w:right="219" w:hanging="316"/>
        <w:spacing w:after="0" w:line="263" w:lineRule="auto"/>
        <w:tabs>
          <w:tab w:leader="none" w:pos="1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40" w:right="799" w:hanging="316"/>
        <w:spacing w:after="0" w:line="277" w:lineRule="auto"/>
        <w:tabs>
          <w:tab w:leader="none" w:pos="14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Dated: May 7,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Financial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1" w:name="page102"/>
    <w:bookmarkEnd w:id="10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40" w:right="199" w:hanging="383"/>
        <w:spacing w:after="0" w:line="263" w:lineRule="auto"/>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March 31, 2020 (the “Report”)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left="1440" w:right="259" w:hanging="383"/>
        <w:spacing w:after="0" w:line="277" w:lineRule="auto"/>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Dated: May 7,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Claus Juan Møller San Pedro</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Claus Juan Møller San Pedro</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2" w:name="page103"/>
    <w:bookmarkEnd w:id="10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40" w:right="219" w:hanging="383"/>
        <w:spacing w:after="0" w:line="263" w:lineRule="auto"/>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March 31, 2020 (the “Report”)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left="1440" w:right="259" w:hanging="383"/>
        <w:spacing w:after="0" w:line="277" w:lineRule="auto"/>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Dated: May 7,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Financial Officer)</w:t>
            </w:r>
          </w:p>
        </w:tc>
      </w:tr>
      <w:tr>
        <w:trPr>
          <w:trHeight w:val="777"/>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lowerRoman"/>
      <w:start w:val="2"/>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lowerRoman"/>
      <w:start w:val="1"/>
    </w:lvl>
  </w:abstractNum>
  <w:abstractNum w:abstractNumId="57">
    <w:nsid w:val="235BA8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15" Type="http://schemas.openxmlformats.org/officeDocument/2006/relationships/hyperlink" Target="http://www.sec.gov/Archives/edgar/data/1722964/000110465918058483/a18-5676_14ex3d1.htm" TargetMode="External"/><Relationship Id="rId116" Type="http://schemas.openxmlformats.org/officeDocument/2006/relationships/hyperlink" Target="http://www.sec.gov/Archives/edgar/data/1722964/000104746918005786/a2236551zex-3_4.htm" TargetMode="External"/><Relationship Id="rId117" Type="http://schemas.openxmlformats.org/officeDocument/2006/relationships/hyperlink" Target="http://www.sec.gov/Archives/edgar/data/1722964/000104746918005786/a2236551zex-10_9.htm" TargetMode="External"/><Relationship Id="rId118" Type="http://schemas.openxmlformats.org/officeDocument/2006/relationships/hyperlink" Target="http://www.sec.gov/Archives/edgar/data/1722964/000104746918005786/a2236551zex-10_10.htm" TargetMode="External"/><Relationship Id="rId119" Type="http://schemas.openxmlformats.org/officeDocument/2006/relationships/hyperlink" Target="http://www.sec.gov/Archives/edgar/data/1722964/000104746918005786/a2236551zex-10_16.htm" TargetMode="External"/><Relationship Id="rId120" Type="http://schemas.openxmlformats.org/officeDocument/2006/relationships/hyperlink" Target="http://www.sec.gov/Archives/edgar/data/1722964/000104746918005786/a2236551zex-10_17.htm" TargetMode="External"/><Relationship Id="rId121" Type="http://schemas.openxmlformats.org/officeDocument/2006/relationships/hyperlink" Target="http://www.sec.gov/Archives/edgar/data/1722964/000104746918005786/a2236551zex-10_18.htm" TargetMode="External"/><Relationship Id="rId122" Type="http://schemas.openxmlformats.org/officeDocument/2006/relationships/hyperlink" Target="http://www.sec.gov/Archives/edgar/data/1722964/000104746918005786/a2236551z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2020-05-07T15:58:19Z</dcterms:created>
  <dcterms:modified xsi:type="dcterms:W3CDTF">2020-05-07T15:58:19Z</dcterms:modified>
</cp:coreProperties>
</file>