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May 6, 2021</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5" w:lineRule="exact"/>
        <w:rPr>
          <w:sz w:val="24"/>
          <w:szCs w:val="24"/>
          <w:color w:val="auto"/>
        </w:rPr>
      </w:pPr>
    </w:p>
    <w:tbl>
      <w:tblPr>
        <w:tblLayout w:type="fixed"/>
        <w:tblInd w:w="800" w:type="dxa"/>
        <w:tblCellMar>
          <w:top w:w="0" w:type="dxa"/>
          <w:left w:w="0" w:type="dxa"/>
          <w:bottom w:w="0" w:type="dxa"/>
          <w:right w:w="0" w:type="dxa"/>
        </w:tblCellMar>
      </w:tblP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Delaware</w:t>
            </w: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001-38650</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(State or other jurisdiction of</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87"/>
              </w:rPr>
              <w:t>(Commission</w:t>
            </w:r>
          </w:p>
        </w:tc>
        <w:tc>
          <w:tcPr>
            <w:tcW w:w="1900" w:type="dxa"/>
            <w:vAlign w:val="bottom"/>
          </w:tcPr>
          <w:p>
            <w:pPr>
              <w:jc w:val="center"/>
              <w:ind w:left="39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incorporation or organization)</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94"/>
              </w:rPr>
              <w:t>File Number)</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2"/>
              </w:rPr>
              <w:t>Identification No.)</w:t>
            </w: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230 Park Avenue</w:t>
            </w:r>
          </w:p>
        </w:tc>
        <w:tc>
          <w:tcPr>
            <w:tcW w:w="1900" w:type="dxa"/>
            <w:vAlign w:val="bottom"/>
          </w:tcPr>
          <w:p>
            <w:pPr>
              <w:spacing w:after="0"/>
              <w:rPr>
                <w:sz w:val="24"/>
                <w:szCs w:val="24"/>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89"/>
              </w:rPr>
              <w:t>Suite 3350</w:t>
            </w:r>
          </w:p>
        </w:tc>
        <w:tc>
          <w:tcPr>
            <w:tcW w:w="1900" w:type="dxa"/>
            <w:vAlign w:val="bottom"/>
          </w:tcPr>
          <w:p>
            <w:pPr>
              <w:spacing w:after="0"/>
              <w:rPr>
                <w:sz w:val="18"/>
                <w:szCs w:val="18"/>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2"/>
              </w:rPr>
              <w:t>New York, New York 10169</w:t>
            </w:r>
          </w:p>
        </w:tc>
        <w:tc>
          <w:tcPr>
            <w:tcW w:w="1900" w:type="dxa"/>
            <w:vAlign w:val="bottom"/>
          </w:tcPr>
          <w:p>
            <w:pPr>
              <w:spacing w:after="0"/>
              <w:rPr>
                <w:sz w:val="18"/>
                <w:szCs w:val="18"/>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9"/>
              </w:rPr>
              <w:t>(Address of principal executive offices) (Zip Code)</w:t>
            </w:r>
          </w:p>
        </w:tc>
        <w:tc>
          <w:tcPr>
            <w:tcW w:w="1900" w:type="dxa"/>
            <w:vAlign w:val="bottom"/>
          </w:tcPr>
          <w:p>
            <w:pPr>
              <w:spacing w:after="0"/>
              <w:rPr>
                <w:sz w:val="20"/>
                <w:szCs w:val="20"/>
                <w:color w:val="auto"/>
              </w:rPr>
            </w:pP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(646) 885-8505</w:t>
            </w:r>
          </w:p>
        </w:tc>
        <w:tc>
          <w:tcPr>
            <w:tcW w:w="1900" w:type="dxa"/>
            <w:vAlign w:val="bottom"/>
          </w:tcPr>
          <w:p>
            <w:pPr>
              <w:spacing w:after="0"/>
              <w:rPr>
                <w:sz w:val="24"/>
                <w:szCs w:val="24"/>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8"/>
              </w:rPr>
              <w:t>(Registrant’s telephone number, include area code)</w:t>
            </w:r>
          </w:p>
        </w:tc>
        <w:tc>
          <w:tcPr>
            <w:tcW w:w="190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4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Title of each class:</w:t>
            </w:r>
          </w:p>
        </w:tc>
        <w:tc>
          <w:tcPr>
            <w:tcW w:w="25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42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May 6, 2021, Y-mAbs Therapeutics, Inc., announced its financial results for the quarter ended March 31, 2021. A copy of the press release is attached hereto as Exhibit 99.1.</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information furnished pursuant to Item 2.02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180" w:type="dxa"/>
            <w:vAlign w:val="bottom"/>
            <w:gridSpan w:val="4"/>
          </w:tcPr>
          <w:p>
            <w:pPr>
              <w:ind w:left="40"/>
              <w:spacing w:after="0"/>
              <w:rPr>
                <w:sz w:val="20"/>
                <w:szCs w:val="20"/>
                <w:color w:val="auto"/>
              </w:rPr>
            </w:pPr>
            <w:r>
              <w:rPr>
                <w:rFonts w:ascii="Arial" w:cs="Arial" w:eastAsia="Arial" w:hAnsi="Arial"/>
                <w:sz w:val="18"/>
                <w:szCs w:val="18"/>
                <w:color w:val="auto"/>
              </w:rPr>
              <w:t>(d) Exhibits</w:t>
            </w:r>
          </w:p>
        </w:tc>
      </w:tr>
      <w:tr>
        <w:trPr>
          <w:trHeight w:val="446"/>
        </w:trPr>
        <w:tc>
          <w:tcPr>
            <w:tcW w:w="1060" w:type="dxa"/>
            <w:vAlign w:val="bottom"/>
            <w:tcBorders>
              <w:bottom w:val="single" w:sz="8" w:color="auto"/>
            </w:tcBorders>
            <w:gridSpan w:val="2"/>
          </w:tcPr>
          <w:p>
            <w:pPr>
              <w:ind w:left="140"/>
              <w:spacing w:after="0"/>
              <w:rPr>
                <w:sz w:val="20"/>
                <w:szCs w:val="20"/>
                <w:color w:val="auto"/>
              </w:rPr>
            </w:pPr>
            <w:r>
              <w:rPr>
                <w:rFonts w:ascii="Arial" w:cs="Arial" w:eastAsia="Arial" w:hAnsi="Arial"/>
                <w:sz w:val="18"/>
                <w:szCs w:val="18"/>
                <w:b w:val="1"/>
                <w:bCs w:val="1"/>
                <w:color w:val="auto"/>
                <w:w w:val="95"/>
              </w:rPr>
              <w:t>Exhibit No.</w:t>
            </w:r>
          </w:p>
        </w:tc>
        <w:tc>
          <w:tcPr>
            <w:tcW w:w="8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7420" w:type="dxa"/>
            <w:vAlign w:val="bottom"/>
            <w:tcBorders>
              <w:bottom w:val="single" w:sz="8" w:color="auto"/>
            </w:tcBorders>
          </w:tcPr>
          <w:p>
            <w:pPr>
              <w:ind w:left="2040"/>
              <w:spacing w:after="0"/>
              <w:rPr>
                <w:sz w:val="20"/>
                <w:szCs w:val="20"/>
                <w:color w:val="auto"/>
              </w:rPr>
            </w:pPr>
            <w:r>
              <w:rPr>
                <w:rFonts w:ascii="Arial" w:cs="Arial" w:eastAsia="Arial" w:hAnsi="Arial"/>
                <w:sz w:val="18"/>
                <w:szCs w:val="18"/>
                <w:b w:val="1"/>
                <w:bCs w:val="1"/>
                <w:color w:val="auto"/>
              </w:rPr>
              <w:t>Description</w:t>
            </w:r>
          </w:p>
        </w:tc>
      </w:tr>
      <w:tr>
        <w:trPr>
          <w:trHeight w:val="169"/>
        </w:trPr>
        <w:tc>
          <w:tcPr>
            <w:tcW w:w="1060" w:type="dxa"/>
            <w:vAlign w:val="bottom"/>
            <w:gridSpan w:val="2"/>
          </w:tcPr>
          <w:p>
            <w:pPr>
              <w:spacing w:after="0" w:line="169" w:lineRule="exact"/>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80" w:type="dxa"/>
            <w:vAlign w:val="bottom"/>
            <w:gridSpan w:val="2"/>
          </w:tcPr>
          <w:p>
            <w:pPr>
              <w:spacing w:after="0" w:line="169" w:lineRule="exact"/>
              <w:rPr>
                <w:rFonts w:ascii="Arial" w:cs="Arial" w:eastAsia="Arial" w:hAnsi="Arial"/>
                <w:sz w:val="18"/>
                <w:szCs w:val="18"/>
                <w:color w:val="0000EE"/>
              </w:rPr>
            </w:pPr>
            <w:hyperlink w:anchor="page4">
              <w:r>
                <w:rPr>
                  <w:rFonts w:ascii="Arial" w:cs="Arial" w:eastAsia="Arial" w:hAnsi="Arial"/>
                  <w:sz w:val="18"/>
                  <w:szCs w:val="18"/>
                  <w:color w:val="0000EE"/>
                </w:rPr>
                <w:t>Press Release, dated May 6, 2021.</w:t>
              </w:r>
            </w:hyperlink>
          </w:p>
        </w:tc>
      </w:tr>
      <w:tr>
        <w:trPr>
          <w:trHeight w:val="20"/>
        </w:trPr>
        <w:tc>
          <w:tcPr>
            <w:tcW w:w="320" w:type="dxa"/>
            <w:vAlign w:val="bottom"/>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60" w:type="dxa"/>
            <w:vAlign w:val="bottom"/>
            <w:shd w:val="clear" w:color="auto" w:fill="0000EE"/>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r>
      <w:tr>
        <w:trPr>
          <w:trHeight w:val="453"/>
        </w:trPr>
        <w:tc>
          <w:tcPr>
            <w:tcW w:w="320" w:type="dxa"/>
            <w:vAlign w:val="bottom"/>
          </w:tcPr>
          <w:p>
            <w:pPr>
              <w:spacing w:after="0"/>
              <w:rPr>
                <w:sz w:val="20"/>
                <w:szCs w:val="20"/>
                <w:color w:val="auto"/>
              </w:rPr>
            </w:pPr>
            <w:r>
              <w:rPr>
                <w:rFonts w:ascii="Arial" w:cs="Arial" w:eastAsia="Arial" w:hAnsi="Arial"/>
                <w:sz w:val="18"/>
                <w:szCs w:val="18"/>
                <w:color w:val="auto"/>
                <w:w w:val="99"/>
              </w:rPr>
              <w:t>104</w:t>
            </w:r>
          </w:p>
        </w:tc>
        <w:tc>
          <w:tcPr>
            <w:tcW w:w="7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80" w:type="dxa"/>
            <w:vAlign w:val="bottom"/>
            <w:gridSpan w:val="2"/>
          </w:tcPr>
          <w:p>
            <w:pPr>
              <w:spacing w:after="0"/>
              <w:rPr>
                <w:sz w:val="20"/>
                <w:szCs w:val="20"/>
                <w:color w:val="auto"/>
              </w:rPr>
            </w:pPr>
            <w:r>
              <w:rPr>
                <w:rFonts w:ascii="Arial" w:cs="Arial" w:eastAsia="Arial" w:hAnsi="Arial"/>
                <w:sz w:val="18"/>
                <w:szCs w:val="18"/>
                <w:color w:val="auto"/>
              </w:rPr>
              <w:t>Interactive Data File (embedded within the Inline XBRL document).</w:t>
            </w:r>
          </w:p>
        </w:tc>
      </w:tr>
      <w:tr>
        <w:trPr>
          <w:trHeight w:val="675"/>
        </w:trPr>
        <w:tc>
          <w:tcPr>
            <w:tcW w:w="3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74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00" w:type="dxa"/>
            <w:vAlign w:val="bottom"/>
          </w:tcPr>
          <w:p>
            <w:pPr>
              <w:spacing w:after="0"/>
              <w:rPr>
                <w:sz w:val="20"/>
                <w:szCs w:val="20"/>
                <w:color w:val="auto"/>
              </w:rPr>
            </w:pPr>
          </w:p>
        </w:tc>
        <w:tc>
          <w:tcPr>
            <w:tcW w:w="7740" w:type="dxa"/>
            <w:vAlign w:val="bottom"/>
            <w:gridSpan w:val="2"/>
          </w:tcPr>
          <w:p>
            <w:pPr>
              <w:ind w:left="2140"/>
              <w:spacing w:after="0"/>
              <w:rPr>
                <w:sz w:val="20"/>
                <w:szCs w:val="20"/>
                <w:color w:val="auto"/>
              </w:rPr>
            </w:pPr>
            <w:r>
              <w:rPr>
                <w:rFonts w:ascii="Arial" w:cs="Arial" w:eastAsia="Arial" w:hAnsi="Arial"/>
                <w:sz w:val="18"/>
                <w:szCs w:val="18"/>
                <w:color w:val="auto"/>
              </w:rPr>
              <w:t>Y-MABS THERAPEUTICS, INC.</w:t>
            </w:r>
          </w:p>
        </w:tc>
      </w:tr>
      <w:tr>
        <w:trPr>
          <w:trHeight w:val="432"/>
        </w:trPr>
        <w:tc>
          <w:tcPr>
            <w:tcW w:w="3500" w:type="dxa"/>
            <w:vAlign w:val="bottom"/>
          </w:tcPr>
          <w:p>
            <w:pPr>
              <w:spacing w:after="0"/>
              <w:rPr>
                <w:sz w:val="20"/>
                <w:szCs w:val="20"/>
                <w:color w:val="auto"/>
              </w:rPr>
            </w:pPr>
            <w:r>
              <w:rPr>
                <w:rFonts w:ascii="Arial" w:cs="Arial" w:eastAsia="Arial" w:hAnsi="Arial"/>
                <w:sz w:val="18"/>
                <w:szCs w:val="18"/>
                <w:color w:val="auto"/>
              </w:rPr>
              <w:t>Date: May 6, 2021</w:t>
            </w:r>
          </w:p>
        </w:tc>
        <w:tc>
          <w:tcPr>
            <w:tcW w:w="7740" w:type="dxa"/>
            <w:vAlign w:val="bottom"/>
            <w:gridSpan w:val="2"/>
          </w:tcPr>
          <w:p>
            <w:pPr>
              <w:ind w:left="2140"/>
              <w:spacing w:after="0"/>
              <w:rPr>
                <w:sz w:val="20"/>
                <w:szCs w:val="20"/>
                <w:color w:val="auto"/>
              </w:rPr>
            </w:pPr>
            <w:r>
              <w:rPr>
                <w:rFonts w:ascii="Arial" w:cs="Arial" w:eastAsia="Arial" w:hAnsi="Arial"/>
                <w:sz w:val="18"/>
                <w:szCs w:val="18"/>
                <w:color w:val="auto"/>
              </w:rPr>
              <w:t>By: /s/ Thomas Gad</w:t>
            </w:r>
          </w:p>
        </w:tc>
      </w:tr>
      <w:tr>
        <w:trPr>
          <w:trHeight w:val="195"/>
        </w:trPr>
        <w:tc>
          <w:tcPr>
            <w:tcW w:w="3500" w:type="dxa"/>
            <w:vAlign w:val="bottom"/>
          </w:tcPr>
          <w:p>
            <w:pPr>
              <w:spacing w:after="0"/>
              <w:rPr>
                <w:sz w:val="16"/>
                <w:szCs w:val="16"/>
                <w:color w:val="auto"/>
              </w:rPr>
            </w:pPr>
          </w:p>
        </w:tc>
        <w:tc>
          <w:tcPr>
            <w:tcW w:w="2460" w:type="dxa"/>
            <w:vAlign w:val="bottom"/>
          </w:tcPr>
          <w:p>
            <w:pPr>
              <w:spacing w:after="0"/>
              <w:rPr>
                <w:sz w:val="16"/>
                <w:szCs w:val="16"/>
                <w:color w:val="auto"/>
              </w:rPr>
            </w:pPr>
          </w:p>
        </w:tc>
        <w:tc>
          <w:tcPr>
            <w:tcW w:w="52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r>
      <w:tr>
        <w:trPr>
          <w:trHeight w:val="216"/>
        </w:trPr>
        <w:tc>
          <w:tcPr>
            <w:tcW w:w="350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w w:val="95"/>
              </w:rPr>
              <w:t>Founder, Chairman, President and Head of Business Development &amp;</w:t>
            </w:r>
          </w:p>
        </w:tc>
      </w:tr>
      <w:tr>
        <w:trPr>
          <w:trHeight w:val="230"/>
        </w:trPr>
        <w:tc>
          <w:tcPr>
            <w:tcW w:w="350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Strategy</w:t>
            </w:r>
          </w:p>
        </w:tc>
      </w:tr>
      <w:tr>
        <w:trPr>
          <w:trHeight w:val="675"/>
        </w:trPr>
        <w:tc>
          <w:tcPr>
            <w:tcW w:w="350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4274185</wp:posOffset>
            </wp:positionH>
            <wp:positionV relativeFrom="paragraph">
              <wp:posOffset>154305</wp:posOffset>
            </wp:positionV>
            <wp:extent cx="2837180" cy="8229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837180" cy="8229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Y-mAbs Announces First Quarter Financial Results and Recent Corporate Developments</w:t>
      </w:r>
    </w:p>
    <w:p>
      <w:pPr>
        <w:spacing w:after="0" w:line="200" w:lineRule="exact"/>
        <w:rPr>
          <w:sz w:val="20"/>
          <w:szCs w:val="20"/>
          <w:color w:val="auto"/>
        </w:rPr>
      </w:pPr>
    </w:p>
    <w:p>
      <w:pPr>
        <w:spacing w:after="0" w:line="24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New York, NY, May 6, 2021 (GLOBE NEWSWIRE) – Y-mAbs Therapeutics, Inc. (the “Company” or “Y-mAbs”) (Nasdaq: YMAB) a commercial-stage biopharmaceutical company focused on the development and commercialization of novel, antibody-based therapeutic products for the treatment of cancer, today reported financial results for the first quarter of 2021.</w:t>
      </w:r>
    </w:p>
    <w:p>
      <w:pPr>
        <w:spacing w:after="0" w:line="184"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“We are very pleased with our first quarter 2021 financial results, as we have been commercializing DANYELZA® (naxitamab-gqgk) throughout the U.S. since the beginning of February and we are very pleased with our progress to date. In addition, we successfully completed a follow-on offering with gross proceeds of approximately $115 million and netted another $62 million from closing the sale of our Priority Review Voucher, after sharing the total sales price of $105 million with MSK pursuant to the terms of our license agreement. With a cash balance of $252 million, we believe we are well positioned to advance our pipeline in the coming years,” stated Thomas Gad, founder, Chairman and President.</w:t>
      </w:r>
    </w:p>
    <w:p>
      <w:pPr>
        <w:spacing w:after="0" w:line="17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Dr. Claus Moller, Chief Executive Officer, continued, “We successfully submitted the European Marketing Authorization Application for omburtamab to the European Medicines Agency (“EMA”) in April. In parallel, we are making good progress in the clinic and have continued to advance the earlier stage programs in our pipeline, including GPA33-SADA, where we reported radioactivity uptake with a tumor to blood ratio of 122 in a mouse model. We are planning for the first SADA IND later this year and target an IND for GPA33-SADA in 2022.”</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Corporate Developments</w:t>
      </w:r>
    </w:p>
    <w:p>
      <w:pPr>
        <w:spacing w:after="0" w:line="229" w:lineRule="exact"/>
        <w:rPr>
          <w:sz w:val="20"/>
          <w:szCs w:val="20"/>
          <w:color w:val="auto"/>
        </w:rPr>
      </w:pPr>
    </w:p>
    <w:p>
      <w:pPr>
        <w:ind w:left="540" w:right="20" w:hanging="262"/>
        <w:spacing w:after="0" w:line="308" w:lineRule="auto"/>
        <w:tabs>
          <w:tab w:leader="none" w:pos="540" w:val="left"/>
        </w:tabs>
        <w:numPr>
          <w:ilvl w:val="0"/>
          <w:numId w:val="2"/>
        </w:numPr>
        <w:rPr>
          <w:rFonts w:ascii="Arial" w:cs="Arial" w:eastAsia="Arial" w:hAnsi="Arial"/>
          <w:sz w:val="17"/>
          <w:szCs w:val="17"/>
          <w:color w:val="auto"/>
        </w:rPr>
      </w:pPr>
      <w:r>
        <w:rPr>
          <w:rFonts w:ascii="Arial" w:cs="Arial" w:eastAsia="Arial" w:hAnsi="Arial"/>
          <w:sz w:val="17"/>
          <w:szCs w:val="17"/>
          <w:color w:val="auto"/>
        </w:rPr>
        <w:t>Subsequent to the end of the first quarter, on April 27, 2021, Y-mAbs announced the submission to EMA of a European Marketing Authorization Application for omburtamab for the treatment of pediatric patients with CNS/leptomeningeal metastasis from neuroblastoma.</w:t>
      </w:r>
    </w:p>
    <w:p>
      <w:pPr>
        <w:spacing w:after="0" w:line="146" w:lineRule="exact"/>
        <w:rPr>
          <w:rFonts w:ascii="Arial" w:cs="Arial" w:eastAsia="Arial" w:hAnsi="Arial"/>
          <w:sz w:val="17"/>
          <w:szCs w:val="17"/>
          <w:color w:val="auto"/>
        </w:rPr>
      </w:pPr>
    </w:p>
    <w:p>
      <w:pPr>
        <w:ind w:left="540" w:hanging="262"/>
        <w:spacing w:after="0" w:line="277" w:lineRule="auto"/>
        <w:tabs>
          <w:tab w:leader="none" w:pos="540" w:val="left"/>
        </w:tabs>
        <w:numPr>
          <w:ilvl w:val="0"/>
          <w:numId w:val="2"/>
        </w:numPr>
        <w:rPr>
          <w:rFonts w:ascii="Arial" w:cs="Arial" w:eastAsia="Arial" w:hAnsi="Arial"/>
          <w:sz w:val="18"/>
          <w:szCs w:val="18"/>
          <w:color w:val="auto"/>
        </w:rPr>
      </w:pPr>
      <w:r>
        <w:rPr>
          <w:rFonts w:ascii="Arial" w:cs="Arial" w:eastAsia="Arial" w:hAnsi="Arial"/>
          <w:sz w:val="18"/>
          <w:szCs w:val="18"/>
          <w:color w:val="auto"/>
        </w:rPr>
        <w:t>Also subsequent to the end of the first quarter, on April 20, 2021, Y-mAbs announced a regulatory update for resubmission of the BLA for omburtamab, reconfirming our aim to resubmit the BLA late in the second quarter or in the third quarter 2021.</w:t>
      </w:r>
    </w:p>
    <w:p>
      <w:pPr>
        <w:spacing w:after="0" w:line="170" w:lineRule="exact"/>
        <w:rPr>
          <w:rFonts w:ascii="Arial" w:cs="Arial" w:eastAsia="Arial" w:hAnsi="Arial"/>
          <w:sz w:val="18"/>
          <w:szCs w:val="18"/>
          <w:color w:val="auto"/>
        </w:rPr>
      </w:pPr>
    </w:p>
    <w:p>
      <w:pPr>
        <w:jc w:val="both"/>
        <w:ind w:left="540" w:hanging="262"/>
        <w:spacing w:after="0" w:line="263" w:lineRule="auto"/>
        <w:tabs>
          <w:tab w:leader="none" w:pos="540" w:val="left"/>
        </w:tabs>
        <w:numPr>
          <w:ilvl w:val="0"/>
          <w:numId w:val="2"/>
        </w:numPr>
        <w:rPr>
          <w:rFonts w:ascii="Arial" w:cs="Arial" w:eastAsia="Arial" w:hAnsi="Arial"/>
          <w:sz w:val="18"/>
          <w:szCs w:val="18"/>
          <w:color w:val="auto"/>
        </w:rPr>
      </w:pPr>
      <w:r>
        <w:rPr>
          <w:rFonts w:ascii="Arial" w:cs="Arial" w:eastAsia="Arial" w:hAnsi="Arial"/>
          <w:sz w:val="18"/>
          <w:szCs w:val="18"/>
          <w:color w:val="auto"/>
        </w:rPr>
        <w:t>After the close of the first quarter, on April 12, 2021, Y-mAbs announced data from GPA33-SADA, which in a xenograft model of colorectal peritoneal carcinomatosis showed radioactivity uptake with a tumor to blood ratio of 122 measured 24 hours after injection. An IND for the GPA33-SADA is targeted for next year.</w:t>
      </w:r>
    </w:p>
    <w:p>
      <w:pPr>
        <w:spacing w:after="0" w:line="210" w:lineRule="exact"/>
        <w:rPr>
          <w:rFonts w:ascii="Arial" w:cs="Arial" w:eastAsia="Arial" w:hAnsi="Arial"/>
          <w:sz w:val="18"/>
          <w:szCs w:val="18"/>
          <w:color w:val="auto"/>
        </w:rPr>
      </w:pPr>
    </w:p>
    <w:p>
      <w:pPr>
        <w:ind w:left="540" w:hanging="262"/>
        <w:spacing w:after="0" w:line="277" w:lineRule="auto"/>
        <w:tabs>
          <w:tab w:leader="none" w:pos="5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February 22, 2021, Y-mAbs announced the closing of a follow-on shelf public offering, including the full exercise of the underwriters’ overallotment option, resulting in gross proceeds to the Company of approximately $115.0 million.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Results</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Y-mAbs reported net income of $33.4 million, or $0.80 per basic share or $0.75 per diluted share, for the quarter ended March 31, 2021, compared to a net loss of $26.2 million, or ($0.66) per basic and diluted share, reported for the quarter ended March 31, 2020. The increased net income was caused by the DANYELZA revenues and the recording of the net proceeds from monetization of the DANYELZA Priority Review Voucher.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405765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4477385</wp:posOffset>
            </wp:positionH>
            <wp:positionV relativeFrom="page">
              <wp:posOffset>586105</wp:posOffset>
            </wp:positionV>
            <wp:extent cx="2837180" cy="8229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837180" cy="8229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Y-mAbs reported net revenues of $5.4 million for the quarter ended March 31, 2021 from the sales of DANYELZA. No revenues were reported for the quarter ended March 31, 2020.</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Expenses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Research and Development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126365</wp:posOffset>
            </wp:positionV>
            <wp:extent cx="2857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8575" cy="825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color w:val="auto"/>
        </w:rPr>
        <w:t>Research and development expenses were $21.6 million for the three months ended March 31, 2021, compared to $18.6 million for the three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March 31, 2020, an increase of $3.0 million. The increase in research and development expenses primarily reflects the following:</w:t>
      </w:r>
    </w:p>
    <w:p>
      <w:pPr>
        <w:spacing w:after="0" w:line="211"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$2.0 million increase in outsourced manufacturing;</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$2.5 million increase in personnel costs;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$0.8 million increase in clinical trials.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These increases were partially offset by a $3.1 million decrease in outsourced research and supplies.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Selling, General, and Administration</w:t>
      </w:r>
    </w:p>
    <w:p>
      <w:pPr>
        <w:spacing w:after="0" w:line="225"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Selling, general, and administrative expenses were $12.0 million for the three months ended March 31, 2021, compared to $8.1 million for the three months ended March 31, 2020, an increase of $3.9 million. The increase in selling general and administrative expenses primarily reflects the following:</w:t>
      </w:r>
    </w:p>
    <w:p>
      <w:pPr>
        <w:spacing w:after="0" w:line="124"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$3.3 million increase in personnel costs.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Company had approximately $252.3 million in cash and cash equivalents as of March 31, 2021.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Webcast and Conference Call</w:t>
      </w:r>
    </w:p>
    <w:p>
      <w:pPr>
        <w:spacing w:after="0" w:line="229"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Company will host a conference call on Friday, May 7, 2021 at 9 a.m. Eastern Time. To participate in the call, please dial 877-407-0792 (domestic) or 201-689-8263 (international) and reference the access code 13718796. A webcast will be available at: http://public.viavid.com/index.php?id=144412</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Y-mAbs is a commercial-stage biopharmaceutical company focused on the development and commercialization of novel, antibody-based therapeutic products for the treatment of cancer. The Company has a broad and advanced product pipeline, including one FDA approved product, DANYELZA® (naxitamab-gqgk), which targets tumors that express GD2, and one pivotal-stage product candidate, omburtamab, which targets tumors that express B7-H3.</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commercialization and product distribution plans; current and future clinical and pre-clinical studies and our research and development programs; expectations related to the timing of the initiation and completion of regulatory submissions; regulatory, marketing and reimbursement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developments relating to our competitors and our industry; and other statements that are not historical facts. Words such as ‘‘anticipate,’’ ‘‘believe,’’ “contemplate,” ‘‘continue,’’ ‘‘could,’’ ‘‘estimate,’’ ‘‘expect,’’ “hope,”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risks associated with the pandemic caused by the novel coronavirus known as COVID-19 and other risks and uncertainties affecting the Company including those described in the "Risk Factors" section included in our Annual Report on Form 10-K and in our other SEC filings. Any forward-looking statements</w:t>
      </w:r>
    </w:p>
    <w:p>
      <w:pPr>
        <w:sectPr>
          <w:pgSz w:w="11900" w:h="16838" w:orient="portrait"/>
          <w:cols w:equalWidth="0" w:num="1">
            <w:col w:w="11240"/>
          </w:cols>
          <w:pgMar w:left="320" w:top="1440" w:right="339" w:bottom="0" w:gutter="0" w:footer="0" w:header="0"/>
        </w:sectPr>
      </w:pPr>
    </w:p>
    <w:bookmarkStart w:id="5" w:name="page6"/>
    <w:bookmarkEnd w:id="5"/>
    <w:p>
      <w:pPr>
        <w:spacing w:after="0" w:line="277" w:lineRule="auto"/>
        <w:rPr>
          <w:sz w:val="20"/>
          <w:szCs w:val="20"/>
          <w:color w:val="auto"/>
        </w:rPr>
      </w:pPr>
      <w:r>
        <w:rPr>
          <w:rFonts w:ascii="Arial" w:cs="Arial" w:eastAsia="Arial" w:hAnsi="Arial"/>
          <w:sz w:val="18"/>
          <w:szCs w:val="18"/>
          <w:color w:val="auto"/>
        </w:rPr>
        <w:t>contained in this press release speak only as of the date hereof, and the Company undertakes no obligation to update any forward-looking statement, whether as a result of new information, future events or otherwise.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6" w:name="page7"/>
    <w:bookmarkEnd w:id="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4477385</wp:posOffset>
            </wp:positionH>
            <wp:positionV relativeFrom="page">
              <wp:posOffset>586105</wp:posOffset>
            </wp:positionV>
            <wp:extent cx="2837180" cy="8229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2837180" cy="8229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6"/>
          <w:szCs w:val="16"/>
          <w:color w:val="auto"/>
        </w:rPr>
        <w:t>“DANYELZA” and “Y-mAbs” are registered trademarks of Y-mAbs Therapeutics, Inc.</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1440" w:right="1440" w:bottom="1440"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color w:val="auto"/>
        </w:rPr>
        <w:t>ASSETS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CURRENT ASSETS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Cash and cash equivalents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Accounts receivable, net</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Inventories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Other current assets</w:t>
      </w:r>
    </w:p>
    <w:p>
      <w:pPr>
        <w:spacing w:after="0" w:line="2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Total current assets</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Property and equipment, net</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Operating lease right-of-use assets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Other assets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 ASSETS</w:t>
      </w:r>
    </w:p>
    <w:p>
      <w:pPr>
        <w:spacing w:after="0" w:line="292" w:lineRule="exact"/>
        <w:rPr>
          <w:sz w:val="20"/>
          <w:szCs w:val="20"/>
          <w:color w:val="auto"/>
        </w:rPr>
      </w:pPr>
    </w:p>
    <w:p>
      <w:pPr>
        <w:spacing w:after="0"/>
        <w:rPr>
          <w:sz w:val="20"/>
          <w:szCs w:val="20"/>
          <w:color w:val="auto"/>
        </w:rPr>
      </w:pPr>
      <w:r>
        <w:rPr>
          <w:rFonts w:ascii="Arial" w:cs="Arial" w:eastAsia="Arial" w:hAnsi="Arial"/>
          <w:sz w:val="17"/>
          <w:szCs w:val="17"/>
          <w:color w:val="auto"/>
        </w:rPr>
        <w:t>LIABILITIES AND STOCKHOLDERS’ EQUITY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4300"/>
        <w:spacing w:after="0"/>
        <w:rPr>
          <w:sz w:val="20"/>
          <w:szCs w:val="20"/>
          <w:color w:val="auto"/>
        </w:rPr>
      </w:pPr>
      <w:r>
        <w:rPr>
          <w:rFonts w:ascii="Arial" w:cs="Arial" w:eastAsia="Arial" w:hAnsi="Arial"/>
          <w:sz w:val="17"/>
          <w:szCs w:val="17"/>
          <w:b w:val="1"/>
          <w:bCs w:val="1"/>
          <w:color w:val="auto"/>
        </w:rPr>
        <w:t>Y-MABS THERAPEUTICS,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1530985</wp:posOffset>
            </wp:positionH>
            <wp:positionV relativeFrom="paragraph">
              <wp:posOffset>-1106170</wp:posOffset>
            </wp:positionV>
            <wp:extent cx="2837180" cy="8229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837180" cy="822960"/>
                    </a:xfrm>
                    <a:prstGeom prst="rect">
                      <a:avLst/>
                    </a:prstGeom>
                    <a:noFill/>
                  </pic:spPr>
                </pic:pic>
              </a:graphicData>
            </a:graphic>
          </wp:anchor>
        </w:drawing>
      </w:r>
    </w:p>
    <w:p>
      <w:pPr>
        <w:spacing w:after="0" w:line="19" w:lineRule="exact"/>
        <w:rPr>
          <w:sz w:val="20"/>
          <w:szCs w:val="20"/>
          <w:color w:val="auto"/>
        </w:rPr>
      </w:pPr>
    </w:p>
    <w:p>
      <w:pPr>
        <w:jc w:val="center"/>
        <w:ind w:right="430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ind w:right="430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4300"/>
        <w:spacing w:after="0"/>
        <w:rPr>
          <w:sz w:val="20"/>
          <w:szCs w:val="20"/>
          <w:color w:val="auto"/>
        </w:rPr>
      </w:pPr>
      <w:r>
        <w:rPr>
          <w:rFonts w:ascii="Arial" w:cs="Arial" w:eastAsia="Arial" w:hAnsi="Arial"/>
          <w:sz w:val="17"/>
          <w:szCs w:val="17"/>
          <w:color w:val="auto"/>
        </w:rPr>
        <w:t>(in thousands, except share data)</w:t>
      </w:r>
    </w:p>
    <w:p>
      <w:pPr>
        <w:spacing w:after="0" w:line="222" w:lineRule="exact"/>
        <w:rPr>
          <w:sz w:val="20"/>
          <w:szCs w:val="20"/>
          <w:color w:val="auto"/>
        </w:rPr>
      </w:pPr>
    </w:p>
    <w:tbl>
      <w:tblPr>
        <w:tblLayout w:type="fixed"/>
        <w:tblInd w:w="4120" w:type="dxa"/>
        <w:tblCellMar>
          <w:top w:w="0" w:type="dxa"/>
          <w:left w:w="0" w:type="dxa"/>
          <w:bottom w:w="0" w:type="dxa"/>
          <w:right w:w="0" w:type="dxa"/>
        </w:tblCellMar>
      </w:tblPr>
      <w:tr>
        <w:trPr>
          <w:trHeight w:val="229"/>
        </w:trPr>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gridSpan w:val="2"/>
          </w:tcPr>
          <w:p>
            <w:pPr>
              <w:jc w:val="right"/>
              <w:ind w:right="460"/>
              <w:spacing w:after="0"/>
              <w:rPr>
                <w:sz w:val="20"/>
                <w:szCs w:val="20"/>
                <w:color w:val="auto"/>
              </w:rPr>
            </w:pPr>
            <w:r>
              <w:rPr>
                <w:rFonts w:ascii="Arial" w:cs="Arial" w:eastAsia="Arial" w:hAnsi="Arial"/>
                <w:sz w:val="18"/>
                <w:szCs w:val="18"/>
                <w:color w:val="auto"/>
                <w:w w:val="99"/>
              </w:rPr>
              <w:t>March 31,</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w w:val="88"/>
              </w:rPr>
              <w:t>December 31,</w:t>
            </w:r>
          </w:p>
        </w:tc>
      </w:tr>
      <w:tr>
        <w:trPr>
          <w:trHeight w:val="230"/>
        </w:trPr>
        <w:tc>
          <w:tcPr>
            <w:tcW w:w="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2021</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2020</w:t>
            </w:r>
          </w:p>
        </w:tc>
      </w:tr>
      <w:tr>
        <w:trPr>
          <w:trHeight w:val="627"/>
        </w:trPr>
        <w:tc>
          <w:tcPr>
            <w:tcW w:w="180" w:type="dxa"/>
            <w:vAlign w:val="bottom"/>
            <w:gridSpan w:val="2"/>
          </w:tcPr>
          <w:p>
            <w:pPr>
              <w:jc w:val="right"/>
              <w:ind w:right="7"/>
              <w:spacing w:after="0"/>
              <w:rPr>
                <w:sz w:val="20"/>
                <w:szCs w:val="20"/>
                <w:color w:val="auto"/>
              </w:rPr>
            </w:pPr>
            <w:r>
              <w:rPr>
                <w:rFonts w:ascii="Arial" w:cs="Arial" w:eastAsia="Arial" w:hAnsi="Arial"/>
                <w:sz w:val="18"/>
                <w:szCs w:val="18"/>
                <w:color w:val="auto"/>
                <w:w w:val="79"/>
              </w:rPr>
              <w:t>$</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252,271</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114,634</w:t>
            </w:r>
          </w:p>
        </w:tc>
      </w:tr>
      <w:tr>
        <w:trPr>
          <w:trHeight w:val="216"/>
        </w:trPr>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5,997</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1,005</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4,736</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7,729</w:t>
            </w:r>
          </w:p>
        </w:tc>
      </w:tr>
      <w:tr>
        <w:trPr>
          <w:trHeight w:val="195"/>
        </w:trPr>
        <w:tc>
          <w:tcPr>
            <w:tcW w:w="2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264,009</w:t>
            </w: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122,363</w:t>
            </w:r>
          </w:p>
        </w:tc>
      </w:tr>
      <w:tr>
        <w:trPr>
          <w:trHeight w:val="216"/>
        </w:trPr>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2,095</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1,825</w:t>
            </w:r>
          </w:p>
        </w:tc>
      </w:tr>
      <w:tr>
        <w:trPr>
          <w:trHeight w:val="229"/>
        </w:trPr>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3,979</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4,569</w:t>
            </w:r>
          </w:p>
        </w:tc>
      </w:tr>
      <w:tr>
        <w:trPr>
          <w:trHeight w:val="230"/>
        </w:trPr>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4,833</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3,290</w:t>
            </w:r>
          </w:p>
        </w:tc>
      </w:tr>
      <w:tr>
        <w:trPr>
          <w:trHeight w:val="223"/>
        </w:trPr>
        <w:tc>
          <w:tcPr>
            <w:tcW w:w="2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274,916</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132,047</w:t>
            </w:r>
          </w:p>
        </w:tc>
      </w:tr>
      <w:tr>
        <w:trPr>
          <w:trHeight w:val="20"/>
        </w:trPr>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-2737485</wp:posOffset>
            </wp:positionH>
            <wp:positionV relativeFrom="paragraph">
              <wp:posOffset>-1584960</wp:posOffset>
            </wp:positionV>
            <wp:extent cx="7132320" cy="1454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-1302385</wp:posOffset>
            </wp:positionV>
            <wp:extent cx="7132320"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-1028065</wp:posOffset>
            </wp:positionV>
            <wp:extent cx="7132320"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-744855</wp:posOffset>
            </wp:positionV>
            <wp:extent cx="7132320" cy="1454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-462280</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-179070</wp:posOffset>
            </wp:positionV>
            <wp:extent cx="7132320" cy="1631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63195"/>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137160</wp:posOffset>
            </wp:positionV>
            <wp:extent cx="7132320" cy="137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597" w:lineRule="exact"/>
        <w:rPr>
          <w:sz w:val="20"/>
          <w:szCs w:val="20"/>
          <w:color w:val="auto"/>
        </w:rPr>
      </w:pPr>
    </w:p>
    <w:p>
      <w:pPr>
        <w:sectPr>
          <w:pgSz w:w="11900" w:h="16838" w:orient="portrait"/>
          <w:cols w:equalWidth="0" w:num="2">
            <w:col w:w="3700" w:space="620"/>
            <w:col w:w="6920"/>
          </w:cols>
          <w:pgMar w:left="320" w:top="1440" w:right="339" w:bottom="1440" w:gutter="0" w:footer="0" w:header="0"/>
        </w:sectPr>
      </w:pPr>
    </w:p>
    <w:p>
      <w:pPr>
        <w:spacing w:after="0" w:line="5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280" w:type="dxa"/>
            <w:vAlign w:val="bottom"/>
            <w:shd w:val="clear" w:color="auto" w:fill="CCEEFF"/>
          </w:tcPr>
          <w:p>
            <w:pPr>
              <w:spacing w:after="0"/>
              <w:rPr>
                <w:sz w:val="20"/>
                <w:szCs w:val="20"/>
                <w:color w:val="auto"/>
              </w:rPr>
            </w:pPr>
            <w:r>
              <w:rPr>
                <w:rFonts w:ascii="Arial" w:cs="Arial" w:eastAsia="Arial" w:hAnsi="Arial"/>
                <w:sz w:val="18"/>
                <w:szCs w:val="18"/>
                <w:color w:val="auto"/>
              </w:rPr>
              <w:t>LIABILITIES</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280" w:type="dxa"/>
            <w:vAlign w:val="bottom"/>
          </w:tcPr>
          <w:p>
            <w:pPr>
              <w:ind w:left="340"/>
              <w:spacing w:after="0"/>
              <w:rPr>
                <w:sz w:val="20"/>
                <w:szCs w:val="20"/>
                <w:color w:val="auto"/>
              </w:rPr>
            </w:pPr>
            <w:r>
              <w:rPr>
                <w:rFonts w:ascii="Arial" w:cs="Arial" w:eastAsia="Arial" w:hAnsi="Arial"/>
                <w:sz w:val="18"/>
                <w:szCs w:val="18"/>
                <w:color w:val="auto"/>
              </w:rPr>
              <w:t>Accounts payable</w:t>
            </w:r>
          </w:p>
        </w:tc>
        <w:tc>
          <w:tcPr>
            <w:tcW w:w="5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6,543</w:t>
            </w:r>
          </w:p>
        </w:tc>
        <w:tc>
          <w:tcPr>
            <w:tcW w:w="4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9,372</w:t>
            </w:r>
          </w:p>
        </w:tc>
      </w:tr>
      <w:tr>
        <w:trPr>
          <w:trHeight w:val="216"/>
        </w:trPr>
        <w:tc>
          <w:tcPr>
            <w:tcW w:w="8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Accrued liabilities</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8,486</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8,197</w:t>
            </w:r>
          </w:p>
        </w:tc>
      </w:tr>
      <w:tr>
        <w:trPr>
          <w:trHeight w:val="230"/>
        </w:trPr>
        <w:tc>
          <w:tcPr>
            <w:tcW w:w="8280" w:type="dxa"/>
            <w:vAlign w:val="bottom"/>
          </w:tcPr>
          <w:p>
            <w:pPr>
              <w:ind w:left="340"/>
              <w:spacing w:after="0"/>
              <w:rPr>
                <w:sz w:val="20"/>
                <w:szCs w:val="20"/>
                <w:color w:val="auto"/>
              </w:rPr>
            </w:pPr>
            <w:r>
              <w:rPr>
                <w:rFonts w:ascii="Arial" w:cs="Arial" w:eastAsia="Arial" w:hAnsi="Arial"/>
                <w:sz w:val="18"/>
                <w:szCs w:val="18"/>
                <w:color w:val="auto"/>
              </w:rPr>
              <w:t>Operating lease liabilities, current portion</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1,971</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1,966</w:t>
            </w:r>
          </w:p>
        </w:tc>
      </w:tr>
      <w:tr>
        <w:trPr>
          <w:trHeight w:val="209"/>
        </w:trPr>
        <w:tc>
          <w:tcPr>
            <w:tcW w:w="8280" w:type="dxa"/>
            <w:vAlign w:val="bottom"/>
            <w:tcBorders>
              <w:top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current liabilities</w:t>
            </w:r>
          </w:p>
        </w:tc>
        <w:tc>
          <w:tcPr>
            <w:tcW w:w="16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17,000</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19,535</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8280" w:type="dxa"/>
            <w:vAlign w:val="bottom"/>
          </w:tcPr>
          <w:p>
            <w:pPr>
              <w:ind w:left="340"/>
              <w:spacing w:after="0"/>
              <w:rPr>
                <w:sz w:val="20"/>
                <w:szCs w:val="20"/>
                <w:color w:val="auto"/>
              </w:rPr>
            </w:pPr>
            <w:r>
              <w:rPr>
                <w:rFonts w:ascii="Arial" w:cs="Arial" w:eastAsia="Arial" w:hAnsi="Arial"/>
                <w:sz w:val="18"/>
                <w:szCs w:val="18"/>
                <w:color w:val="auto"/>
              </w:rPr>
              <w:t>Accrued milestone and royalty payments</w:t>
            </w: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2,250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2,695</w:t>
            </w:r>
          </w:p>
        </w:tc>
      </w:tr>
      <w:tr>
        <w:trPr>
          <w:trHeight w:val="216"/>
        </w:trPr>
        <w:tc>
          <w:tcPr>
            <w:tcW w:w="8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Operating lease liabilities, long-term portion</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1,515</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2,013</w:t>
            </w:r>
          </w:p>
        </w:tc>
      </w:tr>
      <w:tr>
        <w:trPr>
          <w:trHeight w:val="230"/>
        </w:trPr>
        <w:tc>
          <w:tcPr>
            <w:tcW w:w="8280" w:type="dxa"/>
            <w:vAlign w:val="bottom"/>
          </w:tcPr>
          <w:p>
            <w:pPr>
              <w:ind w:left="340"/>
              <w:spacing w:after="0"/>
              <w:rPr>
                <w:sz w:val="20"/>
                <w:szCs w:val="20"/>
                <w:color w:val="auto"/>
              </w:rPr>
            </w:pPr>
            <w:r>
              <w:rPr>
                <w:rFonts w:ascii="Arial" w:cs="Arial" w:eastAsia="Arial" w:hAnsi="Arial"/>
                <w:sz w:val="18"/>
                <w:szCs w:val="18"/>
                <w:color w:val="auto"/>
              </w:rPr>
              <w:t>Other liabilities</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1,934</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1,968</w:t>
            </w:r>
          </w:p>
        </w:tc>
      </w:tr>
      <w:tr>
        <w:trPr>
          <w:trHeight w:val="210"/>
        </w:trPr>
        <w:tc>
          <w:tcPr>
            <w:tcW w:w="8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6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22,699</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26,211</w:t>
            </w:r>
          </w:p>
        </w:tc>
        <w:tc>
          <w:tcPr>
            <w:tcW w:w="100" w:type="dxa"/>
            <w:vAlign w:val="bottom"/>
            <w:tcBorders>
              <w:top w:val="single" w:sz="8" w:color="CCEEFF"/>
            </w:tcBorders>
            <w:shd w:val="clear" w:color="auto" w:fill="CCEEFF"/>
          </w:tcPr>
          <w:p>
            <w:pPr>
              <w:spacing w:after="0"/>
              <w:rPr>
                <w:sz w:val="18"/>
                <w:szCs w:val="18"/>
                <w:color w:val="auto"/>
              </w:rPr>
            </w:pPr>
          </w:p>
        </w:tc>
      </w:tr>
      <w:tr>
        <w:trPr>
          <w:trHeight w:val="209"/>
        </w:trPr>
        <w:tc>
          <w:tcPr>
            <w:tcW w:w="8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28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02"/>
        </w:trPr>
        <w:tc>
          <w:tcPr>
            <w:tcW w:w="8280" w:type="dxa"/>
            <w:vAlign w:val="bottom"/>
          </w:tcPr>
          <w:p>
            <w:pPr>
              <w:ind w:left="180"/>
              <w:spacing w:after="0" w:line="201" w:lineRule="exact"/>
              <w:rPr>
                <w:sz w:val="20"/>
                <w:szCs w:val="20"/>
                <w:color w:val="auto"/>
              </w:rPr>
            </w:pPr>
            <w:r>
              <w:rPr>
                <w:rFonts w:ascii="Arial" w:cs="Arial" w:eastAsia="Arial" w:hAnsi="Arial"/>
                <w:sz w:val="18"/>
                <w:szCs w:val="18"/>
                <w:color w:val="auto"/>
                <w:w w:val="93"/>
              </w:rPr>
              <w:t>Preferred stock, $0.0001 par value, 5,500,000 shares authorized at March 31, 2021 and December 31, 2020;</w:t>
            </w: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8280" w:type="dxa"/>
            <w:vAlign w:val="bottom"/>
          </w:tcPr>
          <w:p>
            <w:pPr>
              <w:ind w:left="340"/>
              <w:spacing w:after="0"/>
              <w:rPr>
                <w:sz w:val="20"/>
                <w:szCs w:val="20"/>
                <w:color w:val="auto"/>
              </w:rPr>
            </w:pPr>
            <w:r>
              <w:rPr>
                <w:rFonts w:ascii="Arial" w:cs="Arial" w:eastAsia="Arial" w:hAnsi="Arial"/>
                <w:sz w:val="18"/>
                <w:szCs w:val="18"/>
                <w:color w:val="auto"/>
              </w:rPr>
              <w:t>none issued at March 31, 2021 and December 31, 2020</w:t>
            </w: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8280" w:type="dxa"/>
            <w:vAlign w:val="bottom"/>
            <w:shd w:val="clear" w:color="auto" w:fill="CCEEFF"/>
          </w:tcPr>
          <w:p>
            <w:pPr>
              <w:ind w:left="180"/>
              <w:spacing w:after="0" w:line="201" w:lineRule="exact"/>
              <w:rPr>
                <w:sz w:val="20"/>
                <w:szCs w:val="20"/>
                <w:color w:val="auto"/>
              </w:rPr>
            </w:pPr>
            <w:r>
              <w:rPr>
                <w:rFonts w:ascii="Arial" w:cs="Arial" w:eastAsia="Arial" w:hAnsi="Arial"/>
                <w:sz w:val="18"/>
                <w:szCs w:val="18"/>
                <w:color w:val="auto"/>
                <w:w w:val="91"/>
              </w:rPr>
              <w:t>Common stock, $0.0001 par value, 100,000,000 shares authorized at March 31, 2021 and December 31, 2020;</w:t>
            </w: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82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43,548,419 and 40,688,447 shares issued at March 31, 2021 and December 31, 2020, respectively</w:t>
            </w: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w:t>
            </w:r>
          </w:p>
        </w:tc>
        <w:tc>
          <w:tcPr>
            <w:tcW w:w="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w:t>
            </w:r>
          </w:p>
        </w:tc>
      </w:tr>
      <w:tr>
        <w:trPr>
          <w:trHeight w:val="216"/>
        </w:trPr>
        <w:tc>
          <w:tcPr>
            <w:tcW w:w="8280" w:type="dxa"/>
            <w:vAlign w:val="bottom"/>
          </w:tcPr>
          <w:p>
            <w:pPr>
              <w:ind w:left="180"/>
              <w:spacing w:after="0"/>
              <w:rPr>
                <w:sz w:val="20"/>
                <w:szCs w:val="20"/>
                <w:color w:val="auto"/>
              </w:rPr>
            </w:pPr>
            <w:r>
              <w:rPr>
                <w:rFonts w:ascii="Arial" w:cs="Arial" w:eastAsia="Arial" w:hAnsi="Arial"/>
                <w:sz w:val="18"/>
                <w:szCs w:val="18"/>
                <w:color w:val="auto"/>
              </w:rPr>
              <w:t>Additional paid in capital</w:t>
            </w: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504,091</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391,558</w:t>
            </w:r>
          </w:p>
        </w:tc>
      </w:tr>
      <w:tr>
        <w:trPr>
          <w:trHeight w:val="216"/>
        </w:trPr>
        <w:tc>
          <w:tcPr>
            <w:tcW w:w="8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Accumulated other comprehensive income / (loss)</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(91)</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(526)</w:t>
            </w:r>
          </w:p>
        </w:tc>
      </w:tr>
      <w:tr>
        <w:trPr>
          <w:trHeight w:val="230"/>
        </w:trPr>
        <w:tc>
          <w:tcPr>
            <w:tcW w:w="8280" w:type="dxa"/>
            <w:vAlign w:val="bottom"/>
          </w:tcPr>
          <w:p>
            <w:pPr>
              <w:ind w:left="180"/>
              <w:spacing w:after="0"/>
              <w:rPr>
                <w:sz w:val="20"/>
                <w:szCs w:val="20"/>
                <w:color w:val="auto"/>
              </w:rPr>
            </w:pPr>
            <w:r>
              <w:rPr>
                <w:rFonts w:ascii="Arial" w:cs="Arial" w:eastAsia="Arial" w:hAnsi="Arial"/>
                <w:sz w:val="18"/>
                <w:szCs w:val="18"/>
                <w:color w:val="auto"/>
              </w:rPr>
              <w:t>Accumulated deficit</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(251,787)</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(285,200)</w:t>
            </w:r>
          </w:p>
        </w:tc>
      </w:tr>
      <w:tr>
        <w:trPr>
          <w:trHeight w:val="209"/>
        </w:trPr>
        <w:tc>
          <w:tcPr>
            <w:tcW w:w="8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16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252,217</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105,836</w:t>
            </w:r>
          </w:p>
        </w:tc>
        <w:tc>
          <w:tcPr>
            <w:tcW w:w="100" w:type="dxa"/>
            <w:vAlign w:val="bottom"/>
            <w:tcBorders>
              <w:top w:val="single" w:sz="8" w:color="CCEEFF"/>
            </w:tcBorders>
            <w:shd w:val="clear" w:color="auto" w:fill="CCEEFF"/>
          </w:tcPr>
          <w:p>
            <w:pPr>
              <w:spacing w:after="0"/>
              <w:rPr>
                <w:sz w:val="18"/>
                <w:szCs w:val="18"/>
                <w:color w:val="auto"/>
              </w:rPr>
            </w:pPr>
          </w:p>
        </w:tc>
      </w:tr>
      <w:tr>
        <w:trPr>
          <w:trHeight w:val="210"/>
        </w:trPr>
        <w:tc>
          <w:tcPr>
            <w:tcW w:w="8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828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AND STOCKHOLDERS’ EQUITY</w:t>
            </w:r>
          </w:p>
        </w:tc>
        <w:tc>
          <w:tcPr>
            <w:tcW w:w="5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274,916</w:t>
            </w: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132,047</w:t>
            </w:r>
          </w:p>
        </w:tc>
      </w:tr>
      <w:tr>
        <w:trPr>
          <w:trHeight w:val="20"/>
        </w:trPr>
        <w:tc>
          <w:tcPr>
            <w:tcW w:w="82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r>
        <w:trPr>
          <w:trHeight w:val="656"/>
        </w:trPr>
        <w:tc>
          <w:tcPr>
            <w:tcW w:w="8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440" w:right="339" w:bottom="1440" w:gutter="0" w:footer="0" w:header="0"/>
          <w:type w:val="continuous"/>
        </w:sectPr>
      </w:pPr>
    </w:p>
    <w:bookmarkStart w:id="8" w:name="page9"/>
    <w:bookmarkEnd w:id="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4477385</wp:posOffset>
            </wp:positionH>
            <wp:positionV relativeFrom="page">
              <wp:posOffset>586105</wp:posOffset>
            </wp:positionV>
            <wp:extent cx="2837180" cy="8229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2837180" cy="8229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Y-MABS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Net Income/(Loss) and Comprehensive Income/(Loss)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and per share data)</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spacing w:after="0"/>
              <w:rPr>
                <w:sz w:val="20"/>
                <w:szCs w:val="20"/>
                <w:color w:val="auto"/>
              </w:rPr>
            </w:pPr>
          </w:p>
        </w:tc>
        <w:tc>
          <w:tcPr>
            <w:tcW w:w="2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40" w:type="dxa"/>
            <w:vAlign w:val="bottom"/>
            <w:gridSpan w:val="6"/>
          </w:tcPr>
          <w:p>
            <w:pPr>
              <w:jc w:val="right"/>
              <w:ind w:right="241"/>
              <w:spacing w:after="0"/>
              <w:rPr>
                <w:sz w:val="20"/>
                <w:szCs w:val="20"/>
                <w:color w:val="auto"/>
              </w:rPr>
            </w:pPr>
            <w:r>
              <w:rPr>
                <w:rFonts w:ascii="Arial" w:cs="Arial" w:eastAsia="Arial" w:hAnsi="Arial"/>
                <w:sz w:val="18"/>
                <w:szCs w:val="18"/>
                <w:color w:val="auto"/>
                <w:w w:val="91"/>
              </w:rPr>
              <w:t>Three months ended March 31,</w:t>
            </w:r>
          </w:p>
        </w:tc>
      </w:tr>
      <w:tr>
        <w:trPr>
          <w:trHeight w:val="223"/>
        </w:trPr>
        <w:tc>
          <w:tcPr>
            <w:tcW w:w="5720" w:type="dxa"/>
            <w:vAlign w:val="bottom"/>
            <w:tcBorders>
              <w:bottom w:val="single" w:sz="8" w:color="CCEEFF"/>
            </w:tcBorders>
          </w:tcPr>
          <w:p>
            <w:pPr>
              <w:spacing w:after="0"/>
              <w:rPr>
                <w:sz w:val="19"/>
                <w:szCs w:val="19"/>
                <w:color w:val="auto"/>
              </w:rPr>
            </w:pPr>
          </w:p>
        </w:tc>
        <w:tc>
          <w:tcPr>
            <w:tcW w:w="2720" w:type="dxa"/>
            <w:vAlign w:val="bottom"/>
            <w:tcBorders>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color w:val="auto"/>
              </w:rPr>
              <w:t>2021</w:t>
            </w:r>
          </w:p>
        </w:tc>
        <w:tc>
          <w:tcPr>
            <w:tcW w:w="14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color w:val="auto"/>
              </w:rPr>
              <w:t>2020</w:t>
            </w:r>
          </w:p>
        </w:tc>
        <w:tc>
          <w:tcPr>
            <w:tcW w:w="100" w:type="dxa"/>
            <w:vAlign w:val="bottom"/>
            <w:tcBorders>
              <w:bottom w:val="single" w:sz="8" w:color="CCEEFF"/>
            </w:tcBorders>
          </w:tcPr>
          <w:p>
            <w:pPr>
              <w:spacing w:after="0"/>
              <w:rPr>
                <w:sz w:val="19"/>
                <w:szCs w:val="19"/>
                <w:color w:val="auto"/>
              </w:rPr>
            </w:pPr>
          </w:p>
        </w:tc>
      </w:tr>
      <w:tr>
        <w:trPr>
          <w:trHeight w:val="209"/>
        </w:trPr>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2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720" w:type="dxa"/>
            <w:vAlign w:val="bottom"/>
          </w:tcPr>
          <w:p>
            <w:pPr>
              <w:ind w:left="360"/>
              <w:spacing w:after="0"/>
              <w:rPr>
                <w:sz w:val="20"/>
                <w:szCs w:val="20"/>
                <w:color w:val="auto"/>
              </w:rPr>
            </w:pPr>
            <w:r>
              <w:rPr>
                <w:rFonts w:ascii="Arial" w:cs="Arial" w:eastAsia="Arial" w:hAnsi="Arial"/>
                <w:sz w:val="18"/>
                <w:szCs w:val="18"/>
                <w:color w:val="auto"/>
              </w:rPr>
              <w:t>Product revenue, net</w:t>
            </w:r>
          </w:p>
        </w:tc>
        <w:tc>
          <w:tcPr>
            <w:tcW w:w="28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61"/>
              <w:spacing w:after="0"/>
              <w:rPr>
                <w:sz w:val="20"/>
                <w:szCs w:val="20"/>
                <w:color w:val="auto"/>
              </w:rPr>
            </w:pPr>
            <w:r>
              <w:rPr>
                <w:rFonts w:ascii="Arial" w:cs="Arial" w:eastAsia="Arial" w:hAnsi="Arial"/>
                <w:sz w:val="18"/>
                <w:szCs w:val="18"/>
                <w:color w:val="auto"/>
              </w:rPr>
              <w:t>5,383</w:t>
            </w:r>
          </w:p>
        </w:tc>
        <w:tc>
          <w:tcPr>
            <w:tcW w:w="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OPERATING COSTS AND EXPENSES</w:t>
            </w:r>
          </w:p>
        </w:tc>
        <w:tc>
          <w:tcPr>
            <w:tcW w:w="2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720" w:type="dxa"/>
            <w:vAlign w:val="bottom"/>
          </w:tcPr>
          <w:p>
            <w:pPr>
              <w:ind w:left="360"/>
              <w:spacing w:after="0"/>
              <w:rPr>
                <w:sz w:val="20"/>
                <w:szCs w:val="20"/>
                <w:color w:val="auto"/>
              </w:rPr>
            </w:pPr>
            <w:r>
              <w:rPr>
                <w:rFonts w:ascii="Arial" w:cs="Arial" w:eastAsia="Arial" w:hAnsi="Arial"/>
                <w:sz w:val="18"/>
                <w:szCs w:val="18"/>
                <w:color w:val="auto"/>
              </w:rPr>
              <w:t>Cost of goods sold</w:t>
            </w:r>
          </w:p>
        </w:tc>
        <w:tc>
          <w:tcPr>
            <w:tcW w:w="2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gridSpan w:val="2"/>
          </w:tcPr>
          <w:p>
            <w:pPr>
              <w:jc w:val="right"/>
              <w:ind w:right="61"/>
              <w:spacing w:after="0"/>
              <w:rPr>
                <w:sz w:val="20"/>
                <w:szCs w:val="20"/>
                <w:color w:val="auto"/>
              </w:rPr>
            </w:pPr>
            <w:r>
              <w:rPr>
                <w:rFonts w:ascii="Arial" w:cs="Arial" w:eastAsia="Arial" w:hAnsi="Arial"/>
                <w:sz w:val="18"/>
                <w:szCs w:val="18"/>
                <w:color w:val="auto"/>
              </w:rPr>
              <w:t>93</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7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Research and development</w:t>
            </w:r>
          </w:p>
        </w:tc>
        <w:tc>
          <w:tcPr>
            <w:tcW w:w="2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21,579</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18,622</w:t>
            </w:r>
          </w:p>
        </w:tc>
      </w:tr>
      <w:tr>
        <w:trPr>
          <w:trHeight w:val="229"/>
        </w:trPr>
        <w:tc>
          <w:tcPr>
            <w:tcW w:w="5720" w:type="dxa"/>
            <w:vAlign w:val="bottom"/>
          </w:tcPr>
          <w:p>
            <w:pPr>
              <w:ind w:left="360"/>
              <w:spacing w:after="0"/>
              <w:rPr>
                <w:sz w:val="20"/>
                <w:szCs w:val="20"/>
                <w:color w:val="auto"/>
              </w:rPr>
            </w:pPr>
            <w:r>
              <w:rPr>
                <w:rFonts w:ascii="Arial" w:cs="Arial" w:eastAsia="Arial" w:hAnsi="Arial"/>
                <w:sz w:val="18"/>
                <w:szCs w:val="18"/>
                <w:color w:val="auto"/>
              </w:rPr>
              <w:t>Selling, general, and administrative</w:t>
            </w:r>
          </w:p>
        </w:tc>
        <w:tc>
          <w:tcPr>
            <w:tcW w:w="2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gridSpan w:val="2"/>
          </w:tcPr>
          <w:p>
            <w:pPr>
              <w:jc w:val="right"/>
              <w:ind w:right="61"/>
              <w:spacing w:after="0"/>
              <w:rPr>
                <w:sz w:val="20"/>
                <w:szCs w:val="20"/>
                <w:color w:val="auto"/>
              </w:rPr>
            </w:pPr>
            <w:r>
              <w:rPr>
                <w:rFonts w:ascii="Arial" w:cs="Arial" w:eastAsia="Arial" w:hAnsi="Arial"/>
                <w:sz w:val="18"/>
                <w:szCs w:val="18"/>
                <w:color w:val="auto"/>
              </w:rPr>
              <w:t>11,970</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8,125</w:t>
            </w:r>
          </w:p>
        </w:tc>
      </w:tr>
      <w:tr>
        <w:trPr>
          <w:trHeight w:val="210"/>
        </w:trPr>
        <w:tc>
          <w:tcPr>
            <w:tcW w:w="57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operating costs and expenses</w:t>
            </w:r>
          </w:p>
        </w:tc>
        <w:tc>
          <w:tcPr>
            <w:tcW w:w="27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33,642</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26,747</w:t>
            </w:r>
          </w:p>
        </w:tc>
        <w:tc>
          <w:tcPr>
            <w:tcW w:w="100" w:type="dxa"/>
            <w:vAlign w:val="bottom"/>
            <w:tcBorders>
              <w:top w:val="single" w:sz="8" w:color="CCEEFF"/>
            </w:tcBorders>
            <w:shd w:val="clear" w:color="auto" w:fill="CCEEFF"/>
          </w:tcPr>
          <w:p>
            <w:pPr>
              <w:spacing w:after="0"/>
              <w:rPr>
                <w:sz w:val="18"/>
                <w:szCs w:val="18"/>
                <w:color w:val="auto"/>
              </w:rPr>
            </w:pPr>
          </w:p>
        </w:tc>
      </w:tr>
      <w:tr>
        <w:trPr>
          <w:trHeight w:val="209"/>
        </w:trPr>
        <w:tc>
          <w:tcPr>
            <w:tcW w:w="57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Loss from operations</w:t>
            </w:r>
          </w:p>
        </w:tc>
        <w:tc>
          <w:tcPr>
            <w:tcW w:w="27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(28,259</w:t>
            </w:r>
          </w:p>
        </w:tc>
        <w:tc>
          <w:tcPr>
            <w:tcW w:w="140" w:type="dxa"/>
            <w:vAlign w:val="bottom"/>
            <w:tcBorders>
              <w:bottom w:val="single" w:sz="8" w:color="CCEEFF"/>
            </w:tcBorders>
          </w:tcPr>
          <w:p>
            <w:pPr>
              <w:jc w:val="right"/>
              <w:ind w:right="1"/>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(26,747</w:t>
            </w:r>
          </w:p>
        </w:tc>
        <w:tc>
          <w:tcPr>
            <w:tcW w:w="1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5720" w:type="dxa"/>
            <w:vAlign w:val="bottom"/>
            <w:shd w:val="clear" w:color="auto" w:fill="CCEEFF"/>
          </w:tcPr>
          <w:p>
            <w:pPr>
              <w:spacing w:after="0"/>
              <w:rPr>
                <w:sz w:val="18"/>
                <w:szCs w:val="18"/>
                <w:color w:val="auto"/>
              </w:rPr>
            </w:pPr>
          </w:p>
        </w:tc>
        <w:tc>
          <w:tcPr>
            <w:tcW w:w="2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bl>
    <w:p>
      <w:pPr>
        <w:spacing w:after="0" w:line="1" w:lineRule="exact"/>
        <w:rPr>
          <w:sz w:val="20"/>
          <w:szCs w:val="20"/>
          <w:color w:val="auto"/>
        </w:rPr>
      </w:pPr>
    </w:p>
    <w:p>
      <w:pPr>
        <w:sectPr>
          <w:pgSz w:w="11900" w:h="16838" w:orient="portrait"/>
          <w:cols w:equalWidth="0" w:num="1">
            <w:col w:w="11240"/>
          </w:cols>
          <w:pgMar w:left="320" w:top="1440" w:right="339" w:bottom="1440" w:gutter="0" w:footer="0" w:header="0"/>
        </w:sectPr>
      </w:pPr>
    </w:p>
    <w:p>
      <w:pPr>
        <w:spacing w:after="0"/>
        <w:rPr>
          <w:sz w:val="20"/>
          <w:szCs w:val="20"/>
          <w:color w:val="auto"/>
        </w:rPr>
      </w:pPr>
      <w:r>
        <w:rPr>
          <w:rFonts w:ascii="Arial" w:cs="Arial" w:eastAsia="Arial" w:hAnsi="Arial"/>
          <w:sz w:val="18"/>
          <w:szCs w:val="18"/>
          <w:color w:val="auto"/>
        </w:rPr>
        <w:t>OTHER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360"/>
        <w:spacing w:after="0"/>
        <w:rPr>
          <w:sz w:val="20"/>
          <w:szCs w:val="20"/>
          <w:color w:val="auto"/>
        </w:rPr>
      </w:pPr>
      <w:r>
        <w:rPr>
          <w:rFonts w:ascii="Arial" w:cs="Arial" w:eastAsia="Arial" w:hAnsi="Arial"/>
          <w:sz w:val="16"/>
          <w:szCs w:val="16"/>
          <w:color w:val="auto"/>
        </w:rPr>
        <w:t>Gain from sale of priority review voucher</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Interest and other income, net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NET INCOME /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25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62,010</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(338)</w:t>
            </w:r>
          </w:p>
        </w:tc>
        <w:tc>
          <w:tcPr>
            <w:tcW w:w="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568</w:t>
            </w:r>
          </w:p>
        </w:tc>
        <w:tc>
          <w:tcPr>
            <w:tcW w:w="60" w:type="dxa"/>
            <w:vAlign w:val="bottom"/>
            <w:vMerge w:val="restart"/>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0" w:type="dxa"/>
            <w:vAlign w:val="bottom"/>
            <w:tcBorders>
              <w:top w:val="single" w:sz="8" w:color="auto"/>
              <w:bottom w:val="single" w:sz="8" w:color="auto"/>
            </w:tcBorders>
          </w:tcPr>
          <w:p>
            <w:pPr>
              <w:jc w:val="right"/>
              <w:ind w:right="24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33,413</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(26,179</w:t>
            </w:r>
          </w:p>
        </w:tc>
        <w:tc>
          <w:tcPr>
            <w:tcW w:w="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720" w:space="720"/>
            <w:col w:w="2800"/>
          </w:cols>
          <w:pgMar w:left="320" w:top="1440" w:right="339" w:bottom="1440" w:gutter="0" w:footer="0" w:header="0"/>
          <w:type w:val="continuous"/>
        </w:sectPr>
      </w:pP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Other comprehensive income</w:t>
            </w:r>
          </w:p>
        </w:tc>
        <w:tc>
          <w:tcPr>
            <w:tcW w:w="1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860" w:type="dxa"/>
            <w:vAlign w:val="bottom"/>
          </w:tcPr>
          <w:p>
            <w:pPr>
              <w:ind w:left="360"/>
              <w:spacing w:after="0"/>
              <w:rPr>
                <w:sz w:val="20"/>
                <w:szCs w:val="20"/>
                <w:color w:val="auto"/>
              </w:rPr>
            </w:pPr>
            <w:r>
              <w:rPr>
                <w:rFonts w:ascii="Arial" w:cs="Arial" w:eastAsia="Arial" w:hAnsi="Arial"/>
                <w:sz w:val="18"/>
                <w:szCs w:val="18"/>
                <w:color w:val="auto"/>
              </w:rPr>
              <w:t>Foreign currency translation</w:t>
            </w:r>
          </w:p>
        </w:tc>
        <w:tc>
          <w:tcPr>
            <w:tcW w:w="15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435</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25</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8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COMPREHENSIVE INCOME / (LOSS)</w:t>
            </w:r>
          </w:p>
        </w:tc>
        <w:tc>
          <w:tcPr>
            <w:tcW w:w="158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33,848</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(26,154</w:t>
            </w:r>
          </w:p>
        </w:tc>
        <w:tc>
          <w:tcPr>
            <w:tcW w:w="100" w:type="dxa"/>
            <w:vAlign w:val="bottom"/>
            <w:tcBorders>
              <w:top w:val="single" w:sz="8" w:color="CCEEFF"/>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68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8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Net income/(loss) per share attributable to common stockholders, basic</w:t>
            </w:r>
          </w:p>
        </w:tc>
        <w:tc>
          <w:tcPr>
            <w:tcW w:w="18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0.80</w:t>
            </w:r>
          </w:p>
        </w:tc>
        <w:tc>
          <w:tcPr>
            <w:tcW w:w="36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(0.66)</w:t>
            </w:r>
          </w:p>
        </w:tc>
        <w:tc>
          <w:tcPr>
            <w:tcW w:w="0" w:type="dxa"/>
            <w:vAlign w:val="bottom"/>
          </w:tcPr>
          <w:p>
            <w:pPr>
              <w:spacing w:after="0"/>
              <w:rPr>
                <w:sz w:val="1"/>
                <w:szCs w:val="1"/>
                <w:color w:val="auto"/>
              </w:rPr>
            </w:pPr>
          </w:p>
        </w:tc>
      </w:tr>
      <w:tr>
        <w:trPr>
          <w:trHeight w:val="20"/>
        </w:trPr>
        <w:tc>
          <w:tcPr>
            <w:tcW w:w="68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Weighted average common shares outstanding, basic</w:t>
            </w:r>
          </w:p>
        </w:tc>
        <w:tc>
          <w:tcPr>
            <w:tcW w:w="15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CCEEFF"/>
            </w:tcBorders>
            <w:vMerge w:val="restart"/>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6860" w:type="dxa"/>
            <w:vAlign w:val="bottom"/>
            <w:tcBorders>
              <w:bottom w:val="single" w:sz="8" w:color="CCEEFF"/>
            </w:tcBorders>
            <w:vMerge w:val="continue"/>
          </w:tcPr>
          <w:p>
            <w:pPr>
              <w:spacing w:after="0"/>
              <w:rPr>
                <w:sz w:val="20"/>
                <w:szCs w:val="20"/>
                <w:color w:val="auto"/>
              </w:rPr>
            </w:pPr>
          </w:p>
        </w:tc>
        <w:tc>
          <w:tcPr>
            <w:tcW w:w="1580" w:type="dxa"/>
            <w:vAlign w:val="bottom"/>
            <w:tcBorders>
              <w:bottom w:val="single" w:sz="8" w:color="CCEEFF"/>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41,870,759</w:t>
            </w:r>
          </w:p>
        </w:tc>
        <w:tc>
          <w:tcPr>
            <w:tcW w:w="120" w:type="dxa"/>
            <w:vAlign w:val="bottom"/>
            <w:tcBorders>
              <w:bottom w:val="single" w:sz="8" w:color="CCEEFF"/>
            </w:tcBorders>
            <w:vMerge w:val="continue"/>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39,753,583</w:t>
            </w:r>
          </w:p>
        </w:tc>
        <w:tc>
          <w:tcPr>
            <w:tcW w:w="20" w:type="dxa"/>
            <w:vAlign w:val="bottom"/>
            <w:tcBorders>
              <w:bottom w:val="single" w:sz="8" w:color="CCEEFF"/>
            </w:tcBorders>
            <w:vMerge w:val="continue"/>
          </w:tcPr>
          <w:p>
            <w:pPr>
              <w:spacing w:after="0"/>
              <w:rPr>
                <w:sz w:val="20"/>
                <w:szCs w:val="20"/>
                <w:color w:val="auto"/>
              </w:rPr>
            </w:pPr>
          </w:p>
        </w:tc>
        <w:tc>
          <w:tcPr>
            <w:tcW w:w="8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6860" w:type="dxa"/>
            <w:vAlign w:val="bottom"/>
            <w:tcBorders>
              <w:bottom w:val="single" w:sz="8" w:color="CCEEFF"/>
            </w:tcBorders>
            <w:shd w:val="clear" w:color="auto" w:fill="CCEEFF"/>
          </w:tcPr>
          <w:p>
            <w:pPr>
              <w:spacing w:after="0" w:line="190" w:lineRule="exact"/>
              <w:rPr>
                <w:sz w:val="20"/>
                <w:szCs w:val="20"/>
                <w:color w:val="auto"/>
              </w:rPr>
            </w:pPr>
            <w:r>
              <w:rPr>
                <w:rFonts w:ascii="Arial" w:cs="Arial" w:eastAsia="Arial" w:hAnsi="Arial"/>
                <w:sz w:val="18"/>
                <w:szCs w:val="18"/>
                <w:color w:val="auto"/>
              </w:rPr>
              <w:t>Net income/(loss) per share attributable to common stockholders, diluted</w:t>
            </w:r>
          </w:p>
        </w:tc>
        <w:tc>
          <w:tcPr>
            <w:tcW w:w="158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0.75</w:t>
            </w:r>
          </w:p>
        </w:tc>
        <w:tc>
          <w:tcPr>
            <w:tcW w:w="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(0.66</w:t>
            </w:r>
          </w:p>
        </w:tc>
        <w:tc>
          <w:tcPr>
            <w:tcW w:w="10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6860" w:type="dxa"/>
            <w:vAlign w:val="bottom"/>
            <w:vMerge w:val="restart"/>
          </w:tcPr>
          <w:p>
            <w:pPr>
              <w:spacing w:after="0"/>
              <w:rPr>
                <w:sz w:val="20"/>
                <w:szCs w:val="20"/>
                <w:color w:val="auto"/>
              </w:rPr>
            </w:pPr>
            <w:r>
              <w:rPr>
                <w:rFonts w:ascii="Arial" w:cs="Arial" w:eastAsia="Arial" w:hAnsi="Arial"/>
                <w:sz w:val="18"/>
                <w:szCs w:val="18"/>
                <w:color w:val="auto"/>
              </w:rPr>
              <w:t>Weighted average common shares outstanding, diluted</w:t>
            </w:r>
          </w:p>
        </w:tc>
        <w:tc>
          <w:tcPr>
            <w:tcW w:w="15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860" w:type="dxa"/>
            <w:vAlign w:val="bottom"/>
            <w:vMerge w:val="continue"/>
          </w:tcPr>
          <w:p>
            <w:pPr>
              <w:spacing w:after="0"/>
              <w:rPr>
                <w:sz w:val="17"/>
                <w:szCs w:val="17"/>
                <w:color w:val="auto"/>
              </w:rPr>
            </w:pPr>
          </w:p>
        </w:tc>
        <w:tc>
          <w:tcPr>
            <w:tcW w:w="158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44,383,791</w:t>
            </w:r>
          </w:p>
        </w:tc>
        <w:tc>
          <w:tcPr>
            <w:tcW w:w="1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39,753,583</w:t>
            </w:r>
          </w:p>
        </w:tc>
        <w:tc>
          <w:tcPr>
            <w:tcW w:w="20" w:type="dxa"/>
            <w:vAlign w:val="bottom"/>
            <w:tcBorders>
              <w:bottom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8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440"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2021-05-06T16:04:25Z</dcterms:created>
  <dcterms:modified xsi:type="dcterms:W3CDTF">2021-05-06T16:04:25Z</dcterms:modified>
</cp:coreProperties>
</file>