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52" w:lineRule="exact"/>
        <w:rPr>
          <w:sz w:val="24"/>
          <w:szCs w:val="24"/>
          <w:color w:val="auto"/>
        </w:rPr>
      </w:pPr>
    </w:p>
    <w:p>
      <w:pPr>
        <w:jc w:val="center"/>
        <w:ind w:right="-39"/>
        <w:spacing w:after="0" w:line="265" w:lineRule="exact"/>
        <w:rPr>
          <w:sz w:val="20"/>
          <w:szCs w:val="20"/>
          <w:color w:val="auto"/>
        </w:rPr>
      </w:pPr>
      <w:r>
        <w:rPr>
          <w:rFonts w:ascii="Arial" w:cs="Arial" w:eastAsia="Arial" w:hAnsi="Arial"/>
          <w:sz w:val="23"/>
          <w:szCs w:val="23"/>
          <w:b w:val="1"/>
          <w:bCs w:val="1"/>
          <w:color w:val="auto"/>
        </w:rPr>
        <w:t>FORM 10</w:t>
      </w:r>
      <w:r>
        <w:rPr>
          <w:rFonts w:ascii="MS PGothic" w:cs="MS PGothic" w:eastAsia="MS PGothic" w:hAnsi="MS PGothic"/>
          <w:sz w:val="23"/>
          <w:szCs w:val="23"/>
          <w:b w:val="1"/>
          <w:bCs w:val="1"/>
          <w:color w:val="auto"/>
        </w:rPr>
        <w:t>‑</w:t>
      </w:r>
      <w:r>
        <w:rPr>
          <w:rFonts w:ascii="Arial" w:cs="Arial" w:eastAsia="Arial" w:hAnsi="Arial"/>
          <w:sz w:val="23"/>
          <w:szCs w:val="23"/>
          <w:b w:val="1"/>
          <w:bCs w:val="1"/>
          <w:color w:val="auto"/>
        </w:rPr>
        <w:t>K</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0" w:lineRule="exact"/>
        <w:rPr>
          <w:sz w:val="24"/>
          <w:szCs w:val="24"/>
          <w:color w:val="auto"/>
        </w:rPr>
      </w:pPr>
    </w:p>
    <w:p>
      <w:pPr>
        <w:ind w:left="4160" w:right="3440" w:hanging="3845"/>
        <w:spacing w:after="0" w:line="399" w:lineRule="auto"/>
        <w:tabs>
          <w:tab w:leader="none" w:pos="756"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 For the fiscal year ended December 31, 2018.</w:t>
      </w:r>
    </w:p>
    <w:p>
      <w:pPr>
        <w:ind w:left="5100"/>
        <w:spacing w:after="0"/>
        <w:rPr>
          <w:rFonts w:ascii="MS PGothic" w:cs="MS PGothic" w:eastAsia="MS PGothic" w:hAnsi="MS PGothic"/>
          <w:sz w:val="12"/>
          <w:szCs w:val="12"/>
          <w:color w:val="auto"/>
          <w:highlight w:val="black"/>
        </w:rPr>
      </w:pPr>
      <w:r>
        <w:rPr>
          <w:rFonts w:ascii="Arial" w:cs="Arial" w:eastAsia="Arial" w:hAnsi="Arial"/>
          <w:sz w:val="13"/>
          <w:szCs w:val="13"/>
          <w:b w:val="1"/>
          <w:bCs w:val="1"/>
          <w:color w:val="auto"/>
        </w:rPr>
        <w:t>OR</w:t>
      </w:r>
    </w:p>
    <w:p>
      <w:pPr>
        <w:spacing w:after="0" w:line="80"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80" w:lineRule="exact"/>
        <w:rPr>
          <w:sz w:val="24"/>
          <w:szCs w:val="24"/>
          <w:color w:val="auto"/>
        </w:rPr>
      </w:pPr>
    </w:p>
    <w:p>
      <w:pPr>
        <w:jc w:val="center"/>
        <w:ind w:right="-59"/>
        <w:spacing w:after="0"/>
        <w:tabs>
          <w:tab w:leader="none" w:pos="6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9"/>
          <w:szCs w:val="9"/>
          <w:b w:val="1"/>
          <w:bCs w:val="1"/>
          <w:color w:val="auto"/>
        </w:rPr>
        <w:t>to</w:t>
      </w:r>
    </w:p>
    <w:p>
      <w:pPr>
        <w:spacing w:after="0" w:line="80" w:lineRule="exact"/>
        <w:rPr>
          <w:sz w:val="24"/>
          <w:szCs w:val="24"/>
          <w:color w:val="auto"/>
        </w:rPr>
      </w:pPr>
    </w:p>
    <w:p>
      <w:pPr>
        <w:jc w:val="center"/>
        <w:ind w:right="-39"/>
        <w:spacing w:after="0" w:line="150" w:lineRule="exact"/>
        <w:rPr>
          <w:sz w:val="20"/>
          <w:szCs w:val="20"/>
          <w:color w:val="auto"/>
        </w:rPr>
      </w:pPr>
      <w:r>
        <w:rPr>
          <w:rFonts w:ascii="Arial" w:cs="Arial" w:eastAsia="Arial" w:hAnsi="Arial"/>
          <w:sz w:val="13"/>
          <w:szCs w:val="13"/>
          <w:b w:val="1"/>
          <w:bCs w:val="1"/>
          <w:color w:val="auto"/>
        </w:rPr>
        <w:t>Commission file number 001</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38650</w:t>
      </w:r>
    </w:p>
    <w:p>
      <w:pPr>
        <w:spacing w:after="0" w:line="62" w:lineRule="exact"/>
        <w:rPr>
          <w:sz w:val="24"/>
          <w:szCs w:val="24"/>
          <w:color w:val="auto"/>
        </w:rPr>
      </w:pPr>
    </w:p>
    <w:p>
      <w:pPr>
        <w:jc w:val="center"/>
        <w:ind w:right="-39"/>
        <w:spacing w:after="0" w:line="288" w:lineRule="exact"/>
        <w:rPr>
          <w:sz w:val="20"/>
          <w:szCs w:val="20"/>
          <w:color w:val="auto"/>
        </w:rPr>
      </w:pPr>
      <w:r>
        <w:rPr>
          <w:rFonts w:ascii="Arial" w:cs="Arial" w:eastAsia="Arial" w:hAnsi="Arial"/>
          <w:sz w:val="25"/>
          <w:szCs w:val="25"/>
          <w:b w:val="1"/>
          <w:bCs w:val="1"/>
          <w:color w:val="auto"/>
        </w:rPr>
        <w:t>Y</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mAbs Therapeutics,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(Exact name of registrant as specified in its charter)</w:t>
      </w:r>
    </w:p>
    <w:p>
      <w:pPr>
        <w:spacing w:after="0" w:line="76" w:lineRule="exact"/>
        <w:rPr>
          <w:sz w:val="24"/>
          <w:szCs w:val="24"/>
          <w:color w:val="auto"/>
        </w:rPr>
      </w:pPr>
    </w:p>
    <w:tbl>
      <w:tblPr>
        <w:tblLayout w:type="fixed"/>
        <w:tblInd w:w="1040" w:type="dxa"/>
        <w:tblCellMar>
          <w:top w:w="0" w:type="dxa"/>
          <w:left w:w="0" w:type="dxa"/>
          <w:bottom w:w="0" w:type="dxa"/>
          <w:right w:w="0" w:type="dxa"/>
        </w:tblCellMar>
      </w:tblPr>
      <w:tr>
        <w:trPr>
          <w:trHeight w:val="149"/>
        </w:trPr>
        <w:tc>
          <w:tcPr>
            <w:tcW w:w="4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Delaware</w:t>
            </w:r>
          </w:p>
        </w:tc>
        <w:tc>
          <w:tcPr>
            <w:tcW w:w="4060" w:type="dxa"/>
            <w:vAlign w:val="bottom"/>
          </w:tcPr>
          <w:p>
            <w:pPr>
              <w:jc w:val="center"/>
              <w:spacing w:after="0" w:line="150" w:lineRule="exact"/>
              <w:rPr>
                <w:sz w:val="20"/>
                <w:szCs w:val="20"/>
                <w:color w:val="auto"/>
              </w:rPr>
            </w:pPr>
            <w:r>
              <w:rPr>
                <w:rFonts w:ascii="Arial" w:cs="Arial" w:eastAsia="Arial" w:hAnsi="Arial"/>
                <w:sz w:val="13"/>
                <w:szCs w:val="13"/>
                <w:b w:val="1"/>
                <w:bCs w:val="1"/>
                <w:color w:val="auto"/>
                <w:w w:val="86"/>
              </w:rPr>
              <w:t>47</w:t>
            </w:r>
            <w:r>
              <w:rPr>
                <w:rFonts w:ascii="MS PGothic" w:cs="MS PGothic" w:eastAsia="MS PGothic" w:hAnsi="MS PGothic"/>
                <w:sz w:val="13"/>
                <w:szCs w:val="13"/>
                <w:b w:val="1"/>
                <w:bCs w:val="1"/>
                <w:color w:val="auto"/>
                <w:w w:val="86"/>
              </w:rPr>
              <w:t>‑</w:t>
            </w:r>
            <w:r>
              <w:rPr>
                <w:rFonts w:ascii="Arial" w:cs="Arial" w:eastAsia="Arial" w:hAnsi="Arial"/>
                <w:sz w:val="13"/>
                <w:szCs w:val="13"/>
                <w:b w:val="1"/>
                <w:bCs w:val="1"/>
                <w:color w:val="auto"/>
                <w:w w:val="86"/>
              </w:rPr>
              <w:t>4619612</w:t>
            </w:r>
          </w:p>
        </w:tc>
      </w:tr>
      <w:tr>
        <w:trPr>
          <w:trHeight w:val="160"/>
        </w:trPr>
        <w:tc>
          <w:tcPr>
            <w:tcW w:w="426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4060" w:type="dxa"/>
            <w:vAlign w:val="bottom"/>
          </w:tcPr>
          <w:p>
            <w:pPr>
              <w:jc w:val="center"/>
              <w:spacing w:after="0"/>
              <w:rPr>
                <w:sz w:val="20"/>
                <w:szCs w:val="20"/>
                <w:color w:val="auto"/>
              </w:rPr>
            </w:pPr>
            <w:r>
              <w:rPr>
                <w:rFonts w:ascii="Arial" w:cs="Arial" w:eastAsia="Arial" w:hAnsi="Arial"/>
                <w:sz w:val="13"/>
                <w:szCs w:val="13"/>
                <w:color w:val="auto"/>
                <w:w w:val="91"/>
              </w:rPr>
              <w:t>(I.R.S. Employer Identification No.)</w:t>
            </w:r>
          </w:p>
        </w:tc>
      </w:tr>
      <w:tr>
        <w:trPr>
          <w:trHeight w:val="270"/>
        </w:trPr>
        <w:tc>
          <w:tcPr>
            <w:tcW w:w="4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230 Park Avenue, Suite 3350 New York, NY</w:t>
            </w:r>
          </w:p>
        </w:tc>
        <w:tc>
          <w:tcPr>
            <w:tcW w:w="4060" w:type="dxa"/>
            <w:vAlign w:val="bottom"/>
          </w:tcPr>
          <w:p>
            <w:pPr>
              <w:jc w:val="right"/>
              <w:ind w:right="1818"/>
              <w:spacing w:after="0"/>
              <w:rPr>
                <w:sz w:val="20"/>
                <w:szCs w:val="20"/>
                <w:color w:val="auto"/>
              </w:rPr>
            </w:pPr>
            <w:r>
              <w:rPr>
                <w:rFonts w:ascii="Arial" w:cs="Arial" w:eastAsia="Arial" w:hAnsi="Arial"/>
                <w:sz w:val="13"/>
                <w:szCs w:val="13"/>
                <w:b w:val="1"/>
                <w:bCs w:val="1"/>
                <w:color w:val="auto"/>
              </w:rPr>
              <w:t>10169</w:t>
            </w:r>
          </w:p>
        </w:tc>
      </w:tr>
      <w:tr>
        <w:trPr>
          <w:trHeight w:val="270"/>
        </w:trPr>
        <w:tc>
          <w:tcPr>
            <w:tcW w:w="426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(Address of Principal Executive Offices)</w:t>
            </w:r>
          </w:p>
        </w:tc>
        <w:tc>
          <w:tcPr>
            <w:tcW w:w="4060" w:type="dxa"/>
            <w:vAlign w:val="bottom"/>
          </w:tcPr>
          <w:p>
            <w:pPr>
              <w:jc w:val="center"/>
              <w:spacing w:after="0"/>
              <w:rPr>
                <w:sz w:val="20"/>
                <w:szCs w:val="20"/>
                <w:color w:val="auto"/>
              </w:rPr>
            </w:pPr>
            <w:r>
              <w:rPr>
                <w:rFonts w:ascii="Arial" w:cs="Arial" w:eastAsia="Arial" w:hAnsi="Arial"/>
                <w:sz w:val="13"/>
                <w:szCs w:val="13"/>
                <w:color w:val="auto"/>
                <w:w w:val="91"/>
              </w:rPr>
              <w:t>(Zip Code)</w:t>
            </w:r>
          </w:p>
        </w:tc>
      </w:tr>
      <w:tr>
        <w:trPr>
          <w:trHeight w:val="230"/>
        </w:trPr>
        <w:tc>
          <w:tcPr>
            <w:tcW w:w="8320" w:type="dxa"/>
            <w:vAlign w:val="bottom"/>
            <w:gridSpan w:val="3"/>
          </w:tcPr>
          <w:p>
            <w:pPr>
              <w:jc w:val="center"/>
              <w:spacing w:after="0" w:line="150" w:lineRule="exact"/>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(646)</w:t>
            </w:r>
            <w:r>
              <w:rPr>
                <w:rFonts w:ascii="MS PGothic" w:cs="MS PGothic" w:eastAsia="MS PGothic" w:hAnsi="MS PGothic"/>
                <w:sz w:val="13"/>
                <w:szCs w:val="13"/>
                <w:b w:val="1"/>
                <w:bCs w:val="1"/>
                <w:color w:val="auto"/>
                <w:w w:val="87"/>
              </w:rPr>
              <w:t>‑</w:t>
            </w:r>
            <w:r>
              <w:rPr>
                <w:rFonts w:ascii="Arial" w:cs="Arial" w:eastAsia="Arial" w:hAnsi="Arial"/>
                <w:sz w:val="13"/>
                <w:szCs w:val="13"/>
                <w:b w:val="1"/>
                <w:bCs w:val="1"/>
                <w:color w:val="auto"/>
                <w:w w:val="87"/>
              </w:rPr>
              <w:t>885</w:t>
            </w:r>
            <w:r>
              <w:rPr>
                <w:rFonts w:ascii="MS PGothic" w:cs="MS PGothic" w:eastAsia="MS PGothic" w:hAnsi="MS PGothic"/>
                <w:sz w:val="13"/>
                <w:szCs w:val="13"/>
                <w:b w:val="1"/>
                <w:bCs w:val="1"/>
                <w:color w:val="auto"/>
                <w:w w:val="87"/>
              </w:rPr>
              <w:t>‑</w:t>
            </w:r>
            <w:r>
              <w:rPr>
                <w:rFonts w:ascii="Arial" w:cs="Arial" w:eastAsia="Arial" w:hAnsi="Arial"/>
                <w:sz w:val="13"/>
                <w:szCs w:val="13"/>
                <w:b w:val="1"/>
                <w:bCs w:val="1"/>
                <w:color w:val="auto"/>
                <w:w w:val="87"/>
              </w:rPr>
              <w:t>8505</w:t>
            </w:r>
          </w:p>
        </w:tc>
      </w:tr>
      <w:tr>
        <w:trPr>
          <w:trHeight w:val="230"/>
        </w:trPr>
        <w:tc>
          <w:tcPr>
            <w:tcW w:w="8320" w:type="dxa"/>
            <w:vAlign w:val="bottom"/>
            <w:gridSpan w:val="3"/>
          </w:tcPr>
          <w:p>
            <w:pPr>
              <w:jc w:val="center"/>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21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80" w:type="dxa"/>
            <w:vAlign w:val="bottom"/>
          </w:tcPr>
          <w:p>
            <w:pPr>
              <w:spacing w:after="0"/>
              <w:rPr>
                <w:sz w:val="19"/>
                <w:szCs w:val="19"/>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15"/>
        </w:trPr>
        <w:tc>
          <w:tcPr>
            <w:tcW w:w="4260" w:type="dxa"/>
            <w:vAlign w:val="bottom"/>
            <w:gridSpan w:val="2"/>
          </w:tcPr>
          <w:p>
            <w:pPr>
              <w:jc w:val="center"/>
              <w:ind w:right="180"/>
              <w:spacing w:after="0"/>
              <w:rPr>
                <w:sz w:val="20"/>
                <w:szCs w:val="20"/>
                <w:color w:val="auto"/>
              </w:rPr>
            </w:pPr>
            <w:r>
              <w:rPr>
                <w:rFonts w:ascii="Arial" w:cs="Arial" w:eastAsia="Arial" w:hAnsi="Arial"/>
                <w:sz w:val="11"/>
                <w:szCs w:val="11"/>
                <w:color w:val="auto"/>
                <w:w w:val="88"/>
              </w:rPr>
              <w:t>Common Stock $0.0001 par value</w:t>
            </w:r>
          </w:p>
        </w:tc>
        <w:tc>
          <w:tcPr>
            <w:tcW w:w="4060" w:type="dxa"/>
            <w:vAlign w:val="bottom"/>
          </w:tcPr>
          <w:p>
            <w:pPr>
              <w:jc w:val="center"/>
              <w:spacing w:after="0"/>
              <w:rPr>
                <w:sz w:val="20"/>
                <w:szCs w:val="20"/>
                <w:color w:val="auto"/>
              </w:rPr>
            </w:pPr>
            <w:r>
              <w:rPr>
                <w:rFonts w:ascii="Arial" w:cs="Arial" w:eastAsia="Arial" w:hAnsi="Arial"/>
                <w:sz w:val="11"/>
                <w:szCs w:val="11"/>
                <w:color w:val="auto"/>
                <w:w w:val="92"/>
              </w:rPr>
              <w:t>NASDAQ Global Select Market</w:t>
            </w:r>
          </w:p>
        </w:tc>
      </w:tr>
    </w:tbl>
    <w:p>
      <w:pPr>
        <w:spacing w:after="0" w:line="89" w:lineRule="exact"/>
        <w:rPr>
          <w:sz w:val="24"/>
          <w:szCs w:val="24"/>
          <w:color w:val="auto"/>
        </w:rPr>
      </w:pPr>
    </w:p>
    <w:p>
      <w:pPr>
        <w:ind w:left="360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6" w:lineRule="exact"/>
        <w:rPr>
          <w:sz w:val="24"/>
          <w:szCs w:val="24"/>
          <w:color w:val="auto"/>
        </w:rPr>
      </w:pPr>
    </w:p>
    <w:p>
      <w:pPr>
        <w:ind w:left="5020"/>
        <w:spacing w:after="0"/>
        <w:rPr>
          <w:sz w:val="20"/>
          <w:szCs w:val="20"/>
          <w:color w:val="auto"/>
        </w:rPr>
      </w:pPr>
      <w:r>
        <w:rPr>
          <w:rFonts w:ascii="Arial" w:cs="Arial" w:eastAsia="Arial" w:hAnsi="Arial"/>
          <w:sz w:val="13"/>
          <w:szCs w:val="13"/>
          <w:b w:val="1"/>
          <w:bCs w:val="1"/>
          <w:color w:val="auto"/>
        </w:rPr>
        <w:t>NONE</w:t>
      </w:r>
    </w:p>
    <w:p>
      <w:pPr>
        <w:spacing w:after="0" w:line="80" w:lineRule="exact"/>
        <w:rPr>
          <w:sz w:val="24"/>
          <w:szCs w:val="24"/>
          <w:color w:val="auto"/>
        </w:rPr>
      </w:pPr>
    </w:p>
    <w:p>
      <w:pPr>
        <w:ind w:left="4820"/>
        <w:spacing w:after="0"/>
        <w:rPr>
          <w:sz w:val="20"/>
          <w:szCs w:val="20"/>
          <w:color w:val="auto"/>
        </w:rPr>
      </w:pPr>
      <w:r>
        <w:rPr>
          <w:rFonts w:ascii="Arial" w:cs="Arial" w:eastAsia="Arial" w:hAnsi="Arial"/>
          <w:sz w:val="13"/>
          <w:szCs w:val="13"/>
          <w:b w:val="1"/>
          <w:bCs w:val="1"/>
          <w:color w:val="auto"/>
        </w:rPr>
        <w:t>(Title of class)</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11" w:lineRule="exact"/>
        <w:rPr>
          <w:sz w:val="24"/>
          <w:szCs w:val="24"/>
          <w:color w:val="auto"/>
        </w:rPr>
      </w:pPr>
    </w:p>
    <w:p>
      <w:pPr>
        <w:ind w:left="4740"/>
        <w:spacing w:after="0" w:line="150" w:lineRule="exact"/>
        <w:tabs>
          <w:tab w:leader="none" w:pos="52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11" w:lineRule="exact"/>
        <w:rPr>
          <w:sz w:val="24"/>
          <w:szCs w:val="24"/>
          <w:color w:val="auto"/>
        </w:rPr>
      </w:pPr>
    </w:p>
    <w:p>
      <w:pPr>
        <w:ind w:left="4740"/>
        <w:spacing w:after="0" w:line="150" w:lineRule="exact"/>
        <w:tabs>
          <w:tab w:leader="none" w:pos="52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60"/>
        <w:spacing w:after="0" w:line="23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p>
      <w:pPr>
        <w:jc w:val="center"/>
        <w:ind w:right="-39"/>
        <w:spacing w:after="0" w:line="150" w:lineRule="exact"/>
        <w:tabs>
          <w:tab w:leader="none" w:pos="1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40"/>
        <w:spacing w:after="0" w:line="23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39"/>
        <w:spacing w:after="0" w:line="150" w:lineRule="exact"/>
        <w:tabs>
          <w:tab w:leader="none" w:pos="1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160"/>
        <w:spacing w:after="0" w:line="161" w:lineRule="exact"/>
        <w:rPr>
          <w:sz w:val="20"/>
          <w:szCs w:val="20"/>
          <w:color w:val="auto"/>
        </w:rPr>
      </w:pPr>
      <w:r>
        <w:rPr>
          <w:rFonts w:ascii="Arial" w:cs="Arial" w:eastAsia="Arial" w:hAnsi="Arial"/>
          <w:sz w:val="12"/>
          <w:szCs w:val="12"/>
          <w:color w:val="auto"/>
        </w:rPr>
        <w:t>Indicate by check mark if disclosure of delinquent filers pursuant to Item 405 of Regulation S-K (§299.405 of this chapter) is not contained herein, and will not be contained, to the best of the registrant’s knowledge, in definitive proxy or information statements incorporated by reference in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 or any amendment to this Form 10</w:t>
      </w:r>
      <w:r>
        <w:rPr>
          <w:rFonts w:ascii="MS PGothic" w:cs="MS PGothic" w:eastAsia="MS PGothic" w:hAnsi="MS PGothic"/>
          <w:sz w:val="12"/>
          <w:szCs w:val="12"/>
          <w:color w:val="auto"/>
        </w:rPr>
        <w:t>‑</w:t>
      </w:r>
      <w:r>
        <w:rPr>
          <w:rFonts w:ascii="Arial" w:cs="Arial" w:eastAsia="Arial" w:hAnsi="Arial"/>
          <w:sz w:val="12"/>
          <w:szCs w:val="12"/>
          <w:color w:val="auto"/>
        </w:rPr>
        <w:t xml:space="preserve">K. </w:t>
      </w:r>
      <w:r>
        <w:rPr>
          <w:rFonts w:ascii="MS PGothic" w:cs="MS PGothic" w:eastAsia="MS PGothic" w:hAnsi="MS PGothic"/>
          <w:sz w:val="12"/>
          <w:szCs w:val="12"/>
          <w:color w:val="auto"/>
        </w:rPr>
        <w:t>☒</w:t>
      </w:r>
    </w:p>
    <w:p>
      <w:pPr>
        <w:spacing w:after="0" w:line="56" w:lineRule="exact"/>
        <w:rPr>
          <w:sz w:val="24"/>
          <w:szCs w:val="24"/>
          <w:color w:val="auto"/>
        </w:rPr>
      </w:pPr>
    </w:p>
    <w:p>
      <w:pPr>
        <w:ind w:right="220"/>
        <w:spacing w:after="0" w:line="148"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w:t>
      </w:r>
      <w:r>
        <w:rPr>
          <w:rFonts w:ascii="MS PGothic" w:cs="MS PGothic" w:eastAsia="MS PGothic" w:hAnsi="MS PGothic"/>
          <w:sz w:val="13"/>
          <w:szCs w:val="13"/>
          <w:color w:val="auto"/>
        </w:rPr>
        <w:t>‑</w:t>
      </w:r>
      <w:r>
        <w:rPr>
          <w:rFonts w:ascii="Arial" w:cs="Arial" w:eastAsia="Arial" w:hAnsi="Arial"/>
          <w:sz w:val="13"/>
          <w:szCs w:val="13"/>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58" w:lineRule="exact"/>
        <w:rPr>
          <w:sz w:val="24"/>
          <w:szCs w:val="24"/>
          <w:color w:val="auto"/>
        </w:rPr>
      </w:pPr>
    </w:p>
    <w:p>
      <w:pPr>
        <w:ind w:left="460"/>
        <w:spacing w:after="0" w:line="150" w:lineRule="exact"/>
        <w:tabs>
          <w:tab w:leader="none" w:pos="2560" w:val="left"/>
          <w:tab w:leader="none" w:pos="4260" w:val="left"/>
          <w:tab w:leader="none" w:pos="6140" w:val="left"/>
          <w:tab w:leader="none" w:pos="8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05"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by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11" w:lineRule="exact"/>
        <w:rPr>
          <w:sz w:val="24"/>
          <w:szCs w:val="24"/>
          <w:color w:val="auto"/>
        </w:rPr>
      </w:pPr>
    </w:p>
    <w:p>
      <w:pPr>
        <w:ind w:left="4740"/>
        <w:spacing w:after="0" w:line="150" w:lineRule="exact"/>
        <w:tabs>
          <w:tab w:leader="none" w:pos="528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2" w:lineRule="exact"/>
        <w:rPr>
          <w:sz w:val="24"/>
          <w:szCs w:val="24"/>
          <w:color w:val="auto"/>
        </w:rPr>
      </w:pPr>
    </w:p>
    <w:p>
      <w:pPr>
        <w:ind w:firstLine="648"/>
        <w:spacing w:after="0" w:line="223"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a share of common stock on September 21, 2018 as reported by the NASDAQ Global Select Market on such date was approximately $301.6 million. The registrant has elected to use September 21, 2018, which was the initial trading date on the NASDAQ Global Select Market, as the calculation date because on June 30, 2018 (the last business day of the registrant’s most recently completed second fiscal quarter), the registrant was a privately held company.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 The number of outstanding shares of the registrant’s common stock as of March 14, 2019 was 34,193,666.</w:t>
      </w:r>
    </w:p>
    <w:p>
      <w:pPr>
        <w:spacing w:after="0" w:line="54" w:lineRule="exact"/>
        <w:rPr>
          <w:sz w:val="24"/>
          <w:szCs w:val="24"/>
          <w:color w:val="auto"/>
        </w:rPr>
      </w:pPr>
    </w:p>
    <w:p>
      <w:pPr>
        <w:ind w:left="6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firstLine="648"/>
        <w:spacing w:after="0" w:line="237" w:lineRule="auto"/>
        <w:rPr>
          <w:sz w:val="20"/>
          <w:szCs w:val="20"/>
          <w:color w:val="auto"/>
        </w:rPr>
      </w:pPr>
      <w:r>
        <w:rPr>
          <w:rFonts w:ascii="Arial" w:cs="Arial" w:eastAsia="Arial" w:hAnsi="Arial"/>
          <w:sz w:val="13"/>
          <w:szCs w:val="13"/>
          <w:color w:val="auto"/>
        </w:rPr>
        <w:t>Portions of the Registrant’s Definitive Proxy Statement relating to the 2019 Annual Meeting of Stockholders, which will be filed with the Securities and Exchange Commission within 120 days after the end of the Registrant’s fiscal year ended December 31,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61595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379095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60" w:type="dxa"/>
            <w:vAlign w:val="bottom"/>
            <w:gridSpan w:val="27"/>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11"/>
          </w:tcPr>
          <w:p>
            <w:pPr>
              <w:ind w:left="68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r>
      <w:tr>
        <w:trPr>
          <w:trHeight w:val="44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392"/>
        </w:trPr>
        <w:tc>
          <w:tcPr>
            <w:tcW w:w="86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0" w:type="dxa"/>
            <w:vAlign w:val="bottom"/>
            <w:tcBorders>
              <w:top w:val="single" w:sz="8" w:color="0000EE"/>
            </w:tcBorders>
          </w:tcPr>
          <w:p>
            <w:pPr>
              <w:spacing w:after="0"/>
              <w:rPr>
                <w:sz w:val="24"/>
                <w:szCs w:val="24"/>
                <w:color w:val="auto"/>
              </w:rPr>
            </w:pPr>
          </w:p>
        </w:tc>
        <w:tc>
          <w:tcPr>
            <w:tcW w:w="260" w:type="dxa"/>
            <w:vAlign w:val="bottom"/>
            <w:gridSpan w:val="5"/>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860" w:type="dxa"/>
            <w:vAlign w:val="bottom"/>
            <w:gridSpan w:val="1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Item 1A.</w:t>
              </w:r>
            </w:hyperlink>
          </w:p>
        </w:tc>
        <w:tc>
          <w:tcPr>
            <w:tcW w:w="200" w:type="dxa"/>
            <w:vAlign w:val="bottom"/>
            <w:gridSpan w:val="4"/>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Risk Factors</w:t>
              </w:r>
            </w:hyperlink>
          </w:p>
        </w:tc>
        <w:tc>
          <w:tcPr>
            <w:tcW w:w="660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18">
              <w:r>
                <w:rPr>
                  <w:rFonts w:ascii="Arial" w:cs="Arial" w:eastAsia="Arial" w:hAnsi="Arial"/>
                  <w:sz w:val="18"/>
                  <w:szCs w:val="18"/>
                  <w:color w:val="0000EE"/>
                  <w:w w:val="83"/>
                </w:rPr>
                <w:t>Item 1B.</w:t>
              </w:r>
            </w:hyperlink>
          </w:p>
        </w:tc>
        <w:tc>
          <w:tcPr>
            <w:tcW w:w="260" w:type="dxa"/>
            <w:vAlign w:val="bottom"/>
            <w:gridSpan w:val="5"/>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Unresolved Staff Comments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Item 2.</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5"/>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Properties</w:t>
              </w:r>
            </w:hyperlink>
          </w:p>
        </w:tc>
        <w:tc>
          <w:tcPr>
            <w:tcW w:w="546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Item 3.</w:t>
              </w:r>
            </w:hyperlink>
          </w:p>
        </w:tc>
        <w:tc>
          <w:tcPr>
            <w:tcW w:w="340" w:type="dxa"/>
            <w:vAlign w:val="bottom"/>
            <w:gridSpan w:val="6"/>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Legal Proceedings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Item 4.</w:t>
              </w:r>
            </w:hyperlink>
          </w:p>
        </w:tc>
        <w:tc>
          <w:tcPr>
            <w:tcW w:w="340" w:type="dxa"/>
            <w:vAlign w:val="bottom"/>
            <w:gridSpan w:val="6"/>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Mine Safety Disclosures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w:t>
              </w:r>
            </w:hyperlink>
          </w:p>
        </w:tc>
        <w:tc>
          <w:tcPr>
            <w:tcW w:w="18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Item 5.</w:t>
              </w:r>
            </w:hyperlink>
          </w:p>
        </w:tc>
        <w:tc>
          <w:tcPr>
            <w:tcW w:w="340" w:type="dxa"/>
            <w:vAlign w:val="bottom"/>
            <w:gridSpan w:val="6"/>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Market for Registrant’s Common Equity, Related Stockholder Matters and Issuer Purchases of Equity</w:t>
              </w:r>
            </w:hyperlink>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Securities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6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Item 6.</w:t>
              </w:r>
            </w:hyperlink>
          </w:p>
        </w:tc>
        <w:tc>
          <w:tcPr>
            <w:tcW w:w="340" w:type="dxa"/>
            <w:vAlign w:val="bottom"/>
            <w:gridSpan w:val="6"/>
          </w:tcPr>
          <w:p>
            <w:pPr>
              <w:spacing w:after="0"/>
              <w:rPr>
                <w:sz w:val="24"/>
                <w:szCs w:val="24"/>
                <w:color w:val="auto"/>
              </w:rPr>
            </w:pPr>
          </w:p>
        </w:tc>
        <w:tc>
          <w:tcPr>
            <w:tcW w:w="7500" w:type="dxa"/>
            <w:vAlign w:val="bottom"/>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Selected Financial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7.</w:t>
              </w:r>
            </w:hyperlink>
          </w:p>
        </w:tc>
        <w:tc>
          <w:tcPr>
            <w:tcW w:w="340" w:type="dxa"/>
            <w:vAlign w:val="bottom"/>
            <w:gridSpan w:val="6"/>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Management’s Discussion and Analysis of Financial Condition and Results of Operations</w:t>
              </w:r>
            </w:hyperlink>
          </w:p>
        </w:tc>
        <w:tc>
          <w:tcPr>
            <w:tcW w:w="104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7A.</w:t>
              </w:r>
            </w:hyperlink>
          </w:p>
        </w:tc>
        <w:tc>
          <w:tcPr>
            <w:tcW w:w="200" w:type="dxa"/>
            <w:vAlign w:val="bottom"/>
            <w:gridSpan w:val="4"/>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Quantitative and Qualitative Disclosures About Market Risk</w:t>
              </w:r>
            </w:hyperlink>
          </w:p>
        </w:tc>
        <w:tc>
          <w:tcPr>
            <w:tcW w:w="31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Item 8.</w:t>
              </w:r>
            </w:hyperlink>
          </w:p>
        </w:tc>
        <w:tc>
          <w:tcPr>
            <w:tcW w:w="340" w:type="dxa"/>
            <w:vAlign w:val="bottom"/>
            <w:gridSpan w:val="6"/>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Financial Statements and Supplementary Data</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Item 9.</w:t>
              </w:r>
            </w:hyperlink>
          </w:p>
        </w:tc>
        <w:tc>
          <w:tcPr>
            <w:tcW w:w="340" w:type="dxa"/>
            <w:vAlign w:val="bottom"/>
            <w:gridSpan w:val="6"/>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Changes in and Disagreements With Accountants on Accounting and Financial Disclosure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Item 9A.</w:t>
              </w:r>
            </w:hyperlink>
          </w:p>
        </w:tc>
        <w:tc>
          <w:tcPr>
            <w:tcW w:w="200" w:type="dxa"/>
            <w:vAlign w:val="bottom"/>
            <w:gridSpan w:val="4"/>
          </w:tcPr>
          <w:p>
            <w:pPr>
              <w:spacing w:after="0"/>
              <w:rPr>
                <w:sz w:val="17"/>
                <w:szCs w:val="17"/>
                <w:color w:val="auto"/>
              </w:rPr>
            </w:pPr>
          </w:p>
        </w:tc>
        <w:tc>
          <w:tcPr>
            <w:tcW w:w="7500" w:type="dxa"/>
            <w:vAlign w:val="bottom"/>
            <w:gridSpan w:val="2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Controls and Procedures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162">
              <w:r>
                <w:rPr>
                  <w:rFonts w:ascii="Arial" w:cs="Arial" w:eastAsia="Arial" w:hAnsi="Arial"/>
                  <w:sz w:val="18"/>
                  <w:szCs w:val="18"/>
                  <w:color w:val="0000EE"/>
                  <w:w w:val="83"/>
                </w:rPr>
                <w:t>Item 9B.</w:t>
              </w:r>
            </w:hyperlink>
          </w:p>
        </w:tc>
        <w:tc>
          <w:tcPr>
            <w:tcW w:w="60" w:type="dxa"/>
            <w:vAlign w:val="bottom"/>
            <w:tcBorders>
              <w:top w:val="single" w:sz="8" w:color="0000EE"/>
            </w:tcBorders>
          </w:tcPr>
          <w:p>
            <w:pPr>
              <w:spacing w:after="0"/>
              <w:rPr>
                <w:sz w:val="17"/>
                <w:szCs w:val="17"/>
                <w:color w:val="auto"/>
              </w:rPr>
            </w:pPr>
          </w:p>
        </w:tc>
        <w:tc>
          <w:tcPr>
            <w:tcW w:w="200" w:type="dxa"/>
            <w:vAlign w:val="bottom"/>
            <w:gridSpan w:val="4"/>
          </w:tcPr>
          <w:p>
            <w:pPr>
              <w:spacing w:after="0"/>
              <w:rPr>
                <w:sz w:val="17"/>
                <w:szCs w:val="17"/>
                <w:color w:val="auto"/>
              </w:rPr>
            </w:pPr>
          </w:p>
        </w:tc>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Other Information</w:t>
              </w:r>
            </w:hyperlink>
          </w:p>
        </w:tc>
        <w:tc>
          <w:tcPr>
            <w:tcW w:w="580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PART III</w:t>
              </w:r>
            </w:hyperlink>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860" w:type="dxa"/>
            <w:vAlign w:val="bottom"/>
            <w:gridSpan w:val="7"/>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Item 10.</w:t>
              </w:r>
            </w:hyperlink>
          </w:p>
        </w:tc>
        <w:tc>
          <w:tcPr>
            <w:tcW w:w="7500" w:type="dxa"/>
            <w:vAlign w:val="bottom"/>
            <w:gridSpan w:val="20"/>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63">
              <w:r>
                <w:rPr>
                  <w:rFonts w:ascii="Arial" w:cs="Arial" w:eastAsia="Arial" w:hAnsi="Arial"/>
                  <w:sz w:val="18"/>
                  <w:szCs w:val="18"/>
                  <w:color w:val="0000EE"/>
                  <w:w w:val="86"/>
                </w:rPr>
                <w:t>Item 11.</w:t>
              </w:r>
            </w:hyperlink>
          </w:p>
        </w:tc>
        <w:tc>
          <w:tcPr>
            <w:tcW w:w="260" w:type="dxa"/>
            <w:vAlign w:val="bottom"/>
            <w:gridSpan w:val="5"/>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42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Item 12.</w:t>
              </w:r>
            </w:hyperlink>
          </w:p>
        </w:tc>
        <w:tc>
          <w:tcPr>
            <w:tcW w:w="7500" w:type="dxa"/>
            <w:vAlign w:val="bottom"/>
            <w:gridSpan w:val="20"/>
          </w:tcPr>
          <w:p>
            <w:pPr>
              <w:spacing w:after="0" w:line="196" w:lineRule="exact"/>
              <w:rPr>
                <w:rFonts w:ascii="Arial" w:cs="Arial" w:eastAsia="Arial" w:hAnsi="Arial"/>
                <w:sz w:val="18"/>
                <w:szCs w:val="18"/>
                <w:color w:val="0000EE"/>
                <w:w w:val="93"/>
              </w:rPr>
            </w:pPr>
            <w:hyperlink w:anchor="page163">
              <w:r>
                <w:rPr>
                  <w:rFonts w:ascii="Arial" w:cs="Arial" w:eastAsia="Arial" w:hAnsi="Arial"/>
                  <w:sz w:val="18"/>
                  <w:szCs w:val="18"/>
                  <w:color w:val="0000EE"/>
                  <w:w w:val="93"/>
                </w:rPr>
                <w:t>Security Ownership of Certain Beneficial Owners and Management and Related Stockholder Matters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Item 13.</w:t>
              </w:r>
            </w:hyperlink>
          </w:p>
        </w:tc>
        <w:tc>
          <w:tcPr>
            <w:tcW w:w="7500" w:type="dxa"/>
            <w:vAlign w:val="bottom"/>
            <w:gridSpan w:val="20"/>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Certain Relationships and Related Transactions, and Director Independence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Item 14.</w:t>
              </w:r>
            </w:hyperlink>
          </w:p>
        </w:tc>
        <w:tc>
          <w:tcPr>
            <w:tcW w:w="7500" w:type="dxa"/>
            <w:vAlign w:val="bottom"/>
            <w:gridSpan w:val="20"/>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Principal Accounting Fees and Services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164">
              <w:r>
                <w:rPr>
                  <w:rFonts w:ascii="Arial" w:cs="Arial" w:eastAsia="Arial" w:hAnsi="Arial"/>
                  <w:sz w:val="18"/>
                  <w:szCs w:val="18"/>
                  <w:b w:val="1"/>
                  <w:bCs w:val="1"/>
                  <w:color w:val="0000EE"/>
                  <w:w w:val="98"/>
                </w:rPr>
                <w:t>PART IV</w:t>
              </w:r>
            </w:hyperlink>
          </w:p>
        </w:tc>
        <w:tc>
          <w:tcPr>
            <w:tcW w:w="1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860" w:type="dxa"/>
            <w:vAlign w:val="bottom"/>
            <w:gridSpan w:val="7"/>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Item 15.</w:t>
              </w:r>
            </w:hyperlink>
          </w:p>
        </w:tc>
        <w:tc>
          <w:tcPr>
            <w:tcW w:w="7500" w:type="dxa"/>
            <w:vAlign w:val="bottom"/>
            <w:gridSpan w:val="2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Exhibits,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Item 16.</w:t>
              </w:r>
            </w:hyperlink>
          </w:p>
        </w:tc>
        <w:tc>
          <w:tcPr>
            <w:tcW w:w="7500" w:type="dxa"/>
            <w:vAlign w:val="bottom"/>
            <w:gridSpan w:val="20"/>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Form 10-K Summary</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firstLine="648"/>
        <w:spacing w:after="0" w:line="217"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contains forward-looking statements that involve substantial risks and uncertainties. All statements, other than statements of historical facts,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1020" w:right="240" w:hanging="382"/>
        <w:spacing w:after="0" w:line="29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our plans to develop and commercialize our two lead product candidates and other product candidates, including the potential clinical efficacy and other benefits thereof;</w:t>
      </w:r>
    </w:p>
    <w:p>
      <w:pPr>
        <w:ind w:left="1020" w:hanging="382"/>
        <w:spacing w:after="0" w:line="265"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FDA and equivalent foreign regulatory authorities;</w:t>
      </w:r>
    </w:p>
    <w:p>
      <w:pPr>
        <w:ind w:left="1020" w:right="100" w:hanging="382"/>
        <w:spacing w:after="0" w:line="28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 w:lineRule="exact"/>
        <w:rPr>
          <w:rFonts w:ascii="Arial" w:cs="Arial" w:eastAsia="Arial" w:hAnsi="Arial"/>
          <w:sz w:val="16"/>
          <w:szCs w:val="16"/>
          <w:color w:val="auto"/>
        </w:rPr>
      </w:pPr>
    </w:p>
    <w:p>
      <w:pPr>
        <w:ind w:left="1020" w:right="4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ind w:left="1020" w:right="24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9" w:lineRule="exact"/>
        <w:rPr>
          <w:rFonts w:ascii="Arial" w:cs="Arial" w:eastAsia="Arial" w:hAnsi="Arial"/>
          <w:sz w:val="18"/>
          <w:szCs w:val="18"/>
          <w:color w:val="auto"/>
        </w:rPr>
      </w:pPr>
    </w:p>
    <w:p>
      <w:pPr>
        <w:ind w:left="1020" w:right="48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salesforce in the future;</w:t>
      </w: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9" w:lineRule="exact"/>
        <w:rPr>
          <w:rFonts w:ascii="Arial" w:cs="Arial" w:eastAsia="Arial" w:hAnsi="Arial"/>
          <w:sz w:val="18"/>
          <w:szCs w:val="18"/>
          <w:color w:val="auto"/>
        </w:rPr>
      </w:pP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020" w:right="4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ind w:left="1020" w:right="8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ind w:left="1020" w:right="100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9" w:lineRule="exact"/>
        <w:rPr>
          <w:rFonts w:ascii="Arial" w:cs="Arial" w:eastAsia="Arial" w:hAnsi="Arial"/>
          <w:sz w:val="18"/>
          <w:szCs w:val="18"/>
          <w:color w:val="auto"/>
        </w:rPr>
      </w:pPr>
    </w:p>
    <w:p>
      <w:pPr>
        <w:ind w:left="1020" w:right="6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 and the need for, timing and amount of any future financing transaction;</w:t>
      </w:r>
    </w:p>
    <w:p>
      <w:pPr>
        <w:ind w:left="1020" w:right="760" w:hanging="382"/>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020" w:hanging="38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 w:lineRule="exact"/>
        <w:rPr>
          <w:rFonts w:ascii="Arial" w:cs="Arial" w:eastAsia="Arial" w:hAnsi="Arial"/>
          <w:sz w:val="18"/>
          <w:szCs w:val="18"/>
          <w:color w:val="auto"/>
        </w:rPr>
      </w:pPr>
    </w:p>
    <w:p>
      <w:pPr>
        <w:ind w:left="1020" w:right="300" w:hanging="382"/>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9" w:firstLine="648"/>
        <w:spacing w:after="0" w:line="218" w:lineRule="exact"/>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206" w:lineRule="exact"/>
        <w:rPr>
          <w:sz w:val="20"/>
          <w:szCs w:val="20"/>
          <w:color w:val="auto"/>
        </w:rPr>
      </w:pPr>
    </w:p>
    <w:p>
      <w:pPr>
        <w:ind w:right="159" w:firstLine="648"/>
        <w:spacing w:after="0" w:line="221" w:lineRule="exact"/>
        <w:rPr>
          <w:sz w:val="20"/>
          <w:szCs w:val="20"/>
          <w:color w:val="auto"/>
        </w:rPr>
      </w:pPr>
      <w:r>
        <w:rPr>
          <w:rFonts w:ascii="Arial" w:cs="Arial" w:eastAsia="Arial" w:hAnsi="Arial"/>
          <w:sz w:val="18"/>
          <w:szCs w:val="18"/>
          <w:color w:val="auto"/>
        </w:rPr>
        <w:t>The forward-looking statements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are made as of the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we undertake no obligation to publicly update or review any forward-looking statement, whether as a result of new information, future developments or otherwise.</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59" w:firstLine="648"/>
        <w:spacing w:after="0" w:line="221"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w:t>
      </w:r>
    </w:p>
    <w:p>
      <w:pPr>
        <w:ind w:right="19"/>
        <w:spacing w:after="0" w:line="216" w:lineRule="exact"/>
        <w:rPr>
          <w:sz w:val="20"/>
          <w:szCs w:val="20"/>
          <w:color w:val="auto"/>
        </w:rPr>
      </w:pPr>
      <w:r>
        <w:rPr>
          <w:rFonts w:ascii="Arial" w:cs="Arial" w:eastAsia="Arial" w:hAnsi="Arial"/>
          <w:sz w:val="17"/>
          <w:szCs w:val="17"/>
          <w:color w:val="auto"/>
        </w:rPr>
        <w:t>B7</w:t>
      </w:r>
      <w:r>
        <w:rPr>
          <w:rFonts w:ascii="MS PGothic" w:cs="MS PGothic" w:eastAsia="MS PGothic" w:hAnsi="MS PGothic"/>
          <w:sz w:val="17"/>
          <w:szCs w:val="17"/>
          <w:color w:val="auto"/>
        </w:rPr>
        <w:t>‑</w:t>
      </w:r>
      <w:r>
        <w:rPr>
          <w:rFonts w:ascii="Arial" w:cs="Arial" w:eastAsia="Arial" w:hAnsi="Arial"/>
          <w:sz w:val="17"/>
          <w:szCs w:val="17"/>
          <w:color w:val="auto"/>
        </w:rPr>
        <w:t>H3, respectively. We are developing naxitamab for the treatment of pediatric patients with relapsed or refractory, or R/R, high</w:t>
      </w:r>
      <w:r>
        <w:rPr>
          <w:rFonts w:ascii="MS PGothic" w:cs="MS PGothic" w:eastAsia="MS PGothic" w:hAnsi="MS PGothic"/>
          <w:sz w:val="17"/>
          <w:szCs w:val="17"/>
          <w:color w:val="auto"/>
        </w:rPr>
        <w:t>‑</w:t>
      </w:r>
      <w:r>
        <w:rPr>
          <w:rFonts w:ascii="Arial" w:cs="Arial" w:eastAsia="Arial" w:hAnsi="Arial"/>
          <w:sz w:val="17"/>
          <w:szCs w:val="17"/>
          <w:color w:val="auto"/>
        </w:rPr>
        <w:t>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3" w:lineRule="exact"/>
        <w:rPr>
          <w:sz w:val="20"/>
          <w:szCs w:val="20"/>
          <w:color w:val="auto"/>
        </w:rPr>
      </w:pPr>
    </w:p>
    <w:p>
      <w:pPr>
        <w:ind w:right="39" w:firstLine="648"/>
        <w:spacing w:after="0" w:line="217" w:lineRule="exact"/>
        <w:rPr>
          <w:sz w:val="20"/>
          <w:szCs w:val="20"/>
          <w:color w:val="auto"/>
        </w:rPr>
      </w:pPr>
      <w:r>
        <w:rPr>
          <w:rFonts w:ascii="Arial" w:cs="Arial" w:eastAsia="Arial" w:hAnsi="Arial"/>
          <w:sz w:val="17"/>
          <w:szCs w:val="17"/>
          <w:color w:val="auto"/>
        </w:rPr>
        <w:t>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Additionally, we have two omburtamab follow</w:t>
      </w:r>
      <w:r>
        <w:rPr>
          <w:rFonts w:ascii="MS PGothic" w:cs="MS PGothic" w:eastAsia="MS PGothic" w:hAnsi="MS PGothic"/>
          <w:sz w:val="17"/>
          <w:szCs w:val="17"/>
          <w:color w:val="auto"/>
        </w:rPr>
        <w:t>‑</w:t>
      </w:r>
      <w:r>
        <w:rPr>
          <w:rFonts w:ascii="Arial" w:cs="Arial" w:eastAsia="Arial" w:hAnsi="Arial"/>
          <w:sz w:val="17"/>
          <w:szCs w:val="17"/>
          <w:color w:val="auto"/>
        </w:rPr>
        <w:t>on product candidates in pre</w:t>
      </w:r>
      <w:r>
        <w:rPr>
          <w:rFonts w:ascii="MS PGothic" w:cs="MS PGothic" w:eastAsia="MS PGothic" w:hAnsi="MS PGothic"/>
          <w:sz w:val="17"/>
          <w:szCs w:val="17"/>
          <w:color w:val="auto"/>
        </w:rPr>
        <w:t>‑</w:t>
      </w:r>
      <w:r>
        <w:rPr>
          <w:rFonts w:ascii="Arial" w:cs="Arial" w:eastAsia="Arial" w:hAnsi="Arial"/>
          <w:sz w:val="17"/>
          <w:szCs w:val="17"/>
          <w:color w:val="auto"/>
        </w:rPr>
        <w:t>clinical development, omburtamab</w:t>
      </w:r>
      <w:r>
        <w:rPr>
          <w:rFonts w:ascii="MS PGothic" w:cs="MS PGothic" w:eastAsia="MS PGothic" w:hAnsi="MS PGothic"/>
          <w:sz w:val="17"/>
          <w:szCs w:val="17"/>
          <w:color w:val="auto"/>
        </w:rPr>
        <w:t>‑</w:t>
      </w:r>
      <w:r>
        <w:rPr>
          <w:rFonts w:ascii="Arial" w:cs="Arial" w:eastAsia="Arial" w:hAnsi="Arial"/>
          <w:sz w:val="17"/>
          <w:szCs w:val="17"/>
          <w:color w:val="auto"/>
        </w:rPr>
        <w:t>DTPA and huB7</w:t>
      </w:r>
      <w:r>
        <w:rPr>
          <w:rFonts w:ascii="MS PGothic" w:cs="MS PGothic" w:eastAsia="MS PGothic" w:hAnsi="MS PGothic"/>
          <w:sz w:val="17"/>
          <w:szCs w:val="17"/>
          <w:color w:val="auto"/>
        </w:rPr>
        <w:t>‑</w:t>
      </w:r>
      <w:r>
        <w:rPr>
          <w:rFonts w:ascii="Arial" w:cs="Arial" w:eastAsia="Arial" w:hAnsi="Arial"/>
          <w:sz w:val="17"/>
          <w:szCs w:val="17"/>
          <w:color w:val="auto"/>
        </w:rPr>
        <w:t>H3, a humanized version of omburtamab, each targeting indications with large adult patient populations. In addition, we have initiated a Phase I trial with our huGD2 BsAb product candidate for the treatment of refractory GD2 positive adult and pediatric solid tumours, thereby addressing large patient populations. We are also advancing a pipeline of novel BsAbs through late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including our huCD33</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hematological cancers expressing CD33, a transmembrane receptor expressed on cells of myeloid lineage. We believe that our BsAbs have the potential to result in improved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of tumor cells without the need for continuous infusion. Our mission is to become the world leader in developing better and safer antibody</w:t>
      </w:r>
      <w:r>
        <w:rPr>
          <w:rFonts w:ascii="MS PGothic" w:cs="MS PGothic" w:eastAsia="MS PGothic" w:hAnsi="MS PGothic"/>
          <w:sz w:val="17"/>
          <w:szCs w:val="17"/>
          <w:color w:val="auto"/>
        </w:rPr>
        <w:t>‑</w:t>
      </w:r>
      <w:r>
        <w:rPr>
          <w:rFonts w:ascii="Arial" w:cs="Arial" w:eastAsia="Arial" w:hAnsi="Arial"/>
          <w:sz w:val="17"/>
          <w:szCs w:val="17"/>
          <w:color w:val="auto"/>
        </w:rPr>
        <w:t>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8" w:lineRule="exact"/>
        <w:rPr>
          <w:sz w:val="20"/>
          <w:szCs w:val="20"/>
          <w:color w:val="auto"/>
        </w:rPr>
      </w:pPr>
    </w:p>
    <w:p>
      <w:pPr>
        <w:ind w:right="99" w:firstLine="648"/>
        <w:spacing w:after="0" w:line="219" w:lineRule="exact"/>
        <w:rPr>
          <w:sz w:val="20"/>
          <w:szCs w:val="20"/>
          <w:color w:val="auto"/>
        </w:rPr>
      </w:pPr>
      <w:r>
        <w:rPr>
          <w:rFonts w:ascii="Arial" w:cs="Arial" w:eastAsia="Arial" w:hAnsi="Arial"/>
          <w:sz w:val="16"/>
          <w:szCs w:val="16"/>
          <w:color w:val="auto"/>
        </w:rPr>
        <w:t>Naxitamab is a recombinant humanized immunoglobulin G, subtype 1 or IgG1κ, monoclonal antibody or mAb that targets ganglioside GD2, which is highly expressed in various neuroectoderm</w:t>
      </w:r>
      <w:r>
        <w:rPr>
          <w:rFonts w:ascii="MS PGothic" w:cs="MS PGothic" w:eastAsia="MS PGothic" w:hAnsi="MS PGothic"/>
          <w:sz w:val="16"/>
          <w:szCs w:val="16"/>
          <w:color w:val="auto"/>
        </w:rPr>
        <w:t>‑</w:t>
      </w:r>
      <w:r>
        <w:rPr>
          <w:rFonts w:ascii="Arial" w:cs="Arial" w:eastAsia="Arial" w:hAnsi="Arial"/>
          <w:sz w:val="16"/>
          <w:szCs w:val="16"/>
          <w:color w:val="auto"/>
        </w:rPr>
        <w:t>derived tumors and sarcomas. Naxitamab is currently being studied in several clinical trials, including pivotal</w:t>
      </w:r>
      <w:r>
        <w:rPr>
          <w:rFonts w:ascii="MS PGothic" w:cs="MS PGothic" w:eastAsia="MS PGothic" w:hAnsi="MS PGothic"/>
          <w:sz w:val="16"/>
          <w:szCs w:val="16"/>
          <w:color w:val="auto"/>
        </w:rPr>
        <w:t>‑</w:t>
      </w:r>
      <w:r>
        <w:rPr>
          <w:rFonts w:ascii="Arial" w:cs="Arial" w:eastAsia="Arial" w:hAnsi="Arial"/>
          <w:sz w:val="16"/>
          <w:szCs w:val="16"/>
          <w:color w:val="auto"/>
        </w:rPr>
        <w:t>stage multicenter development (Study 201) and a Phase 1/2 clinical trial (Study 12</w:t>
      </w:r>
      <w:r>
        <w:rPr>
          <w:rFonts w:ascii="MS PGothic" w:cs="MS PGothic" w:eastAsia="MS PGothic" w:hAnsi="MS PGothic"/>
          <w:sz w:val="16"/>
          <w:szCs w:val="16"/>
          <w:color w:val="auto"/>
        </w:rPr>
        <w:t>‑</w:t>
      </w:r>
      <w:r>
        <w:rPr>
          <w:rFonts w:ascii="Arial" w:cs="Arial" w:eastAsia="Arial" w:hAnsi="Arial"/>
          <w:sz w:val="16"/>
          <w:szCs w:val="16"/>
          <w:color w:val="auto"/>
        </w:rPr>
        <w:t>230) for the treatment of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a Phase 2 clinical trial (Study 16</w:t>
      </w:r>
      <w:r>
        <w:rPr>
          <w:rFonts w:ascii="MS PGothic" w:cs="MS PGothic" w:eastAsia="MS PGothic" w:hAnsi="MS PGothic"/>
          <w:sz w:val="16"/>
          <w:szCs w:val="16"/>
          <w:color w:val="auto"/>
        </w:rPr>
        <w:t>‑</w:t>
      </w:r>
      <w:r>
        <w:rPr>
          <w:rFonts w:ascii="Arial" w:cs="Arial" w:eastAsia="Arial" w:hAnsi="Arial"/>
          <w:sz w:val="16"/>
          <w:szCs w:val="16"/>
          <w:color w:val="auto"/>
        </w:rPr>
        <w:t>1643) in front</w:t>
      </w:r>
      <w:r>
        <w:rPr>
          <w:rFonts w:ascii="MS PGothic" w:cs="MS PGothic" w:eastAsia="MS PGothic" w:hAnsi="MS PGothic"/>
          <w:sz w:val="16"/>
          <w:szCs w:val="16"/>
          <w:color w:val="auto"/>
        </w:rPr>
        <w:t>‑</w:t>
      </w:r>
      <w:r>
        <w:rPr>
          <w:rFonts w:ascii="Arial" w:cs="Arial" w:eastAsia="Arial" w:hAnsi="Arial"/>
          <w:sz w:val="16"/>
          <w:szCs w:val="16"/>
          <w:color w:val="auto"/>
        </w:rPr>
        <w:t>line NB, a pilot study (Study 17</w:t>
      </w:r>
      <w:r>
        <w:rPr>
          <w:rFonts w:ascii="MS PGothic" w:cs="MS PGothic" w:eastAsia="MS PGothic" w:hAnsi="MS PGothic"/>
          <w:sz w:val="16"/>
          <w:szCs w:val="16"/>
          <w:color w:val="auto"/>
        </w:rPr>
        <w:t>‑</w:t>
      </w:r>
      <w:r>
        <w:rPr>
          <w:rFonts w:ascii="Arial" w:cs="Arial" w:eastAsia="Arial" w:hAnsi="Arial"/>
          <w:sz w:val="16"/>
          <w:szCs w:val="16"/>
          <w:color w:val="auto"/>
        </w:rPr>
        <w:t>251) of chemoimmunotherapy for high</w:t>
      </w:r>
      <w:r>
        <w:rPr>
          <w:rFonts w:ascii="MS PGothic" w:cs="MS PGothic" w:eastAsia="MS PGothic" w:hAnsi="MS PGothic"/>
          <w:sz w:val="16"/>
          <w:szCs w:val="16"/>
          <w:color w:val="auto"/>
        </w:rPr>
        <w:t>‑</w:t>
      </w:r>
      <w:r>
        <w:rPr>
          <w:rFonts w:ascii="Arial" w:cs="Arial" w:eastAsia="Arial" w:hAnsi="Arial"/>
          <w:sz w:val="16"/>
          <w:szCs w:val="16"/>
          <w:color w:val="auto"/>
        </w:rPr>
        <w:t>risk NB and a Phase 2 clinical trial (Study</w:t>
      </w:r>
    </w:p>
    <w:p>
      <w:pPr>
        <w:spacing w:after="0" w:line="2" w:lineRule="exact"/>
        <w:rPr>
          <w:sz w:val="20"/>
          <w:szCs w:val="20"/>
          <w:color w:val="auto"/>
        </w:rPr>
      </w:pPr>
    </w:p>
    <w:p>
      <w:pPr>
        <w:ind w:right="219"/>
        <w:spacing w:after="0" w:line="216" w:lineRule="exact"/>
        <w:rPr>
          <w:sz w:val="20"/>
          <w:szCs w:val="20"/>
          <w:color w:val="auto"/>
        </w:rPr>
      </w:pPr>
      <w:r>
        <w:rPr>
          <w:rFonts w:ascii="Arial" w:cs="Arial" w:eastAsia="Arial" w:hAnsi="Arial"/>
          <w:sz w:val="17"/>
          <w:szCs w:val="17"/>
          <w:color w:val="auto"/>
        </w:rPr>
        <w:t>15</w:t>
      </w:r>
      <w:r>
        <w:rPr>
          <w:rFonts w:ascii="MS PGothic" w:cs="MS PGothic" w:eastAsia="MS PGothic" w:hAnsi="MS PGothic"/>
          <w:sz w:val="17"/>
          <w:szCs w:val="17"/>
          <w:color w:val="auto"/>
        </w:rPr>
        <w:t>‑</w:t>
      </w:r>
      <w:r>
        <w:rPr>
          <w:rFonts w:ascii="Arial" w:cs="Arial" w:eastAsia="Arial" w:hAnsi="Arial"/>
          <w:sz w:val="17"/>
          <w:szCs w:val="17"/>
          <w:color w:val="auto"/>
        </w:rPr>
        <w:t>096) for relapsed osteosarcoma. We believe that naxitamab has multiple potential advantages over other GD2</w:t>
      </w:r>
      <w:r>
        <w:rPr>
          <w:rFonts w:ascii="MS PGothic" w:cs="MS PGothic" w:eastAsia="MS PGothic" w:hAnsi="MS PGothic"/>
          <w:sz w:val="17"/>
          <w:szCs w:val="17"/>
          <w:color w:val="auto"/>
        </w:rPr>
        <w:t>‑</w:t>
      </w:r>
      <w:r>
        <w:rPr>
          <w:rFonts w:ascii="Arial" w:cs="Arial" w:eastAsia="Arial" w:hAnsi="Arial"/>
          <w:sz w:val="17"/>
          <w:szCs w:val="17"/>
          <w:color w:val="auto"/>
        </w:rPr>
        <w:t>targeting antibody</w:t>
      </w:r>
      <w:r>
        <w:rPr>
          <w:rFonts w:ascii="MS PGothic" w:cs="MS PGothic" w:eastAsia="MS PGothic" w:hAnsi="MS PGothic"/>
          <w:sz w:val="17"/>
          <w:szCs w:val="17"/>
          <w:color w:val="auto"/>
        </w:rPr>
        <w:t>‑</w:t>
      </w:r>
      <w:r>
        <w:rPr>
          <w:rFonts w:ascii="Arial" w:cs="Arial" w:eastAsia="Arial" w:hAnsi="Arial"/>
          <w:sz w:val="17"/>
          <w:szCs w:val="17"/>
          <w:color w:val="auto"/>
        </w:rPr>
        <w:t>based therapies. In particular, its modest toxicity allows for doses two</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half times greater than existing GD2</w:t>
      </w:r>
      <w:r>
        <w:rPr>
          <w:rFonts w:ascii="MS PGothic" w:cs="MS PGothic" w:eastAsia="MS PGothic" w:hAnsi="MS PGothic"/>
          <w:sz w:val="17"/>
          <w:szCs w:val="17"/>
          <w:color w:val="auto"/>
        </w:rPr>
        <w:t>‑</w:t>
      </w:r>
      <w:r>
        <w:rPr>
          <w:rFonts w:ascii="Arial" w:cs="Arial" w:eastAsia="Arial" w:hAnsi="Arial"/>
          <w:sz w:val="17"/>
          <w:szCs w:val="17"/>
          <w:color w:val="auto"/>
        </w:rPr>
        <w:t>targeting antibody</w:t>
      </w:r>
      <w:r>
        <w:rPr>
          <w:rFonts w:ascii="MS PGothic" w:cs="MS PGothic" w:eastAsia="MS PGothic" w:hAnsi="MS PGothic"/>
          <w:sz w:val="17"/>
          <w:szCs w:val="17"/>
          <w:color w:val="auto"/>
        </w:rPr>
        <w:t>‑</w:t>
      </w:r>
      <w:r>
        <w:rPr>
          <w:rFonts w:ascii="Arial" w:cs="Arial" w:eastAsia="Arial" w:hAnsi="Arial"/>
          <w:sz w:val="17"/>
          <w:szCs w:val="17"/>
          <w:color w:val="auto"/>
        </w:rPr>
        <w:t>based therapies. Unlike currently approved GD2</w:t>
      </w:r>
      <w:r>
        <w:rPr>
          <w:rFonts w:ascii="MS PGothic" w:cs="MS PGothic" w:eastAsia="MS PGothic" w:hAnsi="MS PGothic"/>
          <w:sz w:val="17"/>
          <w:szCs w:val="17"/>
          <w:color w:val="auto"/>
        </w:rPr>
        <w:t>‑</w:t>
      </w:r>
      <w:r>
        <w:rPr>
          <w:rFonts w:ascii="Arial" w:cs="Arial" w:eastAsia="Arial" w:hAnsi="Arial"/>
          <w:sz w:val="17"/>
          <w:szCs w:val="17"/>
          <w:color w:val="auto"/>
        </w:rPr>
        <w:t>targeting therapies for NB, which require 10 to 20 hours of infusion and hospitalization for several days, naxitamab is administered in</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approximately 30 minutes in an outpatient setting. We believe this significantly shorter administration time is an important advantage considering the overall pain associated with treatment.</w:t>
      </w:r>
    </w:p>
    <w:p>
      <w:pPr>
        <w:spacing w:after="0" w:line="170"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In the dose escalation part of Study 12</w:t>
      </w:r>
      <w:r>
        <w:rPr>
          <w:rFonts w:ascii="MS PGothic" w:cs="MS PGothic" w:eastAsia="MS PGothic" w:hAnsi="MS PGothic"/>
          <w:sz w:val="16"/>
          <w:szCs w:val="16"/>
          <w:color w:val="auto"/>
        </w:rPr>
        <w:t>‑</w:t>
      </w:r>
      <w:r>
        <w:rPr>
          <w:rFonts w:ascii="Arial" w:cs="Arial" w:eastAsia="Arial" w:hAnsi="Arial"/>
          <w:sz w:val="16"/>
          <w:szCs w:val="16"/>
          <w:color w:val="auto"/>
        </w:rPr>
        <w:t>230 for naxitamab, which together with Study 201 is expected to form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primary basis of our BLA submission, we achieved an overall response rate, or ORR, of 57% in 23 patients with pediatric</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R/R high</w:t>
      </w:r>
      <w:r>
        <w:rPr>
          <w:rFonts w:ascii="MS PGothic" w:cs="MS PGothic" w:eastAsia="MS PGothic" w:hAnsi="MS PGothic"/>
          <w:sz w:val="16"/>
          <w:szCs w:val="16"/>
          <w:color w:val="auto"/>
        </w:rPr>
        <w:t>‑</w:t>
      </w:r>
      <w:r>
        <w:rPr>
          <w:rFonts w:ascii="Arial" w:cs="Arial" w:eastAsia="Arial" w:hAnsi="Arial"/>
          <w:sz w:val="16"/>
          <w:szCs w:val="16"/>
          <w:color w:val="auto"/>
        </w:rPr>
        <w:t>risk NB who at study entry had evaluable tumors and no evidence of progression of disease, or PD. Based on our</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discussions with the FDA, the profile of the non</w:t>
      </w:r>
      <w:r>
        <w:rPr>
          <w:rFonts w:ascii="MS PGothic" w:cs="MS PGothic" w:eastAsia="MS PGothic" w:hAnsi="MS PGothic"/>
          <w:sz w:val="16"/>
          <w:szCs w:val="16"/>
          <w:color w:val="auto"/>
        </w:rPr>
        <w:t>‑</w:t>
      </w:r>
      <w:r>
        <w:rPr>
          <w:rFonts w:ascii="Arial" w:cs="Arial" w:eastAsia="Arial" w:hAnsi="Arial"/>
          <w:sz w:val="16"/>
          <w:szCs w:val="16"/>
          <w:color w:val="auto"/>
        </w:rPr>
        <w:t>PD R/R high</w:t>
      </w:r>
      <w:r>
        <w:rPr>
          <w:rFonts w:ascii="MS PGothic" w:cs="MS PGothic" w:eastAsia="MS PGothic" w:hAnsi="MS PGothic"/>
          <w:sz w:val="16"/>
          <w:szCs w:val="16"/>
          <w:color w:val="auto"/>
        </w:rPr>
        <w:t>‑</w:t>
      </w:r>
      <w:r>
        <w:rPr>
          <w:rFonts w:ascii="Arial" w:cs="Arial" w:eastAsia="Arial" w:hAnsi="Arial"/>
          <w:sz w:val="16"/>
          <w:szCs w:val="16"/>
          <w:color w:val="auto"/>
        </w:rPr>
        <w:t>risk NB pediatric patients in Study 12</w:t>
      </w:r>
      <w:r>
        <w:rPr>
          <w:rFonts w:ascii="MS PGothic" w:cs="MS PGothic" w:eastAsia="MS PGothic" w:hAnsi="MS PGothic"/>
          <w:sz w:val="16"/>
          <w:szCs w:val="16"/>
          <w:color w:val="auto"/>
        </w:rPr>
        <w:t>‑</w:t>
      </w:r>
      <w:r>
        <w:rPr>
          <w:rFonts w:ascii="Arial" w:cs="Arial" w:eastAsia="Arial" w:hAnsi="Arial"/>
          <w:sz w:val="16"/>
          <w:szCs w:val="16"/>
          <w:color w:val="auto"/>
        </w:rPr>
        <w:t>230 is representative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intended patient population for naxitamab’s target indication. The corresponding ORRs will form the primary objective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pivotal study (Study 201). Additionally, based on our discussions with the FDA, we believe that naxitamab may qualify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accelerated approval if we can demonstrate a 30% ORR (which is significantly different from a 20% ORR at a 95%</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confidence interval, or CI) with a duration of response of 12</w:t>
      </w:r>
      <w:r>
        <w:rPr>
          <w:rFonts w:ascii="MS PGothic" w:cs="MS PGothic" w:eastAsia="MS PGothic" w:hAnsi="MS PGothic"/>
          <w:sz w:val="16"/>
          <w:szCs w:val="16"/>
          <w:color w:val="auto"/>
        </w:rPr>
        <w:t>‑</w:t>
      </w:r>
      <w:r>
        <w:rPr>
          <w:rFonts w:ascii="Arial" w:cs="Arial" w:eastAsia="Arial" w:hAnsi="Arial"/>
          <w:sz w:val="16"/>
          <w:szCs w:val="16"/>
          <w:color w:val="auto"/>
        </w:rPr>
        <w:t>weeks or longer. We have proposed to the FDA that, pending</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comparability between the study population in Study 12</w:t>
      </w:r>
      <w:r>
        <w:rPr>
          <w:rFonts w:ascii="MS PGothic" w:cs="MS PGothic" w:eastAsia="MS PGothic" w:hAnsi="MS PGothic"/>
          <w:sz w:val="16"/>
          <w:szCs w:val="16"/>
          <w:color w:val="auto"/>
        </w:rPr>
        <w:t>‑</w:t>
      </w:r>
      <w:r>
        <w:rPr>
          <w:rFonts w:ascii="Arial" w:cs="Arial" w:eastAsia="Arial" w:hAnsi="Arial"/>
          <w:sz w:val="16"/>
          <w:szCs w:val="16"/>
          <w:color w:val="auto"/>
        </w:rPr>
        <w:t>230 and Study 201, the data from the two studies may be pooled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analysis. Naxitamab has been administered to more than 200 patients to date, who will form the safety portion of our planned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BLA submission. In May 2018, we reported topline results from the Phase 2 part of Study 12</w:t>
      </w:r>
      <w:r>
        <w:rPr>
          <w:rFonts w:ascii="MS PGothic" w:cs="MS PGothic" w:eastAsia="MS PGothic" w:hAnsi="MS PGothic"/>
          <w:sz w:val="16"/>
          <w:szCs w:val="16"/>
          <w:color w:val="auto"/>
        </w:rPr>
        <w:t>‑</w:t>
      </w:r>
      <w:r>
        <w:rPr>
          <w:rFonts w:ascii="Arial" w:cs="Arial" w:eastAsia="Arial" w:hAnsi="Arial"/>
          <w:sz w:val="16"/>
          <w:szCs w:val="16"/>
          <w:color w:val="auto"/>
        </w:rPr>
        <w:t>230. The endpoints of this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study were complete tumor response (also known as complete remission), or CR, or partial tumor response, or PR.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Complete tumor response is the total disappearance of a tumor and partial tumor response is a decrease in the size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tumor, or in the extent of cancer in the body, in response to the treatment. This data continued to show response rates 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same levels as in the dose escalation part of the study with 13 of 15 evaluable, or 87% of, primary refractory patients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responding and 7 of 23 evaluable, or 30% of, secondary refractory patients responding. We expect to submit the BLA for</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naxitamab for R/R high</w:t>
      </w:r>
      <w:r>
        <w:rPr>
          <w:rFonts w:ascii="MS PGothic" w:cs="MS PGothic" w:eastAsia="MS PGothic" w:hAnsi="MS PGothic"/>
          <w:sz w:val="18"/>
          <w:szCs w:val="18"/>
          <w:color w:val="auto"/>
        </w:rPr>
        <w:t>‑</w:t>
      </w:r>
      <w:r>
        <w:rPr>
          <w:rFonts w:ascii="Arial" w:cs="Arial" w:eastAsia="Arial" w:hAnsi="Arial"/>
          <w:sz w:val="18"/>
          <w:szCs w:val="18"/>
          <w:color w:val="auto"/>
        </w:rPr>
        <w:t>risk NB in 2019. Currently, there are no FDA</w:t>
      </w:r>
      <w:r>
        <w:rPr>
          <w:rFonts w:ascii="MS PGothic" w:cs="MS PGothic" w:eastAsia="MS PGothic" w:hAnsi="MS PGothic"/>
          <w:sz w:val="18"/>
          <w:szCs w:val="18"/>
          <w:color w:val="auto"/>
        </w:rPr>
        <w:t>‑</w:t>
      </w:r>
      <w:r>
        <w:rPr>
          <w:rFonts w:ascii="Arial" w:cs="Arial" w:eastAsia="Arial" w:hAnsi="Arial"/>
          <w:sz w:val="18"/>
          <w:szCs w:val="18"/>
          <w:color w:val="auto"/>
        </w:rPr>
        <w:t>approved therapies for primary refractory or</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second</w:t>
      </w:r>
      <w:r>
        <w:rPr>
          <w:rFonts w:ascii="MS PGothic" w:cs="MS PGothic" w:eastAsia="MS PGothic" w:hAnsi="MS PGothic"/>
          <w:sz w:val="16"/>
          <w:szCs w:val="16"/>
          <w:color w:val="auto"/>
        </w:rPr>
        <w:t>‑</w:t>
      </w:r>
      <w:r>
        <w:rPr>
          <w:rFonts w:ascii="Arial" w:cs="Arial" w:eastAsia="Arial" w:hAnsi="Arial"/>
          <w:sz w:val="16"/>
          <w:szCs w:val="16"/>
          <w:color w:val="auto"/>
        </w:rPr>
        <w:t>line pediatric NB patients. Naxitamab has also received orphan drug designation, or ODD, and rare pediatric disease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designation, or RPDD, from the FDA for the treatment of NB. In addition, on August 20, 2018, naxitamab received</w:t>
      </w:r>
    </w:p>
    <w:p>
      <w:pPr>
        <w:spacing w:after="0" w:line="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breakthrough therapy designation, or BTD, in combination with GM</w:t>
      </w:r>
      <w:r>
        <w:rPr>
          <w:rFonts w:ascii="MS PGothic" w:cs="MS PGothic" w:eastAsia="MS PGothic" w:hAnsi="MS PGothic"/>
          <w:sz w:val="17"/>
          <w:szCs w:val="17"/>
          <w:color w:val="auto"/>
        </w:rPr>
        <w:t>‑</w:t>
      </w:r>
      <w:r>
        <w:rPr>
          <w:rFonts w:ascii="Arial" w:cs="Arial" w:eastAsia="Arial" w:hAnsi="Arial"/>
          <w:sz w:val="17"/>
          <w:szCs w:val="17"/>
          <w:color w:val="auto"/>
        </w:rPr>
        <w:t>CSF, for the treatment of high</w:t>
      </w:r>
      <w:r>
        <w:rPr>
          <w:rFonts w:ascii="MS PGothic" w:cs="MS PGothic" w:eastAsia="MS PGothic" w:hAnsi="MS PGothic"/>
          <w:sz w:val="17"/>
          <w:szCs w:val="17"/>
          <w:color w:val="auto"/>
        </w:rPr>
        <w:t>‑</w:t>
      </w:r>
      <w:r>
        <w:rPr>
          <w:rFonts w:ascii="Arial" w:cs="Arial" w:eastAsia="Arial" w:hAnsi="Arial"/>
          <w:sz w:val="17"/>
          <w:szCs w:val="17"/>
          <w:color w:val="auto"/>
        </w:rPr>
        <w:t>risk NB refractory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initial therapy or with incomplete response to salvage therapy in patients greater than 12 months of age with persistent,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refractory disease limited to bone marrow with or without evidence of concurrent bone involvement. Finally, in November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2018, the European Commission granted orphan medicinal product designation, or (“OMPD”) for naxitamab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treatment of NB. While our current clinical efforts for naxitamab are focused on rare pediatric cancers, we believe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 potentially expand its application to the treatment of adults with cancers that express GD2. We estimate that there were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more than 200,000 new adult patients diagnosed with GD2</w:t>
      </w:r>
      <w:r>
        <w:rPr>
          <w:rFonts w:ascii="MS PGothic" w:cs="MS PGothic" w:eastAsia="MS PGothic" w:hAnsi="MS PGothic"/>
          <w:sz w:val="18"/>
          <w:szCs w:val="18"/>
          <w:color w:val="auto"/>
        </w:rPr>
        <w:t>‑</w:t>
      </w:r>
      <w:r>
        <w:rPr>
          <w:rFonts w:ascii="Arial" w:cs="Arial" w:eastAsia="Arial" w:hAnsi="Arial"/>
          <w:sz w:val="18"/>
          <w:szCs w:val="18"/>
          <w:color w:val="auto"/>
        </w:rPr>
        <w:t>positive cancers in the United States in 2017.</w:t>
      </w:r>
    </w:p>
    <w:p>
      <w:pPr>
        <w:spacing w:after="0" w:line="211"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Omburtamab is a murine monoclonal antibody that targets B7</w:t>
      </w:r>
      <w:r>
        <w:rPr>
          <w:rFonts w:ascii="MS PGothic" w:cs="MS PGothic" w:eastAsia="MS PGothic" w:hAnsi="MS PGothic"/>
          <w:sz w:val="18"/>
          <w:szCs w:val="18"/>
          <w:color w:val="auto"/>
        </w:rPr>
        <w:t>‑</w:t>
      </w:r>
      <w:r>
        <w:rPr>
          <w:rFonts w:ascii="Arial" w:cs="Arial" w:eastAsia="Arial" w:hAnsi="Arial"/>
          <w:sz w:val="18"/>
          <w:szCs w:val="18"/>
          <w:color w:val="auto"/>
        </w:rPr>
        <w:t xml:space="preserve">H3, an immune checkpoint molecule that is widely expressed in tumor cells of several cancer types.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which is omburtamab radiolabeled with Iodine</w:t>
      </w:r>
      <w:r>
        <w:rPr>
          <w:rFonts w:ascii="MS PGothic" w:cs="MS PGothic" w:eastAsia="MS PGothic" w:hAnsi="MS PGothic"/>
          <w:sz w:val="18"/>
          <w:szCs w:val="18"/>
          <w:color w:val="auto"/>
        </w:rPr>
        <w:t>‑</w:t>
      </w:r>
      <w:r>
        <w:rPr>
          <w:rFonts w:ascii="Arial" w:cs="Arial" w:eastAsia="Arial" w:hAnsi="Arial"/>
          <w:sz w:val="18"/>
          <w:szCs w:val="18"/>
          <w:color w:val="auto"/>
        </w:rPr>
        <w:t>131, is currently being studied in several clinical trials including pivotal</w:t>
      </w:r>
      <w:r>
        <w:rPr>
          <w:rFonts w:ascii="MS PGothic" w:cs="MS PGothic" w:eastAsia="MS PGothic" w:hAnsi="MS PGothic"/>
          <w:sz w:val="18"/>
          <w:szCs w:val="18"/>
          <w:color w:val="auto"/>
        </w:rPr>
        <w:t>‑</w:t>
      </w:r>
      <w:r>
        <w:rPr>
          <w:rFonts w:ascii="Arial" w:cs="Arial" w:eastAsia="Arial" w:hAnsi="Arial"/>
          <w:sz w:val="18"/>
          <w:szCs w:val="18"/>
          <w:color w:val="auto"/>
        </w:rPr>
        <w:t>stage development (Study 101) and a Phase 1 clinical trial (Study 03</w:t>
      </w:r>
      <w:r>
        <w:rPr>
          <w:rFonts w:ascii="MS PGothic" w:cs="MS PGothic" w:eastAsia="MS PGothic" w:hAnsi="MS PGothic"/>
          <w:sz w:val="18"/>
          <w:szCs w:val="18"/>
          <w:color w:val="auto"/>
        </w:rPr>
        <w:t>‑</w:t>
      </w:r>
      <w:r>
        <w:rPr>
          <w:rFonts w:ascii="Arial" w:cs="Arial" w:eastAsia="Arial" w:hAnsi="Arial"/>
          <w:sz w:val="18"/>
          <w:szCs w:val="18"/>
          <w:color w:val="auto"/>
        </w:rPr>
        <w:t xml:space="preserve">133) for the treatment of pediatric patients who have CNS/LM from NB. As of August 2017, 93 patients with pediatric CNS/LM from NB had been treated with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 Study 03</w:t>
      </w:r>
      <w:r>
        <w:rPr>
          <w:rFonts w:ascii="MS PGothic" w:cs="MS PGothic" w:eastAsia="MS PGothic" w:hAnsi="MS PGothic"/>
          <w:sz w:val="18"/>
          <w:szCs w:val="18"/>
          <w:color w:val="auto"/>
        </w:rPr>
        <w:t>‑</w:t>
      </w:r>
      <w:r>
        <w:rPr>
          <w:rFonts w:ascii="Arial" w:cs="Arial" w:eastAsia="Arial" w:hAnsi="Arial"/>
          <w:sz w:val="18"/>
          <w:szCs w:val="18"/>
          <w:color w:val="auto"/>
        </w:rPr>
        <w:t>133. An analysis of these 93 patients demonstrated a median overall survival, or OS, of 47 months (including an estimated five</w:t>
      </w:r>
      <w:r>
        <w:rPr>
          <w:rFonts w:ascii="MS PGothic" w:cs="MS PGothic" w:eastAsia="MS PGothic" w:hAnsi="MS PGothic"/>
          <w:sz w:val="18"/>
          <w:szCs w:val="18"/>
          <w:color w:val="auto"/>
        </w:rPr>
        <w:t>‑</w:t>
      </w:r>
      <w:r>
        <w:rPr>
          <w:rFonts w:ascii="Arial" w:cs="Arial" w:eastAsia="Arial" w:hAnsi="Arial"/>
          <w:sz w:val="18"/>
          <w:szCs w:val="18"/>
          <w:color w:val="auto"/>
        </w:rPr>
        <w:t>year OS of approximately 43%), as compared to historical median OS of approximately six months. We have proposed to the FDA that, pending comparability between study population in Study 03</w:t>
      </w:r>
      <w:r>
        <w:rPr>
          <w:rFonts w:ascii="MS PGothic" w:cs="MS PGothic" w:eastAsia="MS PGothic" w:hAnsi="MS PGothic"/>
          <w:sz w:val="18"/>
          <w:szCs w:val="18"/>
          <w:color w:val="auto"/>
        </w:rPr>
        <w:t>‑</w:t>
      </w:r>
      <w:r>
        <w:rPr>
          <w:rFonts w:ascii="Arial" w:cs="Arial" w:eastAsia="Arial" w:hAnsi="Arial"/>
          <w:sz w:val="18"/>
          <w:szCs w:val="18"/>
          <w:color w:val="auto"/>
        </w:rPr>
        <w:t xml:space="preserve">133 and Study 101, data from both studies may be pooled for analysis for our planned BLA submission.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has received ODD and RPDD from the FDA for the treatment of NB, and BTD for the treatment of pediatric patients who have CNS/LM from NB. In 2019, we expect to submit the BLA for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for CNS/LM from NB.</w:t>
      </w:r>
    </w:p>
    <w:p>
      <w:pPr>
        <w:spacing w:after="0" w:line="202" w:lineRule="exact"/>
        <w:rPr>
          <w:sz w:val="20"/>
          <w:szCs w:val="20"/>
          <w:color w:val="auto"/>
        </w:rPr>
      </w:pPr>
    </w:p>
    <w:p>
      <w:pPr>
        <w:ind w:right="20" w:firstLine="648"/>
        <w:spacing w:after="0" w:line="218" w:lineRule="exact"/>
        <w:rPr>
          <w:sz w:val="20"/>
          <w:szCs w:val="20"/>
          <w:color w:val="auto"/>
        </w:rPr>
      </w:pPr>
      <w:r>
        <w:rPr>
          <w:rFonts w:ascii="Arial" w:cs="Arial" w:eastAsia="Arial" w:hAnsi="Arial"/>
          <w:sz w:val="9"/>
          <w:szCs w:val="9"/>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which is omburtamab radiolabeled with Iodine</w:t>
      </w:r>
      <w:r>
        <w:rPr>
          <w:rFonts w:ascii="MS PGothic" w:cs="MS PGothic" w:eastAsia="MS PGothic" w:hAnsi="MS PGothic"/>
          <w:sz w:val="17"/>
          <w:szCs w:val="17"/>
          <w:color w:val="auto"/>
        </w:rPr>
        <w:t>‑</w:t>
      </w:r>
      <w:r>
        <w:rPr>
          <w:rFonts w:ascii="Arial" w:cs="Arial" w:eastAsia="Arial" w:hAnsi="Arial"/>
          <w:sz w:val="17"/>
          <w:szCs w:val="17"/>
          <w:color w:val="auto"/>
        </w:rPr>
        <w:t>124, is currently being studied for the treatment of</w:t>
      </w:r>
      <w:r>
        <w:rPr>
          <w:rFonts w:ascii="Arial" w:cs="Arial" w:eastAsia="Arial" w:hAnsi="Arial"/>
          <w:sz w:val="9"/>
          <w:szCs w:val="9"/>
          <w:color w:val="auto"/>
        </w:rPr>
        <w:t xml:space="preserve"> </w:t>
      </w:r>
      <w:r>
        <w:rPr>
          <w:rFonts w:ascii="Arial" w:cs="Arial" w:eastAsia="Arial" w:hAnsi="Arial"/>
          <w:sz w:val="17"/>
          <w:szCs w:val="17"/>
          <w:color w:val="auto"/>
        </w:rPr>
        <w:t xml:space="preserve">Diffuse Intrinsic Pontine Glioma, or DIPG.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w:t>
      </w:r>
      <w:r>
        <w:rPr>
          <w:rFonts w:ascii="MS PGothic" w:cs="MS PGothic" w:eastAsia="MS PGothic" w:hAnsi="MS PGothic"/>
          <w:sz w:val="17"/>
          <w:szCs w:val="17"/>
          <w:color w:val="auto"/>
        </w:rPr>
        <w:t>‑</w:t>
      </w:r>
      <w:r>
        <w:rPr>
          <w:rFonts w:ascii="Arial" w:cs="Arial" w:eastAsia="Arial" w:hAnsi="Arial"/>
          <w:sz w:val="17"/>
          <w:szCs w:val="17"/>
          <w:color w:val="auto"/>
        </w:rPr>
        <w:t>H3 and the underlying solid systemic tumors. We estimate that, in the United States and the EU in 2017, there were more than 30,000 new patients diagnosed with cancer that has metastasized to the CNS/LM, of which the vast majority express B7</w:t>
      </w:r>
      <w:r>
        <w:rPr>
          <w:rFonts w:ascii="MS PGothic" w:cs="MS PGothic" w:eastAsia="MS PGothic" w:hAnsi="MS PGothic"/>
          <w:sz w:val="17"/>
          <w:szCs w:val="17"/>
          <w:color w:val="auto"/>
        </w:rPr>
        <w:t>‑</w:t>
      </w:r>
      <w:r>
        <w:rPr>
          <w:rFonts w:ascii="Arial" w:cs="Arial" w:eastAsia="Arial" w:hAnsi="Arial"/>
          <w:sz w:val="17"/>
          <w:szCs w:val="17"/>
          <w:color w:val="auto"/>
        </w:rPr>
        <w:t>H3.</w:t>
      </w:r>
    </w:p>
    <w:p>
      <w:pPr>
        <w:spacing w:after="0" w:line="206" w:lineRule="exact"/>
        <w:rPr>
          <w:sz w:val="20"/>
          <w:szCs w:val="20"/>
          <w:color w:val="auto"/>
        </w:rPr>
      </w:pPr>
    </w:p>
    <w:p>
      <w:pPr>
        <w:ind w:right="360" w:firstLine="648"/>
        <w:spacing w:after="0" w:line="224" w:lineRule="exact"/>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w:t>
      </w:r>
      <w:r>
        <w:rPr>
          <w:rFonts w:ascii="MS PGothic" w:cs="MS PGothic" w:eastAsia="MS PGothic" w:hAnsi="MS PGothic"/>
          <w:sz w:val="16"/>
          <w:szCs w:val="16"/>
          <w:color w:val="auto"/>
        </w:rPr>
        <w:t>‑</w:t>
      </w:r>
      <w:r>
        <w:rPr>
          <w:rFonts w:ascii="Arial" w:cs="Arial" w:eastAsia="Arial" w:hAnsi="Arial"/>
          <w:sz w:val="16"/>
          <w:szCs w:val="16"/>
          <w:color w:val="auto"/>
        </w:rPr>
        <w:t>133 and Study 12</w:t>
      </w:r>
      <w:r>
        <w:rPr>
          <w:rFonts w:ascii="MS PGothic" w:cs="MS PGothic" w:eastAsia="MS PGothic" w:hAnsi="MS PGothic"/>
          <w:sz w:val="16"/>
          <w:szCs w:val="16"/>
          <w:color w:val="auto"/>
        </w:rPr>
        <w:t>‑</w:t>
      </w:r>
      <w:r>
        <w:rPr>
          <w:rFonts w:ascii="Arial" w:cs="Arial" w:eastAsia="Arial" w:hAnsi="Arial"/>
          <w:sz w:val="16"/>
          <w:szCs w:val="16"/>
          <w:color w:val="auto"/>
        </w:rPr>
        <w:t>230, respectively, and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21" w:lineRule="exact"/>
        <w:rPr>
          <w:sz w:val="20"/>
          <w:szCs w:val="20"/>
          <w:color w:val="auto"/>
        </w:rPr>
      </w:pPr>
      <w:r>
        <w:rPr>
          <w:rFonts w:ascii="Arial" w:cs="Arial" w:eastAsia="Arial" w:hAnsi="Arial"/>
          <w:sz w:val="17"/>
          <w:szCs w:val="17"/>
          <w:color w:val="auto"/>
        </w:rPr>
        <w:t>to satisfy the confirmatory study and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w:t>
      </w:r>
    </w:p>
    <w:p>
      <w:pPr>
        <w:spacing w:after="0" w:line="202"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We have two additional product candidates targeting B7</w:t>
      </w:r>
      <w:r>
        <w:rPr>
          <w:rFonts w:ascii="MS PGothic" w:cs="MS PGothic" w:eastAsia="MS PGothic" w:hAnsi="MS PGothic"/>
          <w:sz w:val="17"/>
          <w:szCs w:val="17"/>
          <w:color w:val="auto"/>
        </w:rPr>
        <w:t>‑</w:t>
      </w:r>
      <w:r>
        <w:rPr>
          <w:rFonts w:ascii="Arial" w:cs="Arial" w:eastAsia="Arial" w:hAnsi="Arial"/>
          <w:sz w:val="17"/>
          <w:szCs w:val="17"/>
          <w:color w:val="auto"/>
        </w:rPr>
        <w:t>H3 in pre</w:t>
      </w:r>
      <w:r>
        <w:rPr>
          <w:rFonts w:ascii="MS PGothic" w:cs="MS PGothic" w:eastAsia="MS PGothic" w:hAnsi="MS PGothic"/>
          <w:sz w:val="17"/>
          <w:szCs w:val="17"/>
          <w:color w:val="auto"/>
        </w:rPr>
        <w:t>‑</w:t>
      </w:r>
      <w:r>
        <w:rPr>
          <w:rFonts w:ascii="Arial" w:cs="Arial" w:eastAsia="Arial" w:hAnsi="Arial"/>
          <w:sz w:val="17"/>
          <w:szCs w:val="17"/>
          <w:color w:val="auto"/>
        </w:rPr>
        <w:t>clinical development, omburtamab</w:t>
      </w:r>
      <w:r>
        <w:rPr>
          <w:rFonts w:ascii="MS PGothic" w:cs="MS PGothic" w:eastAsia="MS PGothic" w:hAnsi="MS PGothic"/>
          <w:sz w:val="17"/>
          <w:szCs w:val="17"/>
          <w:color w:val="auto"/>
        </w:rPr>
        <w:t>‑</w:t>
      </w:r>
      <w:r>
        <w:rPr>
          <w:rFonts w:ascii="Arial" w:cs="Arial" w:eastAsia="Arial" w:hAnsi="Arial"/>
          <w:sz w:val="17"/>
          <w:szCs w:val="17"/>
          <w:color w:val="auto"/>
        </w:rPr>
        <w:t>DTPA (diethylenetriamine pentaacetate), a Lutetium</w:t>
      </w:r>
      <w:r>
        <w:rPr>
          <w:rFonts w:ascii="MS PGothic" w:cs="MS PGothic" w:eastAsia="MS PGothic" w:hAnsi="MS PGothic"/>
          <w:sz w:val="17"/>
          <w:szCs w:val="17"/>
          <w:color w:val="auto"/>
        </w:rPr>
        <w:t>‑</w:t>
      </w:r>
      <w:r>
        <w:rPr>
          <w:rFonts w:ascii="Arial" w:cs="Arial" w:eastAsia="Arial" w:hAnsi="Arial"/>
          <w:sz w:val="17"/>
          <w:szCs w:val="17"/>
          <w:color w:val="auto"/>
        </w:rPr>
        <w:t>177 conjugated antibody, and huB7</w:t>
      </w:r>
      <w:r>
        <w:rPr>
          <w:rFonts w:ascii="MS PGothic" w:cs="MS PGothic" w:eastAsia="MS PGothic" w:hAnsi="MS PGothic"/>
          <w:sz w:val="17"/>
          <w:szCs w:val="17"/>
          <w:color w:val="auto"/>
        </w:rPr>
        <w:t>‑</w:t>
      </w:r>
      <w:r>
        <w:rPr>
          <w:rFonts w:ascii="Arial" w:cs="Arial" w:eastAsia="Arial" w:hAnsi="Arial"/>
          <w:sz w:val="17"/>
          <w:szCs w:val="17"/>
          <w:color w:val="auto"/>
        </w:rPr>
        <w:t>H3, a humanized version of omburtamab, each targeting indications with pediatric and large adult patient populations where we believe there is a significant unmet medical need. We are also advancing a pipeline of novel BsAbs through late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including our huCD33</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hematological cancers expressing CD33, a transmembrane receptor expressed on cells of myeloid lineage. As of December 10, 2018, FDA cleared the Investigational New Drug (“IND”) application for the humanized bispecific GD2 antibody, and a Phase I trial was initiated with our huGD2</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refractory GD2</w:t>
      </w:r>
      <w:r>
        <w:rPr>
          <w:rFonts w:ascii="MS PGothic" w:cs="MS PGothic" w:eastAsia="MS PGothic" w:hAnsi="MS PGothic"/>
          <w:sz w:val="17"/>
          <w:szCs w:val="17"/>
          <w:color w:val="auto"/>
        </w:rPr>
        <w:t>‑</w:t>
      </w:r>
      <w:r>
        <w:rPr>
          <w:rFonts w:ascii="Arial" w:cs="Arial" w:eastAsia="Arial" w:hAnsi="Arial"/>
          <w:sz w:val="17"/>
          <w:szCs w:val="17"/>
          <w:color w:val="auto"/>
        </w:rPr>
        <w:t>positive adult and pediatric solid tumors. In pre</w:t>
      </w:r>
      <w:r>
        <w:rPr>
          <w:rFonts w:ascii="MS PGothic" w:cs="MS PGothic" w:eastAsia="MS PGothic" w:hAnsi="MS PGothic"/>
          <w:sz w:val="17"/>
          <w:szCs w:val="17"/>
          <w:color w:val="auto"/>
        </w:rPr>
        <w:t>‑</w:t>
      </w:r>
      <w:r>
        <w:rPr>
          <w:rFonts w:ascii="Arial" w:cs="Arial" w:eastAsia="Arial" w:hAnsi="Arial"/>
          <w:sz w:val="17"/>
          <w:szCs w:val="17"/>
          <w:color w:val="auto"/>
        </w:rPr>
        <w:t>clinical studies, huGD2</w:t>
      </w:r>
      <w:r>
        <w:rPr>
          <w:rFonts w:ascii="MS PGothic" w:cs="MS PGothic" w:eastAsia="MS PGothic" w:hAnsi="MS PGothic"/>
          <w:sz w:val="17"/>
          <w:szCs w:val="17"/>
          <w:color w:val="auto"/>
        </w:rPr>
        <w:t>‑</w:t>
      </w:r>
      <w:r>
        <w:rPr>
          <w:rFonts w:ascii="Arial" w:cs="Arial" w:eastAsia="Arial" w:hAnsi="Arial"/>
          <w:sz w:val="17"/>
          <w:szCs w:val="17"/>
          <w:color w:val="auto"/>
        </w:rPr>
        <w:t>BsAb has demonstrated the potential for improved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compared to existing bispecific constructs.</w:t>
      </w:r>
    </w:p>
    <w:p>
      <w:pPr>
        <w:spacing w:after="0" w:line="20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currently have four active INDs related to our product candidates. The table below sets forth the product candidate, date of the initial submission of the IND to the FDA, as well as the current sponsor, the subject matter and the current status of each such IND.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840" w:type="dxa"/>
            <w:vAlign w:val="bottom"/>
            <w:gridSpan w:val="2"/>
          </w:tcPr>
          <w:p>
            <w:pPr>
              <w:ind w:left="600"/>
              <w:spacing w:after="0"/>
              <w:rPr>
                <w:sz w:val="20"/>
                <w:szCs w:val="20"/>
                <w:color w:val="auto"/>
              </w:rPr>
            </w:pPr>
            <w:r>
              <w:rPr>
                <w:rFonts w:ascii="Arial" w:cs="Arial" w:eastAsia="Arial" w:hAnsi="Arial"/>
                <w:sz w:val="14"/>
                <w:szCs w:val="14"/>
                <w:b w:val="1"/>
                <w:bCs w:val="1"/>
                <w:color w:val="auto"/>
              </w:rPr>
              <w:t>Date of</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Subject Matter of IND</w:t>
            </w:r>
          </w:p>
        </w:tc>
        <w:tc>
          <w:tcPr>
            <w:tcW w:w="16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18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Initial Submission</w:t>
            </w: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Sponsor</w:t>
            </w:r>
          </w:p>
        </w:tc>
        <w:tc>
          <w:tcPr>
            <w:tcW w:w="1860" w:type="dxa"/>
            <w:vAlign w:val="bottom"/>
            <w:gridSpan w:val="2"/>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Naxitamab</w:t>
            </w:r>
          </w:p>
        </w:tc>
        <w:tc>
          <w:tcPr>
            <w:tcW w:w="1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June 14, 2011</w:t>
            </w:r>
          </w:p>
        </w:tc>
        <w:tc>
          <w:tcPr>
            <w:tcW w:w="18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MSK</w:t>
            </w:r>
          </w:p>
        </w:tc>
        <w:tc>
          <w:tcPr>
            <w:tcW w:w="1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Treatment of NB and</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Clinical trials ongoing</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GD2 positive</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tumors</w:t>
            </w: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Omburtamab</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22, 2000</w:t>
            </w:r>
          </w:p>
        </w:tc>
        <w:tc>
          <w:tcPr>
            <w:tcW w:w="1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7"/>
              </w:rPr>
              <w:t>Y</w:t>
            </w:r>
            <w:r>
              <w:rPr>
                <w:rFonts w:ascii="MS PGothic" w:cs="MS PGothic" w:eastAsia="MS PGothic" w:hAnsi="MS PGothic"/>
                <w:sz w:val="18"/>
                <w:szCs w:val="18"/>
                <w:color w:val="auto"/>
                <w:w w:val="97"/>
              </w:rPr>
              <w:t>‑</w:t>
            </w:r>
            <w:r>
              <w:rPr>
                <w:rFonts w:ascii="Arial" w:cs="Arial" w:eastAsia="Arial" w:hAnsi="Arial"/>
                <w:sz w:val="18"/>
                <w:szCs w:val="18"/>
                <w:color w:val="auto"/>
                <w:w w:val="97"/>
              </w:rPr>
              <w:t>mAbs</w:t>
            </w: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CNS/LM from NB,</w:t>
            </w: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Clinical trials ongoing</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and</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(MSK original</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DSRCT, DIPG and</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line="207" w:lineRule="exact"/>
              <w:rPr>
                <w:sz w:val="20"/>
                <w:szCs w:val="20"/>
                <w:color w:val="auto"/>
              </w:rPr>
            </w:pPr>
            <w:r>
              <w:rPr>
                <w:rFonts w:ascii="Arial" w:cs="Arial" w:eastAsia="Arial" w:hAnsi="Arial"/>
                <w:sz w:val="9"/>
                <w:szCs w:val="9"/>
                <w:color w:val="auto"/>
              </w:rPr>
              <w:t>124</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sponsor)</w:t>
            </w:r>
          </w:p>
        </w:tc>
        <w:tc>
          <w:tcPr>
            <w:tcW w:w="186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other B7</w:t>
            </w:r>
            <w:r>
              <w:rPr>
                <w:rFonts w:ascii="MS PGothic" w:cs="MS PGothic" w:eastAsia="MS PGothic" w:hAnsi="MS PGothic"/>
                <w:sz w:val="18"/>
                <w:szCs w:val="18"/>
                <w:color w:val="auto"/>
              </w:rPr>
              <w:t>‑</w:t>
            </w:r>
            <w:r>
              <w:rPr>
                <w:rFonts w:ascii="Arial" w:cs="Arial" w:eastAsia="Arial" w:hAnsi="Arial"/>
                <w:sz w:val="18"/>
                <w:szCs w:val="18"/>
                <w:color w:val="auto"/>
              </w:rPr>
              <w:t>H3 positive</w:t>
            </w: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tumors</w:t>
            </w: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Naxitamab</w:t>
            </w: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5, 2017</w:t>
            </w:r>
          </w:p>
        </w:tc>
        <w:tc>
          <w:tcPr>
            <w:tcW w:w="1860" w:type="dxa"/>
            <w:vAlign w:val="bottom"/>
            <w:gridSpan w:val="2"/>
            <w:shd w:val="clear" w:color="auto" w:fill="CCEEFF"/>
          </w:tcPr>
          <w:p>
            <w:pPr>
              <w:jc w:val="center"/>
              <w:ind w:right="160"/>
              <w:spacing w:after="0" w:line="207" w:lineRule="exact"/>
              <w:rPr>
                <w:sz w:val="20"/>
                <w:szCs w:val="20"/>
                <w:color w:val="auto"/>
              </w:rPr>
            </w:pPr>
            <w:r>
              <w:rPr>
                <w:rFonts w:ascii="Arial" w:cs="Arial" w:eastAsia="Arial" w:hAnsi="Arial"/>
                <w:sz w:val="18"/>
                <w:szCs w:val="18"/>
                <w:color w:val="auto"/>
                <w:w w:val="97"/>
              </w:rPr>
              <w:t>Y</w:t>
            </w:r>
            <w:r>
              <w:rPr>
                <w:rFonts w:ascii="MS PGothic" w:cs="MS PGothic" w:eastAsia="MS PGothic" w:hAnsi="MS PGothic"/>
                <w:sz w:val="18"/>
                <w:szCs w:val="18"/>
                <w:color w:val="auto"/>
                <w:w w:val="97"/>
              </w:rPr>
              <w:t>‑</w:t>
            </w:r>
            <w:r>
              <w:rPr>
                <w:rFonts w:ascii="Arial" w:cs="Arial" w:eastAsia="Arial" w:hAnsi="Arial"/>
                <w:sz w:val="18"/>
                <w:szCs w:val="18"/>
                <w:color w:val="auto"/>
                <w:w w:val="97"/>
              </w:rPr>
              <w:t>mAbs</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Pediatric NB</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6"/>
              </w:rPr>
              <w:t>Clinical trials ongoing</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huGD2-BsAb</w:t>
            </w:r>
          </w:p>
        </w:tc>
        <w:tc>
          <w:tcPr>
            <w:tcW w:w="1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20, 2018</w:t>
            </w:r>
          </w:p>
        </w:tc>
        <w:tc>
          <w:tcPr>
            <w:tcW w:w="186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MSK</w:t>
            </w:r>
          </w:p>
        </w:tc>
        <w:tc>
          <w:tcPr>
            <w:tcW w:w="1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GD2 positive solid</w:t>
            </w: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Clinical trial ongoing</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tumors</w:t>
            </w: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7"/>
          <w:szCs w:val="17"/>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w:t>
      </w:r>
      <w:r>
        <w:rPr>
          <w:rFonts w:ascii="MS PGothic" w:cs="MS PGothic" w:eastAsia="MS PGothic" w:hAnsi="MS PGothic"/>
          <w:sz w:val="17"/>
          <w:szCs w:val="17"/>
          <w:color w:val="auto"/>
        </w:rPr>
        <w:t>‑</w:t>
      </w:r>
      <w:r>
        <w:rPr>
          <w:rFonts w:ascii="Arial" w:cs="Arial" w:eastAsia="Arial" w:hAnsi="Arial"/>
          <w:sz w:val="17"/>
          <w:szCs w:val="17"/>
          <w:color w:val="auto"/>
        </w:rPr>
        <w:t>CD16, ADCC</w:t>
      </w:r>
      <w:r>
        <w:rPr>
          <w:rFonts w:ascii="MS PGothic" w:cs="MS PGothic" w:eastAsia="MS PGothic" w:hAnsi="MS PGothic"/>
          <w:sz w:val="17"/>
          <w:szCs w:val="17"/>
          <w:color w:val="auto"/>
        </w:rPr>
        <w:t>‑</w:t>
      </w:r>
      <w:r>
        <w:rPr>
          <w:rFonts w:ascii="Arial" w:cs="Arial" w:eastAsia="Arial" w:hAnsi="Arial"/>
          <w:sz w:val="17"/>
          <w:szCs w:val="17"/>
          <w:color w:val="auto"/>
        </w:rPr>
        <w:t>CD32, and CDC assays were too wide to provide sufficient control over these attributes, which are critical for safety and efficacy. ADCC and CDC refer to antibody dependent cell</w:t>
      </w:r>
      <w:r>
        <w:rPr>
          <w:rFonts w:ascii="MS PGothic" w:cs="MS PGothic" w:eastAsia="MS PGothic" w:hAnsi="MS PGothic"/>
          <w:sz w:val="17"/>
          <w:szCs w:val="17"/>
          <w:color w:val="auto"/>
        </w:rPr>
        <w:t>‑</w:t>
      </w:r>
      <w:r>
        <w:rPr>
          <w:rFonts w:ascii="Arial" w:cs="Arial" w:eastAsia="Arial" w:hAnsi="Arial"/>
          <w:sz w:val="17"/>
          <w:szCs w:val="17"/>
          <w:color w:val="auto"/>
        </w:rPr>
        <w:t>mediated cytotoxicity and complement</w:t>
      </w:r>
      <w:r>
        <w:rPr>
          <w:rFonts w:ascii="MS PGothic" w:cs="MS PGothic" w:eastAsia="MS PGothic" w:hAnsi="MS PGothic"/>
          <w:sz w:val="17"/>
          <w:szCs w:val="17"/>
          <w:color w:val="auto"/>
        </w:rPr>
        <w:t>‑</w:t>
      </w:r>
      <w:r>
        <w:rPr>
          <w:rFonts w:ascii="Arial" w:cs="Arial" w:eastAsia="Arial" w:hAnsi="Arial"/>
          <w:sz w:val="17"/>
          <w:szCs w:val="17"/>
          <w:color w:val="auto"/>
        </w:rPr>
        <w:t>dependent cytotoxicity, respectively. We submitted a response to the FDA in March 2018, and met with the FDA in April, 2018. Subsequently, we submitted a complete response to the partial clinical hold to the FDA in May 2018 and the partial clinical hold was removed in June 2018.</w:t>
      </w:r>
    </w:p>
    <w:p>
      <w:pPr>
        <w:spacing w:after="0" w:line="20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We have exclusive rights to MSK’s rights in all of our current product candidates under our 2015 license agreement, or the MSK License, with Memorial Sloan Kettering Cancer Center, or MSK. The MSK License also provides us with non</w:t>
      </w:r>
      <w:r>
        <w:rPr>
          <w:rFonts w:ascii="MS PGothic" w:cs="MS PGothic" w:eastAsia="MS PGothic" w:hAnsi="MS PGothic"/>
          <w:sz w:val="17"/>
          <w:szCs w:val="17"/>
          <w:color w:val="auto"/>
        </w:rPr>
        <w:t>‑</w:t>
      </w:r>
      <w:r>
        <w:rPr>
          <w:rFonts w:ascii="Arial" w:cs="Arial" w:eastAsia="Arial" w:hAnsi="Arial"/>
          <w:sz w:val="17"/>
          <w:szCs w:val="17"/>
          <w:color w:val="auto"/>
        </w:rPr>
        <w:t>exclusive access to technology that involves the creation of a novel human protein tag that can potentially dimerize, or link together, bispecific T</w:t>
      </w:r>
      <w:r>
        <w:rPr>
          <w:rFonts w:ascii="MS PGothic" w:cs="MS PGothic" w:eastAsia="MS PGothic" w:hAnsi="MS PGothic"/>
          <w:sz w:val="17"/>
          <w:szCs w:val="17"/>
          <w:color w:val="auto"/>
        </w:rPr>
        <w:t>‑</w:t>
      </w:r>
      <w:r>
        <w:rPr>
          <w:rFonts w:ascii="Arial" w:cs="Arial" w:eastAsia="Arial" w:hAnsi="Arial"/>
          <w:sz w:val="17"/>
          <w:szCs w:val="17"/>
          <w:color w:val="auto"/>
        </w:rPr>
        <w:t>cell engagers, or BiTEs. We refer to this technology as the MULTI</w:t>
      </w:r>
      <w:r>
        <w:rPr>
          <w:rFonts w:ascii="MS PGothic" w:cs="MS PGothic" w:eastAsia="MS PGothic" w:hAnsi="MS PGothic"/>
          <w:sz w:val="17"/>
          <w:szCs w:val="17"/>
          <w:color w:val="auto"/>
        </w:rPr>
        <w:t>‑</w:t>
      </w:r>
      <w:r>
        <w:rPr>
          <w:rFonts w:ascii="Arial" w:cs="Arial" w:eastAsia="Arial" w:hAnsi="Arial"/>
          <w:sz w:val="17"/>
          <w:szCs w:val="17"/>
          <w:color w:val="auto"/>
        </w:rPr>
        <w:t>TAG technology. We plan to create a broad platform of dimerized BiTEs using the MULTI</w:t>
      </w:r>
      <w:r>
        <w:rPr>
          <w:rFonts w:ascii="MS PGothic" w:cs="MS PGothic" w:eastAsia="MS PGothic" w:hAnsi="MS PGothic"/>
          <w:sz w:val="17"/>
          <w:szCs w:val="17"/>
          <w:color w:val="auto"/>
        </w:rPr>
        <w:t>‑</w:t>
      </w:r>
      <w:r>
        <w:rPr>
          <w:rFonts w:ascii="Arial" w:cs="Arial" w:eastAsia="Arial" w:hAnsi="Arial"/>
          <w:sz w:val="17"/>
          <w:szCs w:val="17"/>
          <w:color w:val="auto"/>
        </w:rPr>
        <w:t>TAG technology and are currently collaborating with MSK on several MULTI</w:t>
      </w:r>
      <w:r>
        <w:rPr>
          <w:rFonts w:ascii="MS PGothic" w:cs="MS PGothic" w:eastAsia="MS PGothic" w:hAnsi="MS PGothic"/>
          <w:sz w:val="17"/>
          <w:szCs w:val="17"/>
          <w:color w:val="auto"/>
        </w:rPr>
        <w:t>‑</w:t>
      </w:r>
      <w:r>
        <w:rPr>
          <w:rFonts w:ascii="Arial" w:cs="Arial" w:eastAsia="Arial" w:hAnsi="Arial"/>
          <w:sz w:val="17"/>
          <w:szCs w:val="17"/>
          <w:color w:val="auto"/>
        </w:rPr>
        <w:t>TAG product candidates. We believe that our strong relationship with MSK, one of the world’s leading cancer treatment centers, and our access to certain of MSK’s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w:t>
      </w:r>
      <w:r>
        <w:rPr>
          <w:rFonts w:ascii="MS PGothic" w:cs="MS PGothic" w:eastAsia="MS PGothic" w:hAnsi="MS PGothic"/>
          <w:sz w:val="18"/>
          <w:szCs w:val="18"/>
          <w:color w:val="auto"/>
        </w:rPr>
        <w:t>‑</w:t>
      </w:r>
      <w:r>
        <w:rPr>
          <w:rFonts w:ascii="Arial" w:cs="Arial" w:eastAsia="Arial" w:hAnsi="Arial"/>
          <w:sz w:val="18"/>
          <w:szCs w:val="18"/>
          <w:color w:val="auto"/>
        </w:rPr>
        <w:t>licensable license to MSK’s rights in certain patent rights and intellectual property rights related to certain know</w:t>
      </w:r>
      <w:r>
        <w:rPr>
          <w:rFonts w:ascii="MS PGothic" w:cs="MS PGothic" w:eastAsia="MS PGothic" w:hAnsi="MS PGothic"/>
          <w:sz w:val="18"/>
          <w:szCs w:val="18"/>
          <w:color w:val="auto"/>
        </w:rPr>
        <w:t>‑</w:t>
      </w:r>
      <w:r>
        <w:rPr>
          <w:rFonts w:ascii="Arial" w:cs="Arial" w:eastAsia="Arial" w:hAnsi="Arial"/>
          <w:sz w:val="18"/>
          <w:szCs w:val="18"/>
          <w:color w:val="auto"/>
        </w:rPr>
        <w:t>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management team has substantial public company experience and extensive knowledge in the field of antibody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oncology drug development, manufacturing and commercialization. Thomas Gad, our Founder, Chairman, President and</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Head of Business Development, co</w:t>
      </w:r>
      <w:r>
        <w:rPr>
          <w:rFonts w:ascii="MS PGothic" w:cs="MS PGothic" w:eastAsia="MS PGothic" w:hAnsi="MS PGothic"/>
          <w:sz w:val="16"/>
          <w:szCs w:val="16"/>
          <w:color w:val="auto"/>
        </w:rPr>
        <w:t>‑</w:t>
      </w:r>
      <w:r>
        <w:rPr>
          <w:rFonts w:ascii="Arial" w:cs="Arial" w:eastAsia="Arial" w:hAnsi="Arial"/>
          <w:sz w:val="16"/>
          <w:szCs w:val="16"/>
          <w:color w:val="auto"/>
        </w:rPr>
        <w:t>founded Singad Pharma ApS, a Danish pharmaceutical and distribution company, where,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part of senior management, he gained more than 12 years of experience in the pharmaceutical industry, including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business development, financing and licensing negotiations and manufacturing site qualification. In 2006, Mr. Gad’s then</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two year old daughter was diagnosed with high</w:t>
      </w:r>
      <w:r>
        <w:rPr>
          <w:rFonts w:ascii="MS PGothic" w:cs="MS PGothic" w:eastAsia="MS PGothic" w:hAnsi="MS PGothic"/>
          <w:sz w:val="17"/>
          <w:szCs w:val="17"/>
          <w:color w:val="auto"/>
        </w:rPr>
        <w:t>‑</w:t>
      </w:r>
      <w:r>
        <w:rPr>
          <w:rFonts w:ascii="Arial" w:cs="Arial" w:eastAsia="Arial" w:hAnsi="Arial"/>
          <w:sz w:val="17"/>
          <w:szCs w:val="17"/>
          <w:color w:val="auto"/>
        </w:rPr>
        <w:t>risk NB and was treated at MSK with the murine version of naxitamab. In</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2009, she relapsed with CNS/LM from NB and again was treated at MSK, this time with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Since then, she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has been disease free. Our Chief Executive Officer, Dr. Claus Juan Møller San Pedro, was the co</w:t>
      </w:r>
      <w:r>
        <w:rPr>
          <w:rFonts w:ascii="MS PGothic" w:cs="MS PGothic" w:eastAsia="MS PGothic" w:hAnsi="MS PGothic"/>
          <w:sz w:val="16"/>
          <w:szCs w:val="16"/>
          <w:color w:val="auto"/>
        </w:rPr>
        <w:t>‑</w:t>
      </w:r>
      <w:r>
        <w:rPr>
          <w:rFonts w:ascii="Arial" w:cs="Arial" w:eastAsia="Arial" w:hAnsi="Arial"/>
          <w:sz w:val="16"/>
          <w:szCs w:val="16"/>
          <w:color w:val="auto"/>
        </w:rPr>
        <w:t>founder of Genmab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one of the largest public biotechnology companies in Europe, where he served as Executive Vice President and Chief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Officer for approximately 10 years. Our Chief Financial Officer, Bo Kruse, served as Genmab’s Chief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and was directly involved in several of Genmab’s financing rounds including Genmab’s initial public offering.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Operating Officer, Joris Wiel Jan Wilms, has extensive industry experience in clinical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primarily within oncology and hematology indications, and was responsible for overseeing several</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human studies and pivotal clinical trials, leading to the approval of two monoclonal antibody</w:t>
      </w:r>
      <w:r>
        <w:rPr>
          <w:rFonts w:ascii="MS PGothic" w:cs="MS PGothic" w:eastAsia="MS PGothic" w:hAnsi="MS PGothic"/>
          <w:sz w:val="16"/>
          <w:szCs w:val="16"/>
          <w:color w:val="auto"/>
        </w:rPr>
        <w:t>‑</w:t>
      </w:r>
      <w:r>
        <w:rPr>
          <w:rFonts w:ascii="Arial" w:cs="Arial" w:eastAsia="Arial" w:hAnsi="Arial"/>
          <w:sz w:val="16"/>
          <w:szCs w:val="16"/>
          <w:color w:val="auto"/>
        </w:rPr>
        <w:t>based products while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his previous positions as Vice President—Clinical Trial Services and Pharmacovigilance at KLIFO A/S, and Associate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of Clinical Development at Genmab. Our Senior Vice President and Head of Technical Operations, Dr. Torben</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Lund</w:t>
      </w:r>
      <w:r>
        <w:rPr>
          <w:rFonts w:ascii="MS PGothic" w:cs="MS PGothic" w:eastAsia="MS PGothic" w:hAnsi="MS PGothic"/>
          <w:sz w:val="16"/>
          <w:szCs w:val="16"/>
          <w:color w:val="auto"/>
        </w:rPr>
        <w:t>‑</w:t>
      </w:r>
      <w:r>
        <w:rPr>
          <w:rFonts w:ascii="Arial" w:cs="Arial" w:eastAsia="Arial" w:hAnsi="Arial"/>
          <w:sz w:val="16"/>
          <w:szCs w:val="16"/>
          <w:color w:val="auto"/>
        </w:rPr>
        <w:t>Hansen, has substantial experience in antibody process development and manufacturing. Dr. Lund</w:t>
      </w:r>
      <w:r>
        <w:rPr>
          <w:rFonts w:ascii="MS PGothic" w:cs="MS PGothic" w:eastAsia="MS PGothic" w:hAnsi="MS PGothic"/>
          <w:sz w:val="16"/>
          <w:szCs w:val="16"/>
          <w:color w:val="auto"/>
        </w:rPr>
        <w:t>‑</w:t>
      </w:r>
      <w:r>
        <w:rPr>
          <w:rFonts w:ascii="Arial" w:cs="Arial" w:eastAsia="Arial" w:hAnsi="Arial"/>
          <w:sz w:val="16"/>
          <w:szCs w:val="16"/>
          <w:color w:val="auto"/>
        </w:rPr>
        <w:t>Hansen held similar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positions at Genmab where he was responsible for sourcing clinical and commercial drug substance and product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manufacturing. Our Senior Vice President and Chief Medical Officer, Dr. Steen Lisby, also comes from Genmab where 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Vice President, Medical Lead until July 2017 when he joined our company. Dr. Lisby also has substantial experience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antibody drug development. In addition, since our inception in April 2015, we have raised approximately $230.0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from our initial public offering and from our founding investors and prominent biotechnology institutional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HBM Healthcare Investments (Cayman) Ltd. and funds advised by or affiliated with Scopia Capital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Management LP and Sofinnova Investments, Inc., among others, and as of December 31, 2018, we had cash and 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equivalents of $147.8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right="119" w:firstLine="648"/>
        <w:spacing w:after="0" w:line="277"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117475</wp:posOffset>
            </wp:positionV>
            <wp:extent cx="5548630" cy="3704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59" w:hanging="333"/>
        <w:spacing w:after="0" w:line="235"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Pivotal registration study designed to support a BLA submission to the FDA, comprised of Study 12-230 measuring pharmacokinetic, toxicity and efficacy 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spacing w:after="0" w:line="1" w:lineRule="exact"/>
        <w:rPr>
          <w:rFonts w:ascii="Arial" w:cs="Arial" w:eastAsia="Arial" w:hAnsi="Arial"/>
          <w:sz w:val="11"/>
          <w:szCs w:val="11"/>
          <w:color w:val="auto"/>
        </w:rPr>
      </w:pPr>
    </w:p>
    <w:p>
      <w:pPr>
        <w:ind w:left="660" w:hanging="333"/>
        <w:spacing w:after="0" w:line="230"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Initial study represents pediatric and young adult patients.</w:t>
      </w:r>
    </w:p>
    <w:p>
      <w:pPr>
        <w:ind w:left="660" w:hanging="333"/>
        <w:spacing w:after="0" w:line="230"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radioactive isotope of iodine used to radiolabel omburtamab.</w:t>
      </w:r>
    </w:p>
    <w:p>
      <w:pPr>
        <w:jc w:val="both"/>
        <w:ind w:left="660" w:right="59" w:hanging="333"/>
        <w:spacing w:after="0" w:line="230"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Pivotal registration study designed to support a BLA submission to the FDA, comprised of Study 03-133 measuring pharmacokinetic, toxicity and efficacy and an additional pivotal multicenter Phase 2 study, Study 101, designed to prove comparability between study sites using a cGMP commercial manufacturer. Study 101 has also been designed to satisfy the confirmatory study and post-marketing requirements by the FDA.</w:t>
      </w:r>
    </w:p>
    <w:p>
      <w:pPr>
        <w:spacing w:after="0" w:line="1" w:lineRule="exact"/>
        <w:rPr>
          <w:rFonts w:ascii="Arial" w:cs="Arial" w:eastAsia="Arial" w:hAnsi="Arial"/>
          <w:sz w:val="11"/>
          <w:szCs w:val="11"/>
          <w:color w:val="auto"/>
        </w:rPr>
      </w:pPr>
    </w:p>
    <w:p>
      <w:pPr>
        <w:ind w:left="660" w:hanging="333"/>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1"/>
          <w:szCs w:val="11"/>
          <w:color w:val="auto"/>
        </w:rPr>
        <w:t>Omburtamab-DTPA is a DTPA-conjugated omburtamab labeled with Lutetium-177.</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399" w:firstLine="648"/>
        <w:spacing w:after="0" w:line="220" w:lineRule="exact"/>
        <w:rPr>
          <w:sz w:val="20"/>
          <w:szCs w:val="20"/>
          <w:color w:val="auto"/>
        </w:rPr>
      </w:pPr>
      <w:r>
        <w:rPr>
          <w:rFonts w:ascii="Arial" w:cs="Arial" w:eastAsia="Arial" w:hAnsi="Arial"/>
          <w:sz w:val="18"/>
          <w:szCs w:val="18"/>
          <w:color w:val="auto"/>
        </w:rPr>
        <w:t>Our mission is to become the world leader in developing better and safer antibody</w:t>
      </w:r>
      <w:r>
        <w:rPr>
          <w:rFonts w:ascii="MS PGothic" w:cs="MS PGothic" w:eastAsia="MS PGothic" w:hAnsi="MS PGothic"/>
          <w:sz w:val="18"/>
          <w:szCs w:val="18"/>
          <w:color w:val="auto"/>
        </w:rPr>
        <w:t>‑</w:t>
      </w:r>
      <w:r>
        <w:rPr>
          <w:rFonts w:ascii="Arial" w:cs="Arial" w:eastAsia="Arial" w:hAnsi="Arial"/>
          <w:sz w:val="18"/>
          <w:szCs w:val="18"/>
          <w:color w:val="auto"/>
        </w:rPr>
        <w:t>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elements of our strategy to achieve this goal are:</w:t>
      </w:r>
    </w:p>
    <w:p>
      <w:pPr>
        <w:spacing w:after="0" w:line="221" w:lineRule="exact"/>
        <w:rPr>
          <w:sz w:val="20"/>
          <w:szCs w:val="20"/>
          <w:color w:val="auto"/>
        </w:rPr>
      </w:pPr>
    </w:p>
    <w:p>
      <w:pPr>
        <w:ind w:left="980" w:right="159" w:hanging="329"/>
        <w:spacing w:after="0" w:line="34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Rapidly and concurrently advance our lead product candidates to regulatory approval. </w:t>
      </w:r>
      <w:r>
        <w:rPr>
          <w:rFonts w:ascii="Arial" w:cs="Arial" w:eastAsia="Arial" w:hAnsi="Arial"/>
          <w:sz w:val="16"/>
          <w:szCs w:val="16"/>
          <w:color w:val="auto"/>
        </w:rPr>
        <w:t>We are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in pivotal stage development for both of our lead product candidates, naxitamab for the treatment</w:t>
      </w: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line="219" w:lineRule="exact"/>
        <w:rPr>
          <w:sz w:val="20"/>
          <w:szCs w:val="20"/>
          <w:color w:val="auto"/>
        </w:rPr>
      </w:pPr>
      <w:r>
        <w:rPr>
          <w:rFonts w:ascii="Arial" w:cs="Arial" w:eastAsia="Arial" w:hAnsi="Arial"/>
          <w:sz w:val="17"/>
          <w:szCs w:val="17"/>
          <w:color w:val="auto"/>
        </w:rPr>
        <w:t>of pediatric R/R high</w:t>
      </w:r>
      <w:r>
        <w:rPr>
          <w:rFonts w:ascii="MS PGothic" w:cs="MS PGothic" w:eastAsia="MS PGothic" w:hAnsi="MS PGothic"/>
          <w:sz w:val="17"/>
          <w:szCs w:val="17"/>
          <w:color w:val="auto"/>
        </w:rPr>
        <w:t>‑</w:t>
      </w:r>
      <w:r>
        <w:rPr>
          <w:rFonts w:ascii="Arial" w:cs="Arial" w:eastAsia="Arial" w:hAnsi="Arial"/>
          <w:sz w:val="17"/>
          <w:szCs w:val="17"/>
          <w:color w:val="auto"/>
        </w:rPr>
        <w:t xml:space="preserve">risk NB and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for the treatment of pediatric CNS/LM from NB. We are advancing both of our lead product candidates through an expedited regulatory pathway and we expect that they will be eligible for priority review under their respective Break Through Designations, or BTD.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199" w:lineRule="exact"/>
        <w:rPr>
          <w:sz w:val="20"/>
          <w:szCs w:val="20"/>
          <w:color w:val="auto"/>
        </w:rPr>
      </w:pPr>
    </w:p>
    <w:p>
      <w:pPr>
        <w:ind w:left="980" w:right="20" w:hanging="329"/>
        <w:spacing w:after="0" w:line="218" w:lineRule="exact"/>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Expand the indications and target patient populations for our existing product candidates. </w:t>
      </w:r>
      <w:r>
        <w:rPr>
          <w:rFonts w:ascii="Arial" w:cs="Arial" w:eastAsia="Arial" w:hAnsi="Arial"/>
          <w:sz w:val="17"/>
          <w:szCs w:val="17"/>
          <w:color w:val="auto"/>
        </w:rPr>
        <w:t>Our goal is to</w:t>
      </w:r>
      <w:r>
        <w:rPr>
          <w:rFonts w:ascii="Arial" w:cs="Arial" w:eastAsia="Arial" w:hAnsi="Arial"/>
          <w:sz w:val="17"/>
          <w:szCs w:val="17"/>
          <w:b w:val="1"/>
          <w:bCs w:val="1"/>
          <w:color w:val="auto"/>
        </w:rPr>
        <w:t xml:space="preserve"> </w:t>
      </w:r>
      <w:r>
        <w:rPr>
          <w:rFonts w:ascii="Arial" w:cs="Arial" w:eastAsia="Arial" w:hAnsi="Arial"/>
          <w:sz w:val="17"/>
          <w:szCs w:val="17"/>
          <w:color w:val="auto"/>
        </w:rPr>
        <w:t>maximize the potential of our existing product candidates in areas where there is a significant unmet medical need by exploring additional indications, as well as expanding the target population within existing indications. For example, we are developing naxitamab for the treatment of front</w:t>
      </w:r>
      <w:r>
        <w:rPr>
          <w:rFonts w:ascii="MS PGothic" w:cs="MS PGothic" w:eastAsia="MS PGothic" w:hAnsi="MS PGothic"/>
          <w:sz w:val="17"/>
          <w:szCs w:val="17"/>
          <w:color w:val="auto"/>
        </w:rPr>
        <w:t>‑</w:t>
      </w:r>
      <w:r>
        <w:rPr>
          <w:rFonts w:ascii="Arial" w:cs="Arial" w:eastAsia="Arial" w:hAnsi="Arial"/>
          <w:sz w:val="17"/>
          <w:szCs w:val="17"/>
          <w:color w:val="auto"/>
        </w:rPr>
        <w:t>line NB and relapsed osteosarcoma and we intend to discuss our BLA strategy in these indications with the FDA after completing the BLA submission for naxitamab in pediatric R/R high</w:t>
      </w:r>
      <w:r>
        <w:rPr>
          <w:rFonts w:ascii="MS PGothic" w:cs="MS PGothic" w:eastAsia="MS PGothic" w:hAnsi="MS PGothic"/>
          <w:sz w:val="17"/>
          <w:szCs w:val="17"/>
          <w:color w:val="auto"/>
        </w:rPr>
        <w:t>‑</w:t>
      </w:r>
      <w:r>
        <w:rPr>
          <w:rFonts w:ascii="Arial" w:cs="Arial" w:eastAsia="Arial" w:hAnsi="Arial"/>
          <w:sz w:val="17"/>
          <w:szCs w:val="17"/>
          <w:color w:val="auto"/>
        </w:rPr>
        <w:t xml:space="preserve">risk NB. We are also currently developing radiolabeled omburtamab for the treatment of pediatric patients with DIPG and DSRCT, both currently in Phase 1/2 clinical trials. After completing the BLA submission for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200" w:lineRule="exact"/>
        <w:rPr>
          <w:rFonts w:ascii="Arial" w:cs="Arial" w:eastAsia="Arial" w:hAnsi="Arial"/>
          <w:sz w:val="17"/>
          <w:szCs w:val="17"/>
          <w:color w:val="auto"/>
        </w:rPr>
      </w:pPr>
    </w:p>
    <w:p>
      <w:pPr>
        <w:ind w:left="980" w:right="40" w:hanging="329"/>
        <w:spacing w:after="0" w:line="218"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 to independently commercialize our late</w:t>
      </w:r>
      <w:r>
        <w:rPr>
          <w:rFonts w:ascii="MS PGothic" w:cs="MS PGothic" w:eastAsia="MS PGothic" w:hAnsi="MS PGothic"/>
          <w:sz w:val="16"/>
          <w:szCs w:val="16"/>
          <w:color w:val="auto"/>
        </w:rPr>
        <w:t>‑</w:t>
      </w:r>
      <w:r>
        <w:rPr>
          <w:rFonts w:ascii="Arial" w:cs="Arial" w:eastAsia="Arial" w:hAnsi="Arial"/>
          <w:sz w:val="16"/>
          <w:szCs w:val="16"/>
          <w:color w:val="auto"/>
        </w:rPr>
        <w:t>stage product candidates focusing</w:t>
      </w:r>
      <w:r>
        <w:rPr>
          <w:rFonts w:ascii="Arial" w:cs="Arial" w:eastAsia="Arial" w:hAnsi="Arial"/>
          <w:sz w:val="16"/>
          <w:szCs w:val="16"/>
          <w:b w:val="1"/>
          <w:bCs w:val="1"/>
          <w:color w:val="auto"/>
        </w:rPr>
        <w:t xml:space="preserve"> </w:t>
      </w:r>
      <w:r>
        <w:rPr>
          <w:rFonts w:ascii="Arial" w:cs="Arial" w:eastAsia="Arial" w:hAnsi="Arial"/>
          <w:sz w:val="16"/>
          <w:szCs w:val="16"/>
          <w:color w:val="auto"/>
        </w:rPr>
        <w:t>on already</w:t>
      </w:r>
      <w:r>
        <w:rPr>
          <w:rFonts w:ascii="MS PGothic" w:cs="MS PGothic" w:eastAsia="MS PGothic" w:hAnsi="MS PGothic"/>
          <w:sz w:val="16"/>
          <w:szCs w:val="16"/>
          <w:color w:val="auto"/>
        </w:rPr>
        <w:t>‑</w:t>
      </w:r>
      <w:r>
        <w:rPr>
          <w:rFonts w:ascii="Arial" w:cs="Arial" w:eastAsia="Arial" w:hAnsi="Arial"/>
          <w:sz w:val="16"/>
          <w:szCs w:val="16"/>
          <w:color w:val="auto"/>
        </w:rPr>
        <w:t>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w:t>
      </w:r>
      <w:r>
        <w:rPr>
          <w:rFonts w:ascii="MS PGothic" w:cs="MS PGothic" w:eastAsia="MS PGothic" w:hAnsi="MS PGothic"/>
          <w:sz w:val="16"/>
          <w:szCs w:val="16"/>
          <w:color w:val="auto"/>
        </w:rPr>
        <w:t>‑</w:t>
      </w:r>
      <w:r>
        <w:rPr>
          <w:rFonts w:ascii="Arial" w:cs="Arial" w:eastAsia="Arial" w:hAnsi="Arial"/>
          <w:sz w:val="16"/>
          <w:szCs w:val="16"/>
          <w:color w:val="auto"/>
        </w:rPr>
        <w:t>effectively build our own commercial capability. Finally, in indications and in territories that are better served by the resources of larger biopharmaceutical companies we intend to form commercial and development collaborations.</w:t>
      </w:r>
    </w:p>
    <w:p>
      <w:pPr>
        <w:spacing w:after="0" w:line="199" w:lineRule="exact"/>
        <w:rPr>
          <w:rFonts w:ascii="Arial" w:cs="Arial" w:eastAsia="Arial" w:hAnsi="Arial"/>
          <w:sz w:val="16"/>
          <w:szCs w:val="16"/>
          <w:color w:val="auto"/>
        </w:rPr>
      </w:pPr>
    </w:p>
    <w:p>
      <w:pPr>
        <w:ind w:left="980" w:hanging="329"/>
        <w:spacing w:after="0" w:line="219"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our novel BsAb product candidates that we believe may offer potential substantial benefits over existing bispecific constructs. </w:t>
      </w:r>
      <w:r>
        <w:rPr>
          <w:rFonts w:ascii="Arial" w:cs="Arial" w:eastAsia="Arial" w:hAnsi="Arial"/>
          <w:sz w:val="18"/>
          <w:szCs w:val="18"/>
          <w:color w:val="auto"/>
        </w:rPr>
        <w:t>We are also advancing a promising pipeline of BsAbs that we believe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to overcome limitations associated with existing BsAb constructs. Our first BsAb product candidate to enter the clinic, huGD2</w:t>
      </w:r>
      <w:r>
        <w:rPr>
          <w:rFonts w:ascii="MS PGothic" w:cs="MS PGothic" w:eastAsia="MS PGothic" w:hAnsi="MS PGothic"/>
          <w:sz w:val="18"/>
          <w:szCs w:val="18"/>
          <w:color w:val="auto"/>
        </w:rPr>
        <w:t>‑</w:t>
      </w:r>
      <w:r>
        <w:rPr>
          <w:rFonts w:ascii="Arial" w:cs="Arial" w:eastAsia="Arial" w:hAnsi="Arial"/>
          <w:sz w:val="18"/>
          <w:szCs w:val="18"/>
          <w:color w:val="auto"/>
        </w:rPr>
        <w:t>BsAb, is a bivalent humanized anti</w:t>
      </w:r>
      <w:r>
        <w:rPr>
          <w:rFonts w:ascii="MS PGothic" w:cs="MS PGothic" w:eastAsia="MS PGothic" w:hAnsi="MS PGothic"/>
          <w:sz w:val="18"/>
          <w:szCs w:val="18"/>
          <w:color w:val="auto"/>
        </w:rPr>
        <w:t>‑</w:t>
      </w:r>
      <w:r>
        <w:rPr>
          <w:rFonts w:ascii="Arial" w:cs="Arial" w:eastAsia="Arial" w:hAnsi="Arial"/>
          <w:sz w:val="18"/>
          <w:szCs w:val="18"/>
          <w:color w:val="auto"/>
        </w:rPr>
        <w:t>GD2 and anti</w:t>
      </w:r>
      <w:r>
        <w:rPr>
          <w:rFonts w:ascii="MS PGothic" w:cs="MS PGothic" w:eastAsia="MS PGothic" w:hAnsi="MS PGothic"/>
          <w:sz w:val="18"/>
          <w:szCs w:val="18"/>
          <w:color w:val="auto"/>
        </w:rPr>
        <w:t>‑</w:t>
      </w:r>
      <w:r>
        <w:rPr>
          <w:rFonts w:ascii="Arial" w:cs="Arial" w:eastAsia="Arial" w:hAnsi="Arial"/>
          <w:sz w:val="18"/>
          <w:szCs w:val="18"/>
          <w:color w:val="auto"/>
        </w:rPr>
        <w:t>CD3 BsAb. We are also advancing our huCD33</w:t>
      </w:r>
      <w:r>
        <w:rPr>
          <w:rFonts w:ascii="MS PGothic" w:cs="MS PGothic" w:eastAsia="MS PGothic" w:hAnsi="MS PGothic"/>
          <w:sz w:val="18"/>
          <w:szCs w:val="18"/>
          <w:color w:val="auto"/>
        </w:rPr>
        <w:t>‑</w:t>
      </w:r>
      <w:r>
        <w:rPr>
          <w:rFonts w:ascii="Arial" w:cs="Arial" w:eastAsia="Arial" w:hAnsi="Arial"/>
          <w:sz w:val="18"/>
          <w:szCs w:val="18"/>
          <w:color w:val="auto"/>
        </w:rPr>
        <w:t>BsAb product candidate for the treatment of hematological cancers expressing CD33 and expect to file an IND in 2020. Further, we plan to utilize our access to the MULTI</w:t>
      </w:r>
      <w:r>
        <w:rPr>
          <w:rFonts w:ascii="MS PGothic" w:cs="MS PGothic" w:eastAsia="MS PGothic" w:hAnsi="MS PGothic"/>
          <w:sz w:val="18"/>
          <w:szCs w:val="18"/>
          <w:color w:val="auto"/>
        </w:rPr>
        <w:t>‑</w:t>
      </w:r>
      <w:r>
        <w:rPr>
          <w:rFonts w:ascii="Arial" w:cs="Arial" w:eastAsia="Arial" w:hAnsi="Arial"/>
          <w:sz w:val="18"/>
          <w:szCs w:val="18"/>
          <w:color w:val="auto"/>
        </w:rPr>
        <w:t>TAG technology platform to create a diverse platform of dimerized BiTEs and are currently working with MSK on developing several MULTI</w:t>
      </w:r>
      <w:r>
        <w:rPr>
          <w:rFonts w:ascii="MS PGothic" w:cs="MS PGothic" w:eastAsia="MS PGothic" w:hAnsi="MS PGothic"/>
          <w:sz w:val="18"/>
          <w:szCs w:val="18"/>
          <w:color w:val="auto"/>
        </w:rPr>
        <w:t>‑</w:t>
      </w:r>
      <w:r>
        <w:rPr>
          <w:rFonts w:ascii="Arial" w:cs="Arial" w:eastAsia="Arial" w:hAnsi="Arial"/>
          <w:sz w:val="18"/>
          <w:szCs w:val="18"/>
          <w:color w:val="auto"/>
        </w:rPr>
        <w:t>TAG candidates.</w:t>
      </w:r>
    </w:p>
    <w:p>
      <w:pPr>
        <w:spacing w:after="0" w:line="199" w:lineRule="exact"/>
        <w:rPr>
          <w:rFonts w:ascii="Arial" w:cs="Arial" w:eastAsia="Arial" w:hAnsi="Arial"/>
          <w:sz w:val="18"/>
          <w:szCs w:val="18"/>
          <w:color w:val="auto"/>
        </w:rPr>
      </w:pPr>
    </w:p>
    <w:p>
      <w:pPr>
        <w:ind w:left="980" w:right="20" w:hanging="329"/>
        <w:spacing w:after="0" w:line="218" w:lineRule="exact"/>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relationships with leading academic and clinical institutions to develop additional product candidates. </w:t>
      </w:r>
      <w:r>
        <w:rPr>
          <w:rFonts w:ascii="Arial" w:cs="Arial" w:eastAsia="Arial" w:hAnsi="Arial"/>
          <w:sz w:val="17"/>
          <w:szCs w:val="17"/>
          <w:color w:val="auto"/>
        </w:rPr>
        <w:t>We intend to continue to partner with leading centers, such as MSK, for cancer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w:t>
      </w:r>
      <w:r>
        <w:rPr>
          <w:rFonts w:ascii="MS PGothic" w:cs="MS PGothic" w:eastAsia="MS PGothic" w:hAnsi="MS PGothic"/>
          <w:sz w:val="17"/>
          <w:szCs w:val="17"/>
          <w:color w:val="auto"/>
        </w:rPr>
        <w:t>‑</w:t>
      </w:r>
      <w:r>
        <w:rPr>
          <w:rFonts w:ascii="Arial" w:cs="Arial" w:eastAsia="Arial" w:hAnsi="Arial"/>
          <w:sz w:val="17"/>
          <w:szCs w:val="17"/>
          <w:color w:val="auto"/>
        </w:rPr>
        <w:t>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54"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Cancer is a major public health problem in the United States and worldwide. The American Cancer Society, or ACS, estimated that approximately 40% of all men and women in the United States will be diagnosed with cancer during their lifetime (based on 2011</w:t>
      </w:r>
      <w:r>
        <w:rPr>
          <w:rFonts w:ascii="MS PGothic" w:cs="MS PGothic" w:eastAsia="MS PGothic" w:hAnsi="MS PGothic"/>
          <w:sz w:val="16"/>
          <w:szCs w:val="16"/>
          <w:color w:val="auto"/>
        </w:rPr>
        <w:t>‑</w:t>
      </w:r>
      <w:r>
        <w:rPr>
          <w:rFonts w:ascii="Arial" w:cs="Arial" w:eastAsia="Arial" w:hAnsi="Arial"/>
          <w:sz w:val="16"/>
          <w:szCs w:val="16"/>
          <w:color w:val="auto"/>
        </w:rPr>
        <w:t>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1.6 million new cancer cases will be diagnosed in the United States and over 600,000 people will have died from cancer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Thus, there remains a significant need for novel and improved treatment options for cancer patients.</w:t>
      </w:r>
    </w:p>
    <w:p>
      <w:pPr>
        <w:spacing w:after="0" w:line="211"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w:t>
      </w:r>
      <w:r>
        <w:rPr>
          <w:rFonts w:ascii="MS PGothic" w:cs="MS PGothic" w:eastAsia="MS PGothic" w:hAnsi="MS PGothic"/>
          <w:sz w:val="18"/>
          <w:szCs w:val="18"/>
          <w:color w:val="auto"/>
        </w:rPr>
        <w:t>‑</w:t>
      </w:r>
      <w:r>
        <w:rPr>
          <w:rFonts w:ascii="Arial" w:cs="Arial" w:eastAsia="Arial" w:hAnsi="Arial"/>
          <w:sz w:val="18"/>
          <w:szCs w:val="18"/>
          <w:color w:val="auto"/>
        </w:rPr>
        <w:t>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w:t>
      </w:r>
      <w:r>
        <w:rPr>
          <w:rFonts w:ascii="MS PGothic" w:cs="MS PGothic" w:eastAsia="MS PGothic" w:hAnsi="MS PGothic"/>
          <w:sz w:val="18"/>
          <w:szCs w:val="18"/>
          <w:color w:val="auto"/>
        </w:rPr>
        <w:t>‑</w:t>
      </w:r>
      <w:r>
        <w:rPr>
          <w:rFonts w:ascii="Arial" w:cs="Arial" w:eastAsia="Arial" w:hAnsi="Arial"/>
          <w:sz w:val="18"/>
          <w:szCs w:val="18"/>
          <w:color w:val="auto"/>
        </w:rPr>
        <w:t>term remission in patients. In the last 20 years, cancer research and treatment has shifted to more targeted therapies, such as monoclonal antibodies, and immuno</w:t>
      </w:r>
      <w:r>
        <w:rPr>
          <w:rFonts w:ascii="MS PGothic" w:cs="MS PGothic" w:eastAsia="MS PGothic" w:hAnsi="MS PGothic"/>
          <w:sz w:val="18"/>
          <w:szCs w:val="18"/>
          <w:color w:val="auto"/>
        </w:rPr>
        <w:t>‑</w:t>
      </w:r>
      <w:r>
        <w:rPr>
          <w:rFonts w:ascii="Arial" w:cs="Arial" w:eastAsia="Arial" w:hAnsi="Arial"/>
          <w:sz w:val="18"/>
          <w:szCs w:val="18"/>
          <w:color w:val="auto"/>
        </w:rPr>
        <w:t>oncology, a new field of cancer therapy focused on enhancing antitumor immune responses.</w:t>
      </w:r>
    </w:p>
    <w:p>
      <w:pPr>
        <w:spacing w:after="0" w:line="206"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73"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Cancer therapies are sometimes characterized as front</w:t>
      </w:r>
      <w:r>
        <w:rPr>
          <w:rFonts w:ascii="MS PGothic" w:cs="MS PGothic" w:eastAsia="MS PGothic" w:hAnsi="MS PGothic"/>
          <w:sz w:val="16"/>
          <w:szCs w:val="16"/>
          <w:color w:val="auto"/>
        </w:rPr>
        <w:t>‑</w:t>
      </w:r>
      <w:r>
        <w:rPr>
          <w:rFonts w:ascii="Arial" w:cs="Arial" w:eastAsia="Arial" w:hAnsi="Arial"/>
          <w:sz w:val="16"/>
          <w:szCs w:val="16"/>
          <w:color w:val="auto"/>
        </w:rPr>
        <w:t>line, second</w:t>
      </w:r>
      <w:r>
        <w:rPr>
          <w:rFonts w:ascii="MS PGothic" w:cs="MS PGothic" w:eastAsia="MS PGothic" w:hAnsi="MS PGothic"/>
          <w:sz w:val="16"/>
          <w:szCs w:val="16"/>
          <w:color w:val="auto"/>
        </w:rPr>
        <w:t>‑</w:t>
      </w:r>
      <w:r>
        <w:rPr>
          <w:rFonts w:ascii="Arial" w:cs="Arial" w:eastAsia="Arial" w:hAnsi="Arial"/>
          <w:sz w:val="16"/>
          <w:szCs w:val="16"/>
          <w:color w:val="auto"/>
        </w:rPr>
        <w:t>line, or third</w:t>
      </w:r>
      <w:r>
        <w:rPr>
          <w:rFonts w:ascii="MS PGothic" w:cs="MS PGothic" w:eastAsia="MS PGothic" w:hAnsi="MS PGothic"/>
          <w:sz w:val="16"/>
          <w:szCs w:val="16"/>
          <w:color w:val="auto"/>
        </w:rPr>
        <w:t>‑</w:t>
      </w:r>
      <w:r>
        <w:rPr>
          <w:rFonts w:ascii="Arial" w:cs="Arial" w:eastAsia="Arial" w:hAnsi="Arial"/>
          <w:sz w:val="16"/>
          <w:szCs w:val="16"/>
          <w:color w:val="auto"/>
        </w:rPr>
        <w:t>line, and the FDA often approves new therapies initially only for third</w:t>
      </w:r>
      <w:r>
        <w:rPr>
          <w:rFonts w:ascii="MS PGothic" w:cs="MS PGothic" w:eastAsia="MS PGothic" w:hAnsi="MS PGothic"/>
          <w:sz w:val="16"/>
          <w:szCs w:val="16"/>
          <w:color w:val="auto"/>
        </w:rPr>
        <w:t>‑</w:t>
      </w:r>
      <w:r>
        <w:rPr>
          <w:rFonts w:ascii="Arial" w:cs="Arial" w:eastAsia="Arial" w:hAnsi="Arial"/>
          <w:sz w:val="16"/>
          <w:szCs w:val="16"/>
          <w:color w:val="auto"/>
        </w:rPr>
        <w:t>line use. When cancer is detected early enough, front</w:t>
      </w:r>
      <w:r>
        <w:rPr>
          <w:rFonts w:ascii="MS PGothic" w:cs="MS PGothic" w:eastAsia="MS PGothic" w:hAnsi="MS PGothic"/>
          <w:sz w:val="16"/>
          <w:szCs w:val="16"/>
          <w:color w:val="auto"/>
        </w:rPr>
        <w:t>‑</w:t>
      </w:r>
      <w:r>
        <w:rPr>
          <w:rFonts w:ascii="Arial" w:cs="Arial" w:eastAsia="Arial" w:hAnsi="Arial"/>
          <w:sz w:val="16"/>
          <w:szCs w:val="16"/>
          <w:color w:val="auto"/>
        </w:rPr>
        <w:t>line therapy is sometimes adequate to effectively treat the cancer or prolong life. Whenever front</w:t>
      </w:r>
      <w:r>
        <w:rPr>
          <w:rFonts w:ascii="MS PGothic" w:cs="MS PGothic" w:eastAsia="MS PGothic" w:hAnsi="MS PGothic"/>
          <w:sz w:val="16"/>
          <w:szCs w:val="16"/>
          <w:color w:val="auto"/>
        </w:rPr>
        <w:t>‑</w:t>
      </w:r>
      <w:r>
        <w:rPr>
          <w:rFonts w:ascii="Arial" w:cs="Arial" w:eastAsia="Arial" w:hAnsi="Arial"/>
          <w:sz w:val="16"/>
          <w:szCs w:val="16"/>
          <w:color w:val="auto"/>
        </w:rPr>
        <w:t>line therapy, usually chemotherapy, radiation therapy, surgery, or a combination of these, proves unsuccessful, second</w:t>
      </w:r>
      <w:r>
        <w:rPr>
          <w:rFonts w:ascii="MS PGothic" w:cs="MS PGothic" w:eastAsia="MS PGothic" w:hAnsi="MS PGothic"/>
          <w:sz w:val="16"/>
          <w:szCs w:val="16"/>
          <w:color w:val="auto"/>
        </w:rPr>
        <w:t>‑</w:t>
      </w:r>
      <w:r>
        <w:rPr>
          <w:rFonts w:ascii="Arial" w:cs="Arial" w:eastAsia="Arial" w:hAnsi="Arial"/>
          <w:sz w:val="16"/>
          <w:szCs w:val="16"/>
          <w:color w:val="auto"/>
        </w:rPr>
        <w:t>line therapy may be administered. Second</w:t>
      </w:r>
      <w:r>
        <w:rPr>
          <w:rFonts w:ascii="MS PGothic" w:cs="MS PGothic" w:eastAsia="MS PGothic" w:hAnsi="MS PGothic"/>
          <w:sz w:val="16"/>
          <w:szCs w:val="16"/>
          <w:color w:val="auto"/>
        </w:rPr>
        <w:t>‑</w:t>
      </w:r>
      <w:r>
        <w:rPr>
          <w:rFonts w:ascii="Arial" w:cs="Arial" w:eastAsia="Arial" w:hAnsi="Arial"/>
          <w:sz w:val="16"/>
          <w:szCs w:val="16"/>
          <w:color w:val="auto"/>
        </w:rPr>
        <w:t>line therapies often consist of more chemotherapy, surgery, antibody drugs, tumor</w:t>
      </w:r>
      <w:r>
        <w:rPr>
          <w:rFonts w:ascii="MS PGothic" w:cs="MS PGothic" w:eastAsia="MS PGothic" w:hAnsi="MS PGothic"/>
          <w:sz w:val="16"/>
          <w:szCs w:val="16"/>
          <w:color w:val="auto"/>
        </w:rPr>
        <w:t>‑</w:t>
      </w:r>
      <w:r>
        <w:rPr>
          <w:rFonts w:ascii="Arial" w:cs="Arial" w:eastAsia="Arial" w:hAnsi="Arial"/>
          <w:sz w:val="16"/>
          <w:szCs w:val="16"/>
          <w:color w:val="auto"/>
        </w:rPr>
        <w:t>targeted therapies such as monoclonal antibodies and small molecule inhibitors, or a combination of these. Third</w:t>
      </w:r>
      <w:r>
        <w:rPr>
          <w:rFonts w:ascii="MS PGothic" w:cs="MS PGothic" w:eastAsia="MS PGothic" w:hAnsi="MS PGothic"/>
          <w:sz w:val="16"/>
          <w:szCs w:val="16"/>
          <w:color w:val="auto"/>
        </w:rPr>
        <w:t>‑</w:t>
      </w:r>
      <w:r>
        <w:rPr>
          <w:rFonts w:ascii="Arial" w:cs="Arial" w:eastAsia="Arial" w:hAnsi="Arial"/>
          <w:sz w:val="16"/>
          <w:szCs w:val="16"/>
          <w:color w:val="auto"/>
        </w:rPr>
        <w:t>line therapies can include bone marrow transplantation, antibody and small molecule targeted therapies, more invasive forms of surgery, and new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The immune system is often described as having two main branches—innate (non</w:t>
      </w:r>
      <w:r>
        <w:rPr>
          <w:rFonts w:ascii="MS PGothic" w:cs="MS PGothic" w:eastAsia="MS PGothic" w:hAnsi="MS PGothic"/>
          <w:sz w:val="17"/>
          <w:szCs w:val="17"/>
          <w:color w:val="auto"/>
        </w:rPr>
        <w:t>‑</w:t>
      </w:r>
      <w:r>
        <w:rPr>
          <w:rFonts w:ascii="Arial" w:cs="Arial" w:eastAsia="Arial" w:hAnsi="Arial"/>
          <w:sz w:val="17"/>
          <w:szCs w:val="17"/>
          <w:color w:val="auto"/>
        </w:rPr>
        <w:t>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w:t>
      </w:r>
      <w:r>
        <w:rPr>
          <w:rFonts w:ascii="MS PGothic" w:cs="MS PGothic" w:eastAsia="MS PGothic" w:hAnsi="MS PGothic"/>
          <w:sz w:val="17"/>
          <w:szCs w:val="17"/>
          <w:color w:val="auto"/>
        </w:rPr>
        <w:t>‑</w:t>
      </w:r>
      <w:r>
        <w:rPr>
          <w:rFonts w:ascii="Arial" w:cs="Arial" w:eastAsia="Arial" w:hAnsi="Arial"/>
          <w:sz w:val="17"/>
          <w:szCs w:val="17"/>
          <w:color w:val="auto"/>
        </w:rPr>
        <w:t>cells, which secrete antibodies and T</w:t>
      </w:r>
      <w:r>
        <w:rPr>
          <w:rFonts w:ascii="MS PGothic" w:cs="MS PGothic" w:eastAsia="MS PGothic" w:hAnsi="MS PGothic"/>
          <w:sz w:val="17"/>
          <w:szCs w:val="17"/>
          <w:color w:val="auto"/>
        </w:rPr>
        <w:t>‑</w:t>
      </w:r>
      <w:r>
        <w:rPr>
          <w:rFonts w:ascii="Arial" w:cs="Arial" w:eastAsia="Arial" w:hAnsi="Arial"/>
          <w:sz w:val="17"/>
          <w:szCs w:val="17"/>
          <w:color w:val="auto"/>
        </w:rPr>
        <w:t>cells, which can be either helper T</w:t>
      </w:r>
      <w:r>
        <w:rPr>
          <w:rFonts w:ascii="MS PGothic" w:cs="MS PGothic" w:eastAsia="MS PGothic" w:hAnsi="MS PGothic"/>
          <w:sz w:val="17"/>
          <w:szCs w:val="17"/>
          <w:color w:val="auto"/>
        </w:rPr>
        <w:t>‑</w:t>
      </w:r>
      <w:r>
        <w:rPr>
          <w:rFonts w:ascii="Arial" w:cs="Arial" w:eastAsia="Arial" w:hAnsi="Arial"/>
          <w:sz w:val="17"/>
          <w:szCs w:val="17"/>
          <w:color w:val="auto"/>
        </w:rPr>
        <w:t>cells, supressor T</w:t>
      </w:r>
      <w:r>
        <w:rPr>
          <w:rFonts w:ascii="MS PGothic" w:cs="MS PGothic" w:eastAsia="MS PGothic" w:hAnsi="MS PGothic"/>
          <w:sz w:val="17"/>
          <w:szCs w:val="17"/>
          <w:color w:val="auto"/>
        </w:rPr>
        <w:t>‑</w:t>
      </w:r>
      <w:r>
        <w:rPr>
          <w:rFonts w:ascii="Arial" w:cs="Arial" w:eastAsia="Arial" w:hAnsi="Arial"/>
          <w:sz w:val="17"/>
          <w:szCs w:val="17"/>
          <w:color w:val="auto"/>
        </w:rPr>
        <w:t>cells or cytotoxic T</w:t>
      </w:r>
      <w:r>
        <w:rPr>
          <w:rFonts w:ascii="MS PGothic" w:cs="MS PGothic" w:eastAsia="MS PGothic" w:hAnsi="MS PGothic"/>
          <w:sz w:val="17"/>
          <w:szCs w:val="17"/>
          <w:color w:val="auto"/>
        </w:rPr>
        <w:t>‑</w:t>
      </w:r>
      <w:r>
        <w:rPr>
          <w:rFonts w:ascii="Arial" w:cs="Arial" w:eastAsia="Arial" w:hAnsi="Arial"/>
          <w:sz w:val="17"/>
          <w:szCs w:val="17"/>
          <w:color w:val="auto"/>
        </w:rPr>
        <w:t>cells.</w:t>
      </w:r>
    </w:p>
    <w:p>
      <w:pPr>
        <w:spacing w:after="0" w:line="205" w:lineRule="exact"/>
        <w:rPr>
          <w:sz w:val="20"/>
          <w:szCs w:val="20"/>
          <w:color w:val="auto"/>
        </w:rPr>
      </w:pPr>
    </w:p>
    <w:p>
      <w:pPr>
        <w:ind w:right="20" w:firstLine="648"/>
        <w:spacing w:after="0" w:line="221" w:lineRule="exact"/>
        <w:rPr>
          <w:sz w:val="20"/>
          <w:szCs w:val="20"/>
          <w:color w:val="auto"/>
        </w:rPr>
      </w:pPr>
      <w:r>
        <w:rPr>
          <w:rFonts w:ascii="Arial" w:cs="Arial" w:eastAsia="Arial" w:hAnsi="Arial"/>
          <w:sz w:val="17"/>
          <w:szCs w:val="17"/>
          <w:color w:val="auto"/>
        </w:rPr>
        <w:t>An antibody, also known as an IgG, is a large, Y</w:t>
      </w:r>
      <w:r>
        <w:rPr>
          <w:rFonts w:ascii="MS PGothic" w:cs="MS PGothic" w:eastAsia="MS PGothic" w:hAnsi="MS PGothic"/>
          <w:sz w:val="17"/>
          <w:szCs w:val="17"/>
          <w:color w:val="auto"/>
        </w:rPr>
        <w:t>‑</w:t>
      </w:r>
      <w:r>
        <w:rPr>
          <w:rFonts w:ascii="Arial" w:cs="Arial" w:eastAsia="Arial" w:hAnsi="Arial"/>
          <w:sz w:val="17"/>
          <w:szCs w:val="17"/>
          <w:color w:val="auto"/>
        </w:rPr>
        <w:t>shaped protein produced mainly by plasma cells in response to foreign substances, such as viruses or cancer cells. Antibodies circulating in the bloodstream function by binding to the target or antigen they are generated to fight. The binding process involves a lock</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key mechanism in which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paratope region of the antibody, analogous to a lock, binds to one particular epitope of a specific antigen, analogous to a key.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allows the antibody to bind to a specific antigen with precision, thereby attacking only its intended target.</w:t>
      </w:r>
    </w:p>
    <w:p>
      <w:pPr>
        <w:spacing w:after="0" w:line="211" w:lineRule="exact"/>
        <w:rPr>
          <w:sz w:val="20"/>
          <w:szCs w:val="20"/>
          <w:color w:val="auto"/>
        </w:rPr>
      </w:pPr>
    </w:p>
    <w:p>
      <w:pPr>
        <w:ind w:right="340" w:firstLine="648"/>
        <w:spacing w:after="0" w:line="221" w:lineRule="exact"/>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—laboratory</w:t>
      </w:r>
      <w:r>
        <w:rPr>
          <w:rFonts w:ascii="MS PGothic" w:cs="MS PGothic" w:eastAsia="MS PGothic" w:hAnsi="MS PGothic"/>
          <w:sz w:val="16"/>
          <w:szCs w:val="16"/>
          <w:color w:val="auto"/>
        </w:rPr>
        <w:t>‑</w:t>
      </w:r>
      <w:r>
        <w:rPr>
          <w:rFonts w:ascii="Arial" w:cs="Arial" w:eastAsia="Arial" w:hAnsi="Arial"/>
          <w:sz w:val="16"/>
          <w:szCs w:val="16"/>
          <w:color w:val="auto"/>
        </w:rPr>
        <w:t xml:space="preserve">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—antibodies with both mouse and human antibody proteins that are humanized</w:t>
      </w:r>
    </w:p>
    <w:p>
      <w:pPr>
        <w:ind w:right="20"/>
        <w:spacing w:after="0" w:line="281" w:lineRule="auto"/>
        <w:rPr>
          <w:sz w:val="20"/>
          <w:szCs w:val="20"/>
          <w:color w:val="auto"/>
        </w:rPr>
      </w:pPr>
      <w:r>
        <w:rPr>
          <w:rFonts w:ascii="Arial" w:cs="Arial" w:eastAsia="Arial" w:hAnsi="Arial"/>
          <w:sz w:val="16"/>
          <w:szCs w:val="16"/>
          <w:color w:val="auto"/>
        </w:rPr>
        <w:t xml:space="preserve">(i.e.,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—antibodies without any drug or radioactive material attached and which are the most common type of antibodies in treating cancer;</w:t>
      </w:r>
    </w:p>
    <w:p>
      <w:pPr>
        <w:spacing w:after="0" w:line="2" w:lineRule="exact"/>
        <w:rPr>
          <w:sz w:val="20"/>
          <w:szCs w:val="20"/>
          <w:color w:val="auto"/>
        </w:rPr>
      </w:pPr>
    </w:p>
    <w:p>
      <w:pPr>
        <w:ind w:right="40" w:firstLine="3"/>
        <w:spacing w:after="0" w:line="253"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Antibody Drug Conjugates, or ADCs</w:t>
      </w:r>
      <w:r>
        <w:rPr>
          <w:rFonts w:ascii="Arial" w:cs="Arial" w:eastAsia="Arial" w:hAnsi="Arial"/>
          <w:sz w:val="18"/>
          <w:szCs w:val="18"/>
          <w:color w:val="auto"/>
        </w:rPr>
        <w:t>—monoclonal antibodies that are joined to a chemotherapy drug, a radioactive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particle or cancer cell killing agent, in which the monoclonal antibody is used as a homing device to deliver these substances directly to the cancer cell; and (v) </w:t>
      </w:r>
      <w:r>
        <w:rPr>
          <w:rFonts w:ascii="Arial" w:cs="Arial" w:eastAsia="Arial" w:hAnsi="Arial"/>
          <w:sz w:val="18"/>
          <w:szCs w:val="18"/>
          <w:i w:val="1"/>
          <w:iCs w:val="1"/>
          <w:color w:val="auto"/>
        </w:rPr>
        <w:t>Bispecific antibodies</w:t>
      </w:r>
      <w:r>
        <w:rPr>
          <w:rFonts w:ascii="Arial" w:cs="Arial" w:eastAsia="Arial" w:hAnsi="Arial"/>
          <w:sz w:val="18"/>
          <w:szCs w:val="18"/>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91"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Antibodies may function through multiple mechanisms simultaneously, including binding to cancer cells and flagging for B</w:t>
      </w:r>
      <w:r>
        <w:rPr>
          <w:rFonts w:ascii="MS PGothic" w:cs="MS PGothic" w:eastAsia="MS PGothic" w:hAnsi="MS PGothic"/>
          <w:sz w:val="18"/>
          <w:szCs w:val="18"/>
          <w:color w:val="auto"/>
        </w:rPr>
        <w:t>‑</w:t>
      </w:r>
      <w:r>
        <w:rPr>
          <w:rFonts w:ascii="Arial" w:cs="Arial" w:eastAsia="Arial" w:hAnsi="Arial"/>
          <w:sz w:val="18"/>
          <w:szCs w:val="18"/>
          <w:color w:val="auto"/>
        </w:rPr>
        <w:t>cells and T</w:t>
      </w:r>
      <w:r>
        <w:rPr>
          <w:rFonts w:ascii="MS PGothic" w:cs="MS PGothic" w:eastAsia="MS PGothic" w:hAnsi="MS PGothic"/>
          <w:sz w:val="18"/>
          <w:szCs w:val="18"/>
          <w:color w:val="auto"/>
        </w:rPr>
        <w:t>‑</w:t>
      </w:r>
      <w:r>
        <w:rPr>
          <w:rFonts w:ascii="Arial" w:cs="Arial" w:eastAsia="Arial" w:hAnsi="Arial"/>
          <w:sz w:val="18"/>
          <w:szCs w:val="18"/>
          <w:color w:val="auto"/>
        </w:rPr>
        <w:t>cells to more easily detect the target, or delivering radiation treatment by acting as a vehicle to transfer small radioactive particles directly to the cancer cells and to minimize the effect of radiation on normal cells. Other mechanisms include triggering cell</w:t>
      </w:r>
      <w:r>
        <w:rPr>
          <w:rFonts w:ascii="MS PGothic" w:cs="MS PGothic" w:eastAsia="MS PGothic" w:hAnsi="MS PGothic"/>
          <w:sz w:val="18"/>
          <w:szCs w:val="18"/>
          <w:color w:val="auto"/>
        </w:rPr>
        <w:t>‑</w:t>
      </w:r>
      <w:r>
        <w:rPr>
          <w:rFonts w:ascii="Arial" w:cs="Arial" w:eastAsia="Arial" w:hAnsi="Arial"/>
          <w:sz w:val="18"/>
          <w:szCs w:val="18"/>
          <w:color w:val="auto"/>
        </w:rPr>
        <w:t>membrane destruction, preventing cell growth or blood vessel growth, blocking immune system inhibitors, directly attacking cancer cells and delivering chemotherapy or binding cancer cells and immune cells simultaneously.</w:t>
      </w:r>
    </w:p>
    <w:p>
      <w:pPr>
        <w:spacing w:after="0" w:line="203"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7"/>
          <w:szCs w:val="17"/>
          <w:color w:val="auto"/>
        </w:rPr>
        <w:t>Studies have shown that, as a drug class, antibodies have transformed oncology treatment and include some of the best</w:t>
      </w:r>
      <w:r>
        <w:rPr>
          <w:rFonts w:ascii="MS PGothic" w:cs="MS PGothic" w:eastAsia="MS PGothic" w:hAnsi="MS PGothic"/>
          <w:sz w:val="17"/>
          <w:szCs w:val="17"/>
          <w:color w:val="auto"/>
        </w:rPr>
        <w:t>‑</w:t>
      </w:r>
      <w:r>
        <w:rPr>
          <w:rFonts w:ascii="Arial" w:cs="Arial" w:eastAsia="Arial" w:hAnsi="Arial"/>
          <w:sz w:val="17"/>
          <w:szCs w:val="17"/>
          <w:color w:val="auto"/>
        </w:rPr>
        <w: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have a broad and advanced product pipeline including two late</w:t>
      </w:r>
      <w:r>
        <w:rPr>
          <w:rFonts w:ascii="MS PGothic" w:cs="MS PGothic" w:eastAsia="MS PGothic" w:hAnsi="MS PGothic"/>
          <w:sz w:val="17"/>
          <w:szCs w:val="17"/>
          <w:color w:val="auto"/>
        </w:rPr>
        <w:t>‑</w:t>
      </w:r>
      <w:r>
        <w:rPr>
          <w:rFonts w:ascii="Arial" w:cs="Arial" w:eastAsia="Arial" w:hAnsi="Arial"/>
          <w:sz w:val="17"/>
          <w:szCs w:val="17"/>
          <w:color w:val="auto"/>
        </w:rPr>
        <w:t>stage and clinically validated product candidates, naxitamab and omburtamab, which target tumors that express GD2 and B7</w:t>
      </w:r>
      <w:r>
        <w:rPr>
          <w:rFonts w:ascii="MS PGothic" w:cs="MS PGothic" w:eastAsia="MS PGothic" w:hAnsi="MS PGothic"/>
          <w:sz w:val="17"/>
          <w:szCs w:val="17"/>
          <w:color w:val="auto"/>
        </w:rPr>
        <w:t>‑</w:t>
      </w:r>
      <w:r>
        <w:rPr>
          <w:rFonts w:ascii="Arial" w:cs="Arial" w:eastAsia="Arial" w:hAnsi="Arial"/>
          <w:sz w:val="17"/>
          <w:szCs w:val="17"/>
          <w:color w:val="auto"/>
        </w:rPr>
        <w:t>H3, respectively. Naxitamab and omburtamab are currently in pivotal stage development for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and pediatric CNS/LM from NB, respectively, both rare and life</w:t>
      </w:r>
      <w:r>
        <w:rPr>
          <w:rFonts w:ascii="MS PGothic" w:cs="MS PGothic" w:eastAsia="MS PGothic" w:hAnsi="MS PGothic"/>
          <w:sz w:val="17"/>
          <w:szCs w:val="17"/>
          <w:color w:val="auto"/>
        </w:rPr>
        <w:t>‑</w:t>
      </w:r>
      <w:r>
        <w:rPr>
          <w:rFonts w:ascii="Arial" w:cs="Arial" w:eastAsia="Arial" w:hAnsi="Arial"/>
          <w:sz w:val="17"/>
          <w:szCs w:val="17"/>
          <w:color w:val="auto"/>
        </w:rPr>
        <w:t>threatening pediatric cancers for which no FDA approved products currently exist.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Naxitamab and omburtamab are also in mid</w:t>
      </w:r>
      <w:r>
        <w:rPr>
          <w:rFonts w:ascii="MS PGothic" w:cs="MS PGothic" w:eastAsia="MS PGothic" w:hAnsi="MS PGothic"/>
          <w:sz w:val="17"/>
          <w:szCs w:val="17"/>
          <w:color w:val="auto"/>
        </w:rPr>
        <w:t>‑</w:t>
      </w:r>
      <w:r>
        <w:rPr>
          <w:rFonts w:ascii="Arial" w:cs="Arial" w:eastAsia="Arial" w:hAnsi="Arial"/>
          <w:sz w:val="17"/>
          <w:szCs w:val="17"/>
          <w:color w:val="auto"/>
        </w:rPr>
        <w:t>stage clinical development for additional cancers, and we have initiated clinical development for both product candidates in several other indications. Furthermore, we have two additional B7</w:t>
      </w:r>
      <w:r>
        <w:rPr>
          <w:rFonts w:ascii="MS PGothic" w:cs="MS PGothic" w:eastAsia="MS PGothic" w:hAnsi="MS PGothic"/>
          <w:sz w:val="17"/>
          <w:szCs w:val="17"/>
          <w:color w:val="auto"/>
        </w:rPr>
        <w:t>‑</w:t>
      </w:r>
      <w:r>
        <w:rPr>
          <w:rFonts w:ascii="Arial" w:cs="Arial" w:eastAsia="Arial" w:hAnsi="Arial"/>
          <w:sz w:val="17"/>
          <w:szCs w:val="17"/>
          <w:color w:val="auto"/>
        </w:rPr>
        <w:t>H3 targeting product candidates in pre</w:t>
      </w:r>
      <w:r>
        <w:rPr>
          <w:rFonts w:ascii="MS PGothic" w:cs="MS PGothic" w:eastAsia="MS PGothic" w:hAnsi="MS PGothic"/>
          <w:sz w:val="17"/>
          <w:szCs w:val="17"/>
          <w:color w:val="auto"/>
        </w:rPr>
        <w:t>‑</w:t>
      </w:r>
      <w:r>
        <w:rPr>
          <w:rFonts w:ascii="Arial" w:cs="Arial" w:eastAsia="Arial" w:hAnsi="Arial"/>
          <w:sz w:val="17"/>
          <w:szCs w:val="17"/>
          <w:color w:val="auto"/>
        </w:rPr>
        <w:t>clinical development, omburtamab</w:t>
      </w:r>
      <w:r>
        <w:rPr>
          <w:rFonts w:ascii="MS PGothic" w:cs="MS PGothic" w:eastAsia="MS PGothic" w:hAnsi="MS PGothic"/>
          <w:sz w:val="17"/>
          <w:szCs w:val="17"/>
          <w:color w:val="auto"/>
        </w:rPr>
        <w:t>‑</w:t>
      </w:r>
      <w:r>
        <w:rPr>
          <w:rFonts w:ascii="Arial" w:cs="Arial" w:eastAsia="Arial" w:hAnsi="Arial"/>
          <w:sz w:val="17"/>
          <w:szCs w:val="17"/>
          <w:color w:val="auto"/>
        </w:rPr>
        <w:t>DTPA and huB7</w:t>
      </w:r>
      <w:r>
        <w:rPr>
          <w:rFonts w:ascii="MS PGothic" w:cs="MS PGothic" w:eastAsia="MS PGothic" w:hAnsi="MS PGothic"/>
          <w:sz w:val="17"/>
          <w:szCs w:val="17"/>
          <w:color w:val="auto"/>
        </w:rPr>
        <w:t>‑</w:t>
      </w:r>
      <w:r>
        <w:rPr>
          <w:rFonts w:ascii="Arial" w:cs="Arial" w:eastAsia="Arial" w:hAnsi="Arial"/>
          <w:sz w:val="17"/>
          <w:szCs w:val="17"/>
          <w:color w:val="auto"/>
        </w:rPr>
        <w:t>H3, a humanized version of omburtamab, each targeting indications with large adult cancer patient populations where there is a significant unmet medical need. As of December 10, 2018, FDA cleared the Investigational New Drug (“IND”) application for the humanized bispecific GD2 antibody or huGD2</w:t>
      </w:r>
      <w:r>
        <w:rPr>
          <w:rFonts w:ascii="MS PGothic" w:cs="MS PGothic" w:eastAsia="MS PGothic" w:hAnsi="MS PGothic"/>
          <w:sz w:val="17"/>
          <w:szCs w:val="17"/>
          <w:color w:val="auto"/>
        </w:rPr>
        <w:t>‑</w:t>
      </w:r>
      <w:r>
        <w:rPr>
          <w:rFonts w:ascii="Arial" w:cs="Arial" w:eastAsia="Arial" w:hAnsi="Arial"/>
          <w:sz w:val="17"/>
          <w:szCs w:val="17"/>
          <w:color w:val="auto"/>
        </w:rPr>
        <w:t>BsAb, and we have initiated a Phase I trial with our huGD2</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refractory GD2</w:t>
      </w:r>
      <w:r>
        <w:rPr>
          <w:rFonts w:ascii="MS PGothic" w:cs="MS PGothic" w:eastAsia="MS PGothic" w:hAnsi="MS PGothic"/>
          <w:sz w:val="17"/>
          <w:szCs w:val="17"/>
          <w:color w:val="auto"/>
        </w:rPr>
        <w:t>‑</w:t>
      </w:r>
      <w:r>
        <w:rPr>
          <w:rFonts w:ascii="Arial" w:cs="Arial" w:eastAsia="Arial" w:hAnsi="Arial"/>
          <w:sz w:val="17"/>
          <w:szCs w:val="17"/>
          <w:color w:val="auto"/>
        </w:rPr>
        <w:t>positive adult and pediatric solid tumors. In pre</w:t>
      </w:r>
      <w:r>
        <w:rPr>
          <w:rFonts w:ascii="MS PGothic" w:cs="MS PGothic" w:eastAsia="MS PGothic" w:hAnsi="MS PGothic"/>
          <w:sz w:val="17"/>
          <w:szCs w:val="17"/>
          <w:color w:val="auto"/>
        </w:rPr>
        <w:t>‑</w:t>
      </w:r>
      <w:r>
        <w:rPr>
          <w:rFonts w:ascii="Arial" w:cs="Arial" w:eastAsia="Arial" w:hAnsi="Arial"/>
          <w:sz w:val="17"/>
          <w:szCs w:val="17"/>
          <w:color w:val="auto"/>
        </w:rPr>
        <w:t>clinical studies, huGD2</w:t>
      </w:r>
      <w:r>
        <w:rPr>
          <w:rFonts w:ascii="MS PGothic" w:cs="MS PGothic" w:eastAsia="MS PGothic" w:hAnsi="MS PGothic"/>
          <w:sz w:val="17"/>
          <w:szCs w:val="17"/>
          <w:color w:val="auto"/>
        </w:rPr>
        <w:t>‑</w:t>
      </w:r>
      <w:r>
        <w:rPr>
          <w:rFonts w:ascii="Arial" w:cs="Arial" w:eastAsia="Arial" w:hAnsi="Arial"/>
          <w:sz w:val="17"/>
          <w:szCs w:val="17"/>
          <w:color w:val="auto"/>
        </w:rPr>
        <w:t>BsAb has demonstrated the potential for improved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compared to existing bispecific constructs. We are also advancing a pipeline of novel BsAbs through late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including our huCD33</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hematological cancers expressing CD33, a transmembrane receptor expressed on cells of myeloid lineage. We have exclusive worldwide commercial rights to all of our current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Naxitamab is a humanized monoclonal antibody being evaluated for the treatment of R/R NB and other</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GD2</w:t>
      </w:r>
      <w:r>
        <w:rPr>
          <w:rFonts w:ascii="MS PGothic" w:cs="MS PGothic" w:eastAsia="MS PGothic" w:hAnsi="MS PGothic"/>
          <w:sz w:val="16"/>
          <w:szCs w:val="16"/>
          <w:color w:val="auto"/>
        </w:rPr>
        <w:t>‑</w:t>
      </w:r>
      <w:r>
        <w:rPr>
          <w:rFonts w:ascii="Arial" w:cs="Arial" w:eastAsia="Arial" w:hAnsi="Arial"/>
          <w:sz w:val="16"/>
          <w:szCs w:val="16"/>
          <w:color w:val="auto"/>
        </w:rPr>
        <w:t>positive tumors, including osteosarcoma. Naxitamab targets GD2, which, based on our research, is expressed on almost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of NB cancer cells regardless of disease stage and in almost all osteosarcomas. Naxitamab is currently 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pivotal stage development for patients with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and was granted BTD in this indication in 2018. In November 2018, the European Commission granted orphan medicinal product designation, or OMPD, for naxitamab for the treatment of NB. Naxitamab has also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In the Phase 1 dose escalation part of Study 12</w:t>
      </w:r>
      <w:r>
        <w:rPr>
          <w:rFonts w:ascii="MS PGothic" w:cs="MS PGothic" w:eastAsia="MS PGothic" w:hAnsi="MS PGothic"/>
          <w:sz w:val="17"/>
          <w:szCs w:val="17"/>
          <w:color w:val="auto"/>
        </w:rPr>
        <w:t>‑</w:t>
      </w:r>
      <w:r>
        <w:rPr>
          <w:rFonts w:ascii="Arial" w:cs="Arial" w:eastAsia="Arial" w:hAnsi="Arial"/>
          <w:sz w:val="17"/>
          <w:szCs w:val="17"/>
          <w:color w:val="auto"/>
        </w:rPr>
        <w:t>230, of the 23 patients with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with evaluable tumors and who did not have PD at study entry, 13 patients, or 57%, achieved a clinical response. In May 2018, we reported topline results from the Phase 2 part of Study 12</w:t>
      </w:r>
      <w:r>
        <w:rPr>
          <w:rFonts w:ascii="MS PGothic" w:cs="MS PGothic" w:eastAsia="MS PGothic" w:hAnsi="MS PGothic"/>
          <w:sz w:val="17"/>
          <w:szCs w:val="17"/>
          <w:color w:val="auto"/>
        </w:rPr>
        <w:t>‑</w:t>
      </w:r>
      <w:r>
        <w:rPr>
          <w:rFonts w:ascii="Arial" w:cs="Arial" w:eastAsia="Arial" w:hAnsi="Arial"/>
          <w:sz w:val="17"/>
          <w:szCs w:val="17"/>
          <w:color w:val="auto"/>
        </w:rPr>
        <w:t>230. This data continued to show response rates at the same levels as in the dose escalation part of the study with 13 of 15 evaluable, or 87% of, primary refractory patients responding and 7 of 23 evaluable, or 30% of, secondary refractory patients responding.</w:t>
      </w:r>
    </w:p>
    <w:p>
      <w:pPr>
        <w:spacing w:after="0" w:line="20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we believe that naxitamab has multiple potential advantages over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In particular, the modest toxicity it exhibits allows for doses 2.5 times greater than the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Naxitamab also has a significantly shorter infusion time (approximately 30 minutes compared to 10 to 20 hours for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being used in front</w:t>
      </w:r>
      <w:r>
        <w:rPr>
          <w:rFonts w:ascii="MS PGothic" w:cs="MS PGothic" w:eastAsia="MS PGothic" w:hAnsi="MS PGothic"/>
          <w:sz w:val="16"/>
          <w:szCs w:val="16"/>
          <w:color w:val="auto"/>
        </w:rPr>
        <w:t>‑</w:t>
      </w:r>
      <w:r>
        <w:rPr>
          <w:rFonts w:ascii="Arial" w:cs="Arial" w:eastAsia="Arial" w:hAnsi="Arial"/>
          <w:sz w:val="16"/>
          <w:szCs w:val="16"/>
          <w:color w:val="auto"/>
        </w:rPr>
        <w:t>line therapy, which we believe is important given the pain associated with the therapy) and the ability to be administered in an outpatient setting (compared to hospitalization stays of four days or longer for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w:t>
      </w:r>
    </w:p>
    <w:p>
      <w:pPr>
        <w:spacing w:after="0" w:line="206"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Based on our discussions with the FDA, the profile of the non</w:t>
      </w:r>
      <w:r>
        <w:rPr>
          <w:rFonts w:ascii="MS PGothic" w:cs="MS PGothic" w:eastAsia="MS PGothic" w:hAnsi="MS PGothic"/>
          <w:sz w:val="17"/>
          <w:szCs w:val="17"/>
          <w:color w:val="auto"/>
        </w:rPr>
        <w:t>‑</w:t>
      </w:r>
      <w:r>
        <w:rPr>
          <w:rFonts w:ascii="Arial" w:cs="Arial" w:eastAsia="Arial" w:hAnsi="Arial"/>
          <w:sz w:val="17"/>
          <w:szCs w:val="17"/>
          <w:color w:val="auto"/>
        </w:rPr>
        <w:t>PD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patients in Study 12</w:t>
      </w:r>
      <w:r>
        <w:rPr>
          <w:rFonts w:ascii="MS PGothic" w:cs="MS PGothic" w:eastAsia="MS PGothic" w:hAnsi="MS PGothic"/>
          <w:sz w:val="17"/>
          <w:szCs w:val="17"/>
          <w:color w:val="auto"/>
        </w:rPr>
        <w:t>‑</w:t>
      </w:r>
      <w:r>
        <w:rPr>
          <w:rFonts w:ascii="Arial" w:cs="Arial" w:eastAsia="Arial" w:hAnsi="Arial"/>
          <w:sz w:val="17"/>
          <w:szCs w:val="17"/>
          <w:color w:val="auto"/>
        </w:rPr>
        <w:t>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duration of response of minimum 12 weeks may qualify naxitamab for accelerated approval. We have proposed to the FDA that, pending comparability between the study population in Study 12</w:t>
      </w:r>
      <w:r>
        <w:rPr>
          <w:rFonts w:ascii="MS PGothic" w:cs="MS PGothic" w:eastAsia="MS PGothic" w:hAnsi="MS PGothic"/>
          <w:sz w:val="17"/>
          <w:szCs w:val="17"/>
          <w:color w:val="auto"/>
        </w:rPr>
        <w:t>‑</w:t>
      </w:r>
      <w:r>
        <w:rPr>
          <w:rFonts w:ascii="Arial" w:cs="Arial" w:eastAsia="Arial" w:hAnsi="Arial"/>
          <w:sz w:val="17"/>
          <w:szCs w:val="17"/>
          <w:color w:val="auto"/>
        </w:rPr>
        <w:t>230 and Study 201, the data from the two studies may be pooled for analysis for our planned BLA submission. In addition, naxitamab is currently being evaluated in a Phase 2 clinical study (Study 16</w:t>
      </w:r>
      <w:r>
        <w:rPr>
          <w:rFonts w:ascii="MS PGothic" w:cs="MS PGothic" w:eastAsia="MS PGothic" w:hAnsi="MS PGothic"/>
          <w:sz w:val="17"/>
          <w:szCs w:val="17"/>
          <w:color w:val="auto"/>
        </w:rPr>
        <w:t>‑</w:t>
      </w:r>
      <w:r>
        <w:rPr>
          <w:rFonts w:ascii="Arial" w:cs="Arial" w:eastAsia="Arial" w:hAnsi="Arial"/>
          <w:sz w:val="17"/>
          <w:szCs w:val="17"/>
          <w:color w:val="auto"/>
        </w:rPr>
        <w:t>1643) in front</w:t>
      </w:r>
      <w:r>
        <w:rPr>
          <w:rFonts w:ascii="MS PGothic" w:cs="MS PGothic" w:eastAsia="MS PGothic" w:hAnsi="MS PGothic"/>
          <w:sz w:val="17"/>
          <w:szCs w:val="17"/>
          <w:color w:val="auto"/>
        </w:rPr>
        <w:t>‑</w:t>
      </w:r>
      <w:r>
        <w:rPr>
          <w:rFonts w:ascii="Arial" w:cs="Arial" w:eastAsia="Arial" w:hAnsi="Arial"/>
          <w:sz w:val="17"/>
          <w:szCs w:val="17"/>
          <w:color w:val="auto"/>
        </w:rPr>
        <w:t>line NB, a pilot study (Study 17</w:t>
      </w:r>
      <w:r>
        <w:rPr>
          <w:rFonts w:ascii="MS PGothic" w:cs="MS PGothic" w:eastAsia="MS PGothic" w:hAnsi="MS PGothic"/>
          <w:sz w:val="17"/>
          <w:szCs w:val="17"/>
          <w:color w:val="auto"/>
        </w:rPr>
        <w:t>‑</w:t>
      </w:r>
      <w:r>
        <w:rPr>
          <w:rFonts w:ascii="Arial" w:cs="Arial" w:eastAsia="Arial" w:hAnsi="Arial"/>
          <w:sz w:val="17"/>
          <w:szCs w:val="17"/>
          <w:color w:val="auto"/>
        </w:rPr>
        <w:t>251) of chemoimmunotherapy for high</w:t>
      </w:r>
      <w:r>
        <w:rPr>
          <w:rFonts w:ascii="MS PGothic" w:cs="MS PGothic" w:eastAsia="MS PGothic" w:hAnsi="MS PGothic"/>
          <w:sz w:val="17"/>
          <w:szCs w:val="17"/>
          <w:color w:val="auto"/>
        </w:rPr>
        <w:t>‑</w:t>
      </w:r>
      <w:r>
        <w:rPr>
          <w:rFonts w:ascii="Arial" w:cs="Arial" w:eastAsia="Arial" w:hAnsi="Arial"/>
          <w:sz w:val="17"/>
          <w:szCs w:val="17"/>
          <w:color w:val="auto"/>
        </w:rPr>
        <w:t>risk NB and a Phase 2 clinical study (Study 15</w:t>
      </w:r>
      <w:r>
        <w:rPr>
          <w:rFonts w:ascii="MS PGothic" w:cs="MS PGothic" w:eastAsia="MS PGothic" w:hAnsi="MS PGothic"/>
          <w:sz w:val="17"/>
          <w:szCs w:val="17"/>
          <w:color w:val="auto"/>
        </w:rPr>
        <w:t>‑</w:t>
      </w:r>
      <w:r>
        <w:rPr>
          <w:rFonts w:ascii="Arial" w:cs="Arial" w:eastAsia="Arial" w:hAnsi="Arial"/>
          <w:sz w:val="17"/>
          <w:szCs w:val="17"/>
          <w:color w:val="auto"/>
        </w:rPr>
        <w:t>096) in second</w:t>
      </w:r>
      <w:r>
        <w:rPr>
          <w:rFonts w:ascii="MS PGothic" w:cs="MS PGothic" w:eastAsia="MS PGothic" w:hAnsi="MS PGothic"/>
          <w:sz w:val="17"/>
          <w:szCs w:val="17"/>
          <w:color w:val="auto"/>
        </w:rPr>
        <w:t>‑</w:t>
      </w:r>
      <w:r>
        <w:rPr>
          <w:rFonts w:ascii="Arial" w:cs="Arial" w:eastAsia="Arial" w:hAnsi="Arial"/>
          <w:sz w:val="17"/>
          <w:szCs w:val="17"/>
          <w:color w:val="auto"/>
        </w:rPr>
        <w:t>line relapsed osteosarcoma patients.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81"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As a potential target molecule for anti</w:t>
      </w:r>
      <w:r>
        <w:rPr>
          <w:rFonts w:ascii="MS PGothic" w:cs="MS PGothic" w:eastAsia="MS PGothic" w:hAnsi="MS PGothic"/>
          <w:sz w:val="17"/>
          <w:szCs w:val="17"/>
          <w:color w:val="auto"/>
        </w:rPr>
        <w:t>‑</w:t>
      </w:r>
      <w:r>
        <w:rPr>
          <w:rFonts w:ascii="Arial" w:cs="Arial" w:eastAsia="Arial" w:hAnsi="Arial"/>
          <w:sz w:val="17"/>
          <w:szCs w:val="17"/>
          <w:color w:val="auto"/>
        </w:rPr>
        <w:t>tumor therapy, GD2 has certain advantages when compared to other</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tumor</w:t>
      </w:r>
      <w:r>
        <w:rPr>
          <w:rFonts w:ascii="MS PGothic" w:cs="MS PGothic" w:eastAsia="MS PGothic" w:hAnsi="MS PGothic"/>
          <w:sz w:val="16"/>
          <w:szCs w:val="16"/>
          <w:color w:val="auto"/>
        </w:rPr>
        <w:t>‑</w:t>
      </w:r>
      <w:r>
        <w:rPr>
          <w:rFonts w:ascii="Arial" w:cs="Arial" w:eastAsia="Arial" w:hAnsi="Arial"/>
          <w:sz w:val="16"/>
          <w:szCs w:val="16"/>
          <w:color w:val="auto"/>
        </w:rPr>
        <w:t>associated gangliosides because it is highly expressed in tumor cells of several types of cancers and is not expressed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or expressed at very low levels, in normal cells. The National Cancer Institute pilot program for the prioritization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important cancer antigens ranks GD2 as number 12 out of 75 potential targets for cancer therapy based on therapeutic</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function, immunogenicity, role of the antigen in oncogenicity, specificity, expression level and percent of antigen</w:t>
      </w:r>
      <w:r>
        <w:rPr>
          <w:rFonts w:ascii="MS PGothic" w:cs="MS PGothic" w:eastAsia="MS PGothic" w:hAnsi="MS PGothic"/>
          <w:sz w:val="17"/>
          <w:szCs w:val="17"/>
          <w:color w:val="auto"/>
        </w:rPr>
        <w:t>‑</w:t>
      </w:r>
      <w:r>
        <w:rPr>
          <w:rFonts w:ascii="Arial" w:cs="Arial" w:eastAsia="Arial" w:hAnsi="Arial"/>
          <w:sz w:val="17"/>
          <w:szCs w:val="17"/>
          <w:color w:val="auto"/>
        </w:rPr>
        <w:t>positive</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cells, stem cell expression, number of patients with antigen</w:t>
      </w:r>
      <w:r>
        <w:rPr>
          <w:rFonts w:ascii="MS PGothic" w:cs="MS PGothic" w:eastAsia="MS PGothic" w:hAnsi="MS PGothic"/>
          <w:sz w:val="17"/>
          <w:szCs w:val="17"/>
          <w:color w:val="auto"/>
        </w:rPr>
        <w:t>‑</w:t>
      </w:r>
      <w:r>
        <w:rPr>
          <w:rFonts w:ascii="Arial" w:cs="Arial" w:eastAsia="Arial" w:hAnsi="Arial"/>
          <w:sz w:val="17"/>
          <w:szCs w:val="17"/>
          <w:color w:val="auto"/>
        </w:rPr>
        <w:t>positive cancers, number of antigenic epitopes, and cellular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location of antigen expression. GD2 ranks as number six when compared to antigens that are directly targetable on the cell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surface. Antibodies directed against GD2 have been shown to effectively induce cell death through a combination of both</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apoptosis and tumor cell necrosis in GD2</w:t>
      </w:r>
      <w:r>
        <w:rPr>
          <w:rFonts w:ascii="MS PGothic" w:cs="MS PGothic" w:eastAsia="MS PGothic" w:hAnsi="MS PGothic"/>
          <w:sz w:val="18"/>
          <w:szCs w:val="18"/>
          <w:color w:val="auto"/>
        </w:rPr>
        <w:t>‑</w:t>
      </w:r>
      <w:r>
        <w:rPr>
          <w:rFonts w:ascii="Arial" w:cs="Arial" w:eastAsia="Arial" w:hAnsi="Arial"/>
          <w:sz w:val="18"/>
          <w:szCs w:val="18"/>
          <w:color w:val="auto"/>
        </w:rPr>
        <w:t>positive tumors.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6"/>
          <w:szCs w:val="16"/>
          <w:color w:val="auto"/>
        </w:rPr>
        <w:t>Studies have shown that GD2 is highly expressed on neuroectoderm</w:t>
      </w:r>
      <w:r>
        <w:rPr>
          <w:rFonts w:ascii="MS PGothic" w:cs="MS PGothic" w:eastAsia="MS PGothic" w:hAnsi="MS PGothic"/>
          <w:sz w:val="16"/>
          <w:szCs w:val="16"/>
          <w:color w:val="auto"/>
        </w:rPr>
        <w:t>‑</w:t>
      </w:r>
      <w:r>
        <w:rPr>
          <w:rFonts w:ascii="Arial" w:cs="Arial" w:eastAsia="Arial" w:hAnsi="Arial"/>
          <w:sz w:val="16"/>
          <w:szCs w:val="16"/>
          <w:color w:val="auto"/>
        </w:rPr>
        <w:t>derived tumors and sarcomas, including NB, retinoblastoma, melanoma, small cell lung cancer, brain tumors, osteosarcoma, rhabdomyosarcoma, Ewing’s sarcoma in children and adolescents, as well as liposarcoma, fibrosarcoma, leiomyosarcoma and other soft</w:t>
      </w:r>
      <w:r>
        <w:rPr>
          <w:rFonts w:ascii="MS PGothic" w:cs="MS PGothic" w:eastAsia="MS PGothic" w:hAnsi="MS PGothic"/>
          <w:sz w:val="16"/>
          <w:szCs w:val="16"/>
          <w:color w:val="auto"/>
        </w:rPr>
        <w:t>‑</w:t>
      </w:r>
      <w:r>
        <w:rPr>
          <w:rFonts w:ascii="Arial" w:cs="Arial" w:eastAsia="Arial" w:hAnsi="Arial"/>
          <w:sz w:val="16"/>
          <w:szCs w:val="16"/>
          <w:color w:val="auto"/>
        </w:rPr>
        <w:t>tissue sarcomas in adults. These cancers have a high mortality rate ranging from 20</w:t>
      </w:r>
      <w:r>
        <w:rPr>
          <w:rFonts w:ascii="MS PGothic" w:cs="MS PGothic" w:eastAsia="MS PGothic" w:hAnsi="MS PGothic"/>
          <w:sz w:val="16"/>
          <w:szCs w:val="16"/>
          <w:color w:val="auto"/>
        </w:rPr>
        <w:t>‑</w:t>
      </w:r>
      <w:r>
        <w:rPr>
          <w:rFonts w:ascii="Arial" w:cs="Arial" w:eastAsia="Arial" w:hAnsi="Arial"/>
          <w:sz w:val="16"/>
          <w:szCs w:val="16"/>
          <w:color w:val="auto"/>
        </w:rPr>
        <w:t>80% depending on the tumor type.</w:t>
      </w:r>
    </w:p>
    <w:p>
      <w:pPr>
        <w:spacing w:after="0" w:line="203" w:lineRule="exact"/>
        <w:rPr>
          <w:sz w:val="20"/>
          <w:szCs w:val="20"/>
          <w:color w:val="auto"/>
        </w:rPr>
      </w:pPr>
    </w:p>
    <w:p>
      <w:pPr>
        <w:ind w:firstLine="648"/>
        <w:spacing w:after="0" w:line="224" w:lineRule="exact"/>
        <w:rPr>
          <w:sz w:val="20"/>
          <w:szCs w:val="20"/>
          <w:color w:val="auto"/>
        </w:rPr>
      </w:pPr>
      <w:r>
        <w:rPr>
          <w:rFonts w:ascii="Arial" w:cs="Arial" w:eastAsia="Arial" w:hAnsi="Arial"/>
          <w:sz w:val="17"/>
          <w:szCs w:val="17"/>
          <w:color w:val="auto"/>
        </w:rPr>
        <w:t>We believe there is a large market opportunity for the treatment of solid tumors that express GD2. Based on our own research and our review of published research, we believe GD2 expression occurs in approximately 60</w:t>
      </w:r>
      <w:r>
        <w:rPr>
          <w:rFonts w:ascii="MS PGothic" w:cs="MS PGothic" w:eastAsia="MS PGothic" w:hAnsi="MS PGothic"/>
          <w:sz w:val="17"/>
          <w:szCs w:val="17"/>
          <w:color w:val="auto"/>
        </w:rPr>
        <w:t>‑</w:t>
      </w:r>
      <w:r>
        <w:rPr>
          <w:rFonts w:ascii="Arial" w:cs="Arial" w:eastAsia="Arial" w:hAnsi="Arial"/>
          <w:sz w:val="17"/>
          <w:szCs w:val="17"/>
          <w:color w:val="auto"/>
        </w:rPr>
        <w:t>100%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20" w:lineRule="exact"/>
        <w:rPr>
          <w:sz w:val="20"/>
          <w:szCs w:val="20"/>
          <w:color w:val="auto"/>
        </w:rPr>
      </w:pPr>
      <w:r>
        <w:rPr>
          <w:rFonts w:ascii="Arial" w:cs="Arial" w:eastAsia="Arial" w:hAnsi="Arial"/>
          <w:sz w:val="16"/>
          <w:szCs w:val="16"/>
          <w:color w:val="auto"/>
        </w:rPr>
        <w:t>tumor samples from various cancer types, and in substantially all NB and osteosarcoma tumor samples. We estimate that there were more than 200,000 new patients diagnosed with GD2</w:t>
      </w:r>
      <w:r>
        <w:rPr>
          <w:rFonts w:ascii="MS PGothic" w:cs="MS PGothic" w:eastAsia="MS PGothic" w:hAnsi="MS PGothic"/>
          <w:sz w:val="16"/>
          <w:szCs w:val="16"/>
          <w:color w:val="auto"/>
        </w:rPr>
        <w:t>‑</w:t>
      </w:r>
      <w:r>
        <w:rPr>
          <w:rFonts w:ascii="Arial" w:cs="Arial" w:eastAsia="Arial" w:hAnsi="Arial"/>
          <w:sz w:val="16"/>
          <w:szCs w:val="16"/>
          <w:color w:val="auto"/>
        </w:rPr>
        <w:t>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Our pre</w:t>
      </w:r>
      <w:r>
        <w:rPr>
          <w:rFonts w:ascii="MS PGothic" w:cs="MS PGothic" w:eastAsia="MS PGothic" w:hAnsi="MS PGothic"/>
          <w:sz w:val="16"/>
          <w:szCs w:val="16"/>
          <w:color w:val="auto"/>
        </w:rPr>
        <w:t>‑</w:t>
      </w:r>
      <w:r>
        <w:rPr>
          <w:rFonts w:ascii="Arial" w:cs="Arial" w:eastAsia="Arial" w:hAnsi="Arial"/>
          <w:sz w:val="16"/>
          <w:szCs w:val="16"/>
          <w:color w:val="auto"/>
        </w:rPr>
        <w:t>clinical studies have shown that naxitamab binds to GD2 molecules on tumor cells with high affinity and a slow off</w:t>
      </w:r>
      <w:r>
        <w:rPr>
          <w:rFonts w:ascii="MS PGothic" w:cs="MS PGothic" w:eastAsia="MS PGothic" w:hAnsi="MS PGothic"/>
          <w:sz w:val="16"/>
          <w:szCs w:val="16"/>
          <w:color w:val="auto"/>
        </w:rPr>
        <w:t>‑</w:t>
      </w:r>
      <w:r>
        <w:rPr>
          <w:rFonts w:ascii="Arial" w:cs="Arial" w:eastAsia="Arial" w:hAnsi="Arial"/>
          <w:sz w:val="16"/>
          <w:szCs w:val="16"/>
          <w:color w:val="auto"/>
        </w:rPr>
        <w:t>rate, which indicates naxitamab’s strong binding ability. In mice that have been transplanted with human NB tissue, naxitamab demonstrated dose</w:t>
      </w:r>
      <w:r>
        <w:rPr>
          <w:rFonts w:ascii="MS PGothic" w:cs="MS PGothic" w:eastAsia="MS PGothic" w:hAnsi="MS PGothic"/>
          <w:sz w:val="16"/>
          <w:szCs w:val="16"/>
          <w:color w:val="auto"/>
        </w:rPr>
        <w:t>‑</w:t>
      </w:r>
      <w:r>
        <w:rPr>
          <w:rFonts w:ascii="Arial" w:cs="Arial" w:eastAsia="Arial" w:hAnsi="Arial"/>
          <w:sz w:val="16"/>
          <w:szCs w:val="16"/>
          <w:color w:val="auto"/>
        </w:rPr>
        <w:t xml:space="preserve">dependent inhibition of tumor growth (i.e., the effect of naxitamab varied with dosage) and generally increased survival.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show that when naxitamab binds to tumor cells, it induces tumor cell death through antibody</w:t>
      </w:r>
      <w:r>
        <w:rPr>
          <w:rFonts w:ascii="MS PGothic" w:cs="MS PGothic" w:eastAsia="MS PGothic" w:hAnsi="MS PGothic"/>
          <w:sz w:val="16"/>
          <w:szCs w:val="16"/>
          <w:color w:val="auto"/>
        </w:rPr>
        <w:t>‑</w:t>
      </w:r>
      <w:r>
        <w:rPr>
          <w:rFonts w:ascii="Arial" w:cs="Arial" w:eastAsia="Arial" w:hAnsi="Arial"/>
          <w:sz w:val="16"/>
          <w:szCs w:val="16"/>
          <w:color w:val="auto"/>
        </w:rPr>
        <w:t>dependent cell</w:t>
      </w:r>
      <w:r>
        <w:rPr>
          <w:rFonts w:ascii="MS PGothic" w:cs="MS PGothic" w:eastAsia="MS PGothic" w:hAnsi="MS PGothic"/>
          <w:sz w:val="16"/>
          <w:szCs w:val="16"/>
          <w:color w:val="auto"/>
        </w:rPr>
        <w:t>‑</w:t>
      </w:r>
      <w:r>
        <w:rPr>
          <w:rFonts w:ascii="Arial" w:cs="Arial" w:eastAsia="Arial" w:hAnsi="Arial"/>
          <w:sz w:val="16"/>
          <w:szCs w:val="16"/>
          <w:color w:val="auto"/>
        </w:rPr>
        <w:t>mediated cytotoxicity and complement</w:t>
      </w:r>
      <w:r>
        <w:rPr>
          <w:rFonts w:ascii="MS PGothic" w:cs="MS PGothic" w:eastAsia="MS PGothic" w:hAnsi="MS PGothic"/>
          <w:sz w:val="16"/>
          <w:szCs w:val="16"/>
          <w:color w:val="auto"/>
        </w:rPr>
        <w:t>‑</w:t>
      </w:r>
      <w:r>
        <w:rPr>
          <w:rFonts w:ascii="Arial" w:cs="Arial" w:eastAsia="Arial" w:hAnsi="Arial"/>
          <w:sz w:val="16"/>
          <w:szCs w:val="16"/>
          <w:color w:val="auto"/>
        </w:rPr>
        <w:t xml:space="preserve">dependent cytotoxicity. Naxitamab may also inhibit tumor cell migration through its inhibitory effect on GD2 molecules, which are involved in tumor cell adhesion and migration.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also show that Granulocyte</w:t>
      </w:r>
      <w:r>
        <w:rPr>
          <w:rFonts w:ascii="MS PGothic" w:cs="MS PGothic" w:eastAsia="MS PGothic" w:hAnsi="MS PGothic"/>
          <w:sz w:val="16"/>
          <w:szCs w:val="16"/>
          <w:color w:val="auto"/>
        </w:rPr>
        <w:t>‑</w:t>
      </w:r>
      <w:r>
        <w:rPr>
          <w:rFonts w:ascii="Arial" w:cs="Arial" w:eastAsia="Arial" w:hAnsi="Arial"/>
          <w:sz w:val="16"/>
          <w:szCs w:val="16"/>
          <w:color w:val="auto"/>
        </w:rPr>
        <w:t>Macrophage Colony Stimulating Factor, or GM</w:t>
      </w:r>
      <w:r>
        <w:rPr>
          <w:rFonts w:ascii="MS PGothic" w:cs="MS PGothic" w:eastAsia="MS PGothic" w:hAnsi="MS PGothic"/>
          <w:sz w:val="16"/>
          <w:szCs w:val="16"/>
          <w:color w:val="auto"/>
        </w:rPr>
        <w:t>‑</w:t>
      </w:r>
      <w:r>
        <w:rPr>
          <w:rFonts w:ascii="Arial" w:cs="Arial" w:eastAsia="Arial" w:hAnsi="Arial"/>
          <w:sz w:val="16"/>
          <w:szCs w:val="16"/>
          <w:color w:val="auto"/>
        </w:rPr>
        <w:t>CSF, enhances the activity of naxitamab in a dose</w:t>
      </w:r>
      <w:r>
        <w:rPr>
          <w:rFonts w:ascii="MS PGothic" w:cs="MS PGothic" w:eastAsia="MS PGothic" w:hAnsi="MS PGothic"/>
          <w:sz w:val="16"/>
          <w:szCs w:val="16"/>
          <w:color w:val="auto"/>
        </w:rPr>
        <w:t>‑</w:t>
      </w:r>
      <w:r>
        <w:rPr>
          <w:rFonts w:ascii="Arial" w:cs="Arial" w:eastAsia="Arial" w:hAnsi="Arial"/>
          <w:sz w:val="16"/>
          <w:szCs w:val="16"/>
          <w:color w:val="auto"/>
        </w:rPr>
        <w:t>dependent manner and is therefore generally combined with naxitamab in our clinical trials.</w:t>
      </w:r>
    </w:p>
    <w:p>
      <w:pPr>
        <w:spacing w:after="0" w:line="20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Naxitamab for the Treatment of Pediatric Relapsed or Refractory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Naxitamab is currently in pivotal stage development (Study 201) for the treatment of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and was granted BTD in this indication in 2018. In November 2018, the European Commission granted orphan medicinal product designation, or OMPD, for naxitamab for the treatment of NB. Naxitamab has also received ODD and RPDD from the FDA for the treatment of NB in 2013 and 2017, respectively. The RPDD qualifies us for receipt of a PRV upon approval of naxitamab for treatment of NB by the FDA, if such approval occurs. In the dose escalation part of Study 12</w:t>
      </w:r>
      <w:r>
        <w:rPr>
          <w:rFonts w:ascii="MS PGothic" w:cs="MS PGothic" w:eastAsia="MS PGothic" w:hAnsi="MS PGothic"/>
          <w:sz w:val="17"/>
          <w:szCs w:val="17"/>
          <w:color w:val="auto"/>
        </w:rPr>
        <w:t>‑</w:t>
      </w:r>
      <w:r>
        <w:rPr>
          <w:rFonts w:ascii="Arial" w:cs="Arial" w:eastAsia="Arial" w:hAnsi="Arial"/>
          <w:sz w:val="17"/>
          <w:szCs w:val="17"/>
          <w:color w:val="auto"/>
        </w:rPr>
        <w:t>230, we achieved an ORR of 57% in patients with pediatric R/R high</w:t>
      </w:r>
      <w:r>
        <w:rPr>
          <w:rFonts w:ascii="MS PGothic" w:cs="MS PGothic" w:eastAsia="MS PGothic" w:hAnsi="MS PGothic"/>
          <w:sz w:val="17"/>
          <w:szCs w:val="17"/>
          <w:color w:val="auto"/>
        </w:rPr>
        <w:t>‑</w:t>
      </w:r>
      <w:r>
        <w:rPr>
          <w:rFonts w:ascii="Arial" w:cs="Arial" w:eastAsia="Arial" w:hAnsi="Arial"/>
          <w:sz w:val="17"/>
          <w:szCs w:val="17"/>
          <w:color w:val="auto"/>
        </w:rPr>
        <w:t>risk NB who had evaluable tumors and who did not have PD at study entry. Patients with these characteristics are the intended patient population for our first potential indication for treatment with naxitamab. Based on our discussions with the FDA, we believe that a 30% ORR (which is significantly different from a 20% ORR at a 95% CI) with a duration of response of minimum 12 weeks may qualify for consideration of an expedited approval of naxitamab. We have proposed to the FDA that, pending comparability between the study population in Study 12</w:t>
      </w:r>
      <w:r>
        <w:rPr>
          <w:rFonts w:ascii="MS PGothic" w:cs="MS PGothic" w:eastAsia="MS PGothic" w:hAnsi="MS PGothic"/>
          <w:sz w:val="17"/>
          <w:szCs w:val="17"/>
          <w:color w:val="auto"/>
        </w:rPr>
        <w:t>‑</w:t>
      </w:r>
      <w:r>
        <w:rPr>
          <w:rFonts w:ascii="Arial" w:cs="Arial" w:eastAsia="Arial" w:hAnsi="Arial"/>
          <w:sz w:val="17"/>
          <w:szCs w:val="17"/>
          <w:color w:val="auto"/>
        </w:rPr>
        <w:t>230 and Study 201, the data from the two studies may be pooled for analysis. There would also be a post</w:t>
      </w:r>
      <w:r>
        <w:rPr>
          <w:rFonts w:ascii="MS PGothic" w:cs="MS PGothic" w:eastAsia="MS PGothic" w:hAnsi="MS PGothic"/>
          <w:sz w:val="17"/>
          <w:szCs w:val="17"/>
          <w:color w:val="auto"/>
        </w:rPr>
        <w:t>‑</w:t>
      </w:r>
      <w:r>
        <w:rPr>
          <w:rFonts w:ascii="Arial" w:cs="Arial" w:eastAsia="Arial" w:hAnsi="Arial"/>
          <w:sz w:val="17"/>
          <w:szCs w:val="17"/>
          <w:color w:val="auto"/>
        </w:rPr>
        <w:t>marketing commitment to provide data on progression free survival, or PFS, supporting the efficacy of the product. We believe naxitamab has multiple potential advantages over other GD2 targeting antibodies such as higher doses administered on an outpatient basis.</w:t>
      </w:r>
    </w:p>
    <w:p>
      <w:pPr>
        <w:spacing w:after="0" w:line="20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our studies to date, naxitamab has demonstrated relatively modest toxicity, which allows for 2.5 times greater dosing as compared to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This results in fewer doses per cycle and a significantly shorter infusion time (approximately 30 minutes versus 10 to 20 hours for dinutuximab). Notably, since severe pain is one of the most common side effects of treatment with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w:t>
      </w:r>
      <w:r>
        <w:rPr>
          <w:rFonts w:ascii="MS PGothic" w:cs="MS PGothic" w:eastAsia="MS PGothic" w:hAnsi="MS PGothic"/>
          <w:sz w:val="16"/>
          <w:szCs w:val="16"/>
          <w:color w:val="auto"/>
        </w:rPr>
        <w:t>‑</w:t>
      </w:r>
      <w:r>
        <w:rPr>
          <w:rFonts w:ascii="Arial" w:cs="Arial" w:eastAsia="Arial" w:hAnsi="Arial"/>
          <w:sz w:val="16"/>
          <w:szCs w:val="16"/>
          <w:color w:val="auto"/>
        </w:rPr>
        <w:t>based therapies require hospitalization which usually lasts for four days or more.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w:t>
      </w:r>
      <w:r>
        <w:rPr>
          <w:rFonts w:ascii="MS PGothic" w:cs="MS PGothic" w:eastAsia="MS PGothic" w:hAnsi="MS PGothic"/>
          <w:sz w:val="16"/>
          <w:szCs w:val="16"/>
          <w:color w:val="auto"/>
        </w:rPr>
        <w:t>‑</w:t>
      </w:r>
      <w:r>
        <w:rPr>
          <w:rFonts w:ascii="Arial" w:cs="Arial" w:eastAsia="Arial" w:hAnsi="Arial"/>
          <w:sz w:val="16"/>
          <w:szCs w:val="16"/>
          <w:color w:val="auto"/>
        </w:rPr>
        <w:t>threatening disease associated with poor long</w:t>
      </w:r>
      <w:r>
        <w:rPr>
          <w:rFonts w:ascii="MS PGothic" w:cs="MS PGothic" w:eastAsia="MS PGothic" w:hAnsi="MS PGothic"/>
          <w:sz w:val="16"/>
          <w:szCs w:val="16"/>
          <w:color w:val="auto"/>
        </w:rPr>
        <w:t>‑</w:t>
      </w:r>
      <w:r>
        <w:rPr>
          <w:rFonts w:ascii="Arial" w:cs="Arial" w:eastAsia="Arial" w:hAnsi="Arial"/>
          <w:sz w:val="16"/>
          <w:szCs w:val="16"/>
          <w:color w:val="auto"/>
        </w:rPr>
        <w:t>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81" w:lineRule="exact"/>
        <w:rPr>
          <w:sz w:val="20"/>
          <w:szCs w:val="20"/>
          <w:color w:val="auto"/>
        </w:rPr>
      </w:pPr>
    </w:p>
    <w:p>
      <w:pPr>
        <w:ind w:right="20" w:firstLine="648"/>
        <w:spacing w:after="0" w:line="221" w:lineRule="exact"/>
        <w:rPr>
          <w:sz w:val="20"/>
          <w:szCs w:val="20"/>
          <w:color w:val="auto"/>
        </w:rPr>
      </w:pPr>
      <w:r>
        <w:rPr>
          <w:rFonts w:ascii="Arial" w:cs="Arial" w:eastAsia="Arial" w:hAnsi="Arial"/>
          <w:sz w:val="18"/>
          <w:szCs w:val="18"/>
          <w:color w:val="auto"/>
        </w:rPr>
        <w:t>NB patients can also be placed into different risk groups from low, intermediate to high based on the stage and other prognostic factors. High</w:t>
      </w:r>
      <w:r>
        <w:rPr>
          <w:rFonts w:ascii="MS PGothic" w:cs="MS PGothic" w:eastAsia="MS PGothic" w:hAnsi="MS PGothic"/>
          <w:sz w:val="18"/>
          <w:szCs w:val="18"/>
          <w:color w:val="auto"/>
        </w:rPr>
        <w:t>‑</w:t>
      </w:r>
      <w:r>
        <w:rPr>
          <w:rFonts w:ascii="Arial" w:cs="Arial" w:eastAsia="Arial" w:hAnsi="Arial"/>
          <w:sz w:val="18"/>
          <w:szCs w:val="18"/>
          <w:color w:val="auto"/>
        </w:rPr>
        <w:t>risk NB is defined as MYCN amplified Stage 2, 3, 4S and 4 in patients of any age and MYCN non</w:t>
      </w:r>
      <w:r>
        <w:rPr>
          <w:rFonts w:ascii="MS PGothic" w:cs="MS PGothic" w:eastAsia="MS PGothic" w:hAnsi="MS PGothic"/>
          <w:sz w:val="18"/>
          <w:szCs w:val="18"/>
          <w:color w:val="auto"/>
        </w:rPr>
        <w:t>‑</w:t>
      </w:r>
      <w:r>
        <w:rPr>
          <w:rFonts w:ascii="Arial" w:cs="Arial" w:eastAsia="Arial" w:hAnsi="Arial"/>
          <w:sz w:val="18"/>
          <w:szCs w:val="18"/>
          <w:color w:val="auto"/>
        </w:rPr>
        <w:t>amplified Stage 4 in patients over 18 months of age.</w:t>
      </w:r>
    </w:p>
    <w:p>
      <w:pPr>
        <w:spacing w:after="0" w:line="20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Naxitamab is initially being evaluated for the treatment of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There are approximately 700 children diagnosed with high</w:t>
      </w:r>
      <w:r>
        <w:rPr>
          <w:rFonts w:ascii="MS PGothic" w:cs="MS PGothic" w:eastAsia="MS PGothic" w:hAnsi="MS PGothic"/>
          <w:sz w:val="16"/>
          <w:szCs w:val="16"/>
          <w:color w:val="auto"/>
        </w:rPr>
        <w:t>‑</w:t>
      </w:r>
      <w:r>
        <w:rPr>
          <w:rFonts w:ascii="Arial" w:cs="Arial" w:eastAsia="Arial" w:hAnsi="Arial"/>
          <w:sz w:val="16"/>
          <w:szCs w:val="16"/>
          <w:color w:val="auto"/>
        </w:rPr>
        <w:t>risk NB in the United States each year. We believe the European market is at least one and a half times the size of the U.S. market and that there are approximately 1,050 patients diagnosed with high</w:t>
      </w:r>
      <w:r>
        <w:rPr>
          <w:rFonts w:ascii="MS PGothic" w:cs="MS PGothic" w:eastAsia="MS PGothic" w:hAnsi="MS PGothic"/>
          <w:sz w:val="16"/>
          <w:szCs w:val="16"/>
          <w:color w:val="auto"/>
        </w:rPr>
        <w:t>‑</w:t>
      </w:r>
      <w:r>
        <w:rPr>
          <w:rFonts w:ascii="Arial" w:cs="Arial" w:eastAsia="Arial" w:hAnsi="Arial"/>
          <w:sz w:val="16"/>
          <w:szCs w:val="16"/>
          <w:color w:val="auto"/>
        </w:rPr>
        <w:t>risk NB in Europe each year. We believe the current addressable market for naxitamab consists of approximately 960 new front</w:t>
      </w:r>
      <w:r>
        <w:rPr>
          <w:rFonts w:ascii="MS PGothic" w:cs="MS PGothic" w:eastAsia="MS PGothic" w:hAnsi="MS PGothic"/>
          <w:sz w:val="16"/>
          <w:szCs w:val="16"/>
          <w:color w:val="auto"/>
        </w:rPr>
        <w:t>‑</w:t>
      </w:r>
      <w:r>
        <w:rPr>
          <w:rFonts w:ascii="Arial" w:cs="Arial" w:eastAsia="Arial" w:hAnsi="Arial"/>
          <w:sz w:val="16"/>
          <w:szCs w:val="16"/>
          <w:color w:val="auto"/>
        </w:rPr>
        <w:t>line high</w:t>
      </w:r>
      <w:r>
        <w:rPr>
          <w:rFonts w:ascii="MS PGothic" w:cs="MS PGothic" w:eastAsia="MS PGothic" w:hAnsi="MS PGothic"/>
          <w:sz w:val="16"/>
          <w:szCs w:val="16"/>
          <w:color w:val="auto"/>
        </w:rPr>
        <w:t>‑</w:t>
      </w:r>
      <w:r>
        <w:rPr>
          <w:rFonts w:ascii="Arial" w:cs="Arial" w:eastAsia="Arial" w:hAnsi="Arial"/>
          <w:sz w:val="16"/>
          <w:szCs w:val="16"/>
          <w:color w:val="auto"/>
        </w:rPr>
        <w:t>risk NB patients each year and 675 primary or second</w:t>
      </w:r>
      <w:r>
        <w:rPr>
          <w:rFonts w:ascii="MS PGothic" w:cs="MS PGothic" w:eastAsia="MS PGothic" w:hAnsi="MS PGothic"/>
          <w:sz w:val="16"/>
          <w:szCs w:val="16"/>
          <w:color w:val="auto"/>
        </w:rPr>
        <w:t>‑</w:t>
      </w:r>
      <w:r>
        <w:rPr>
          <w:rFonts w:ascii="Arial" w:cs="Arial" w:eastAsia="Arial" w:hAnsi="Arial"/>
          <w:sz w:val="16"/>
          <w:szCs w:val="16"/>
          <w:color w:val="auto"/>
        </w:rPr>
        <w:t>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10 treatment cycles of naxitamab, each cycle consisting of 3 doses.</w:t>
      </w:r>
    </w:p>
    <w:p>
      <w:pPr>
        <w:spacing w:after="0" w:line="203" w:lineRule="exact"/>
        <w:rPr>
          <w:sz w:val="20"/>
          <w:szCs w:val="20"/>
          <w:color w:val="auto"/>
        </w:rPr>
      </w:pPr>
    </w:p>
    <w:p>
      <w:pPr>
        <w:ind w:left="660" w:right="340"/>
        <w:spacing w:after="0" w:line="223" w:lineRule="exact"/>
        <w:rPr>
          <w:sz w:val="20"/>
          <w:szCs w:val="20"/>
          <w:color w:val="auto"/>
        </w:rPr>
      </w:pPr>
      <w:r>
        <w:rPr>
          <w:rFonts w:ascii="Arial" w:cs="Arial" w:eastAsia="Arial" w:hAnsi="Arial"/>
          <w:sz w:val="18"/>
          <w:szCs w:val="18"/>
          <w:i w:val="1"/>
          <w:iCs w:val="1"/>
          <w:color w:val="auto"/>
        </w:rPr>
        <w:t>Naxitamab for Pediatric Relapsed or Refractory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Neuroblastoma—Current Treatment Landscape and Associated Limitations</w:t>
      </w:r>
    </w:p>
    <w:p>
      <w:pPr>
        <w:spacing w:after="0" w:line="203"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Currently front</w:t>
      </w:r>
      <w:r>
        <w:rPr>
          <w:rFonts w:ascii="MS PGothic" w:cs="MS PGothic" w:eastAsia="MS PGothic" w:hAnsi="MS PGothic"/>
          <w:sz w:val="16"/>
          <w:szCs w:val="16"/>
          <w:color w:val="auto"/>
        </w:rPr>
        <w:t>‑</w:t>
      </w:r>
      <w:r>
        <w:rPr>
          <w:rFonts w:ascii="Arial" w:cs="Arial" w:eastAsia="Arial" w:hAnsi="Arial"/>
          <w:sz w:val="16"/>
          <w:szCs w:val="16"/>
          <w:color w:val="auto"/>
        </w:rPr>
        <w: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w:t>
      </w:r>
    </w:p>
    <w:p>
      <w:pPr>
        <w:spacing w:after="0" w:line="2" w:lineRule="exact"/>
        <w:rPr>
          <w:sz w:val="20"/>
          <w:szCs w:val="20"/>
          <w:color w:val="auto"/>
        </w:rPr>
      </w:pPr>
    </w:p>
    <w:p>
      <w:pPr>
        <w:jc w:val="both"/>
        <w:ind w:right="220"/>
        <w:spacing w:after="0" w:line="216" w:lineRule="exact"/>
        <w:rPr>
          <w:sz w:val="20"/>
          <w:szCs w:val="20"/>
          <w:color w:val="auto"/>
        </w:rPr>
      </w:pPr>
      <w:r>
        <w:rPr>
          <w:rFonts w:ascii="Arial" w:cs="Arial" w:eastAsia="Arial" w:hAnsi="Arial"/>
          <w:sz w:val="18"/>
          <w:szCs w:val="18"/>
          <w:color w:val="auto"/>
        </w:rPr>
        <w:t>(e.g. carboplatin</w:t>
      </w:r>
      <w:r>
        <w:rPr>
          <w:rFonts w:ascii="MS PGothic" w:cs="MS PGothic" w:eastAsia="MS PGothic" w:hAnsi="MS PGothic"/>
          <w:sz w:val="18"/>
          <w:szCs w:val="18"/>
          <w:color w:val="auto"/>
        </w:rPr>
        <w:t>‑</w:t>
      </w:r>
      <w:r>
        <w:rPr>
          <w:rFonts w:ascii="Arial" w:cs="Arial" w:eastAsia="Arial" w:hAnsi="Arial"/>
          <w:sz w:val="18"/>
          <w:szCs w:val="18"/>
          <w:color w:val="auto"/>
        </w:rPr>
        <w:t>etoposide</w:t>
      </w:r>
      <w:r>
        <w:rPr>
          <w:rFonts w:ascii="MS PGothic" w:cs="MS PGothic" w:eastAsia="MS PGothic" w:hAnsi="MS PGothic"/>
          <w:sz w:val="18"/>
          <w:szCs w:val="18"/>
          <w:color w:val="auto"/>
        </w:rPr>
        <w:t>‑</w:t>
      </w:r>
      <w:r>
        <w:rPr>
          <w:rFonts w:ascii="Arial" w:cs="Arial" w:eastAsia="Arial" w:hAnsi="Arial"/>
          <w:sz w:val="18"/>
          <w:szCs w:val="18"/>
          <w:color w:val="auto"/>
        </w:rPr>
        <w:t>melphalan) with stem cell support or an autologous stem cell transplant or repeated transplants with thiotepa</w:t>
      </w:r>
      <w:r>
        <w:rPr>
          <w:rFonts w:ascii="MS PGothic" w:cs="MS PGothic" w:eastAsia="MS PGothic" w:hAnsi="MS PGothic"/>
          <w:sz w:val="18"/>
          <w:szCs w:val="18"/>
          <w:color w:val="auto"/>
        </w:rPr>
        <w:t>‑</w:t>
      </w:r>
      <w:r>
        <w:rPr>
          <w:rFonts w:ascii="Arial" w:cs="Arial" w:eastAsia="Arial" w:hAnsi="Arial"/>
          <w:sz w:val="18"/>
          <w:szCs w:val="18"/>
          <w:color w:val="auto"/>
        </w:rPr>
        <w:t>cyclophosphamide followed by cyclophosphamide, etoposide, and ranimustine. Many treatment centers also use immunotherapy as part of the consolidation stage of treatment.</w:t>
      </w:r>
    </w:p>
    <w:p>
      <w:pPr>
        <w:spacing w:after="0" w:line="20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47" w:lineRule="exact"/>
        <w:rPr>
          <w:sz w:val="20"/>
          <w:szCs w:val="20"/>
          <w:color w:val="auto"/>
        </w:rPr>
      </w:pPr>
    </w:p>
    <w:p>
      <w:pPr>
        <w:ind w:right="200" w:firstLine="648"/>
        <w:spacing w:after="0" w:line="218" w:lineRule="exact"/>
        <w:rPr>
          <w:sz w:val="20"/>
          <w:szCs w:val="20"/>
          <w:color w:val="auto"/>
        </w:rPr>
      </w:pPr>
      <w:r>
        <w:rPr>
          <w:rFonts w:ascii="Arial" w:cs="Arial" w:eastAsia="Arial" w:hAnsi="Arial"/>
          <w:sz w:val="18"/>
          <w:szCs w:val="18"/>
          <w:color w:val="auto"/>
        </w:rPr>
        <w:t>In 2015, the FDA and the European Medicines Agency, or the EMA, approved Unituxin (dinutuximab), a monoclonal GD2 targeting antibody developed by United Therapeutics Corporation, or United Therapeutics, and administered in combination with GM</w:t>
      </w:r>
      <w:r>
        <w:rPr>
          <w:rFonts w:ascii="MS PGothic" w:cs="MS PGothic" w:eastAsia="MS PGothic" w:hAnsi="MS PGothic"/>
          <w:sz w:val="18"/>
          <w:szCs w:val="18"/>
          <w:color w:val="auto"/>
        </w:rPr>
        <w:t>‑</w:t>
      </w:r>
      <w:r>
        <w:rPr>
          <w:rFonts w:ascii="Arial" w:cs="Arial" w:eastAsia="Arial" w:hAnsi="Arial"/>
          <w:sz w:val="18"/>
          <w:szCs w:val="18"/>
          <w:color w:val="auto"/>
        </w:rPr>
        <w:t>CSF, interleukin</w:t>
      </w:r>
      <w:r>
        <w:rPr>
          <w:rFonts w:ascii="MS PGothic" w:cs="MS PGothic" w:eastAsia="MS PGothic" w:hAnsi="MS PGothic"/>
          <w:sz w:val="18"/>
          <w:szCs w:val="18"/>
          <w:color w:val="auto"/>
        </w:rPr>
        <w:t>‑</w:t>
      </w:r>
      <w:r>
        <w:rPr>
          <w:rFonts w:ascii="Arial" w:cs="Arial" w:eastAsia="Arial" w:hAnsi="Arial"/>
          <w:sz w:val="18"/>
          <w:szCs w:val="18"/>
          <w:color w:val="auto"/>
        </w:rPr>
        <w:t>2, or IL</w:t>
      </w:r>
      <w:r>
        <w:rPr>
          <w:rFonts w:ascii="MS PGothic" w:cs="MS PGothic" w:eastAsia="MS PGothic" w:hAnsi="MS PGothic"/>
          <w:sz w:val="18"/>
          <w:szCs w:val="18"/>
          <w:color w:val="auto"/>
        </w:rPr>
        <w:t>‑</w:t>
      </w:r>
      <w:r>
        <w:rPr>
          <w:rFonts w:ascii="Arial" w:cs="Arial" w:eastAsia="Arial" w:hAnsi="Arial"/>
          <w:sz w:val="18"/>
          <w:szCs w:val="18"/>
          <w:color w:val="auto"/>
        </w:rPr>
        <w:t>2, and isotretinoin, also known as 13</w:t>
      </w:r>
      <w:r>
        <w:rPr>
          <w:rFonts w:ascii="MS PGothic" w:cs="MS PGothic" w:eastAsia="MS PGothic" w:hAnsi="MS PGothic"/>
          <w:sz w:val="18"/>
          <w:szCs w:val="18"/>
          <w:color w:val="auto"/>
        </w:rPr>
        <w:t>‑</w:t>
      </w:r>
      <w:r>
        <w:rPr>
          <w:rFonts w:ascii="Arial" w:cs="Arial" w:eastAsia="Arial" w:hAnsi="Arial"/>
          <w:sz w:val="18"/>
          <w:szCs w:val="18"/>
          <w:i w:val="1"/>
          <w:iCs w:val="1"/>
          <w:color w:val="auto"/>
        </w:rPr>
        <w:t>cis</w:t>
      </w:r>
      <w:r>
        <w:rPr>
          <w:rFonts w:ascii="MS PGothic" w:cs="MS PGothic" w:eastAsia="MS PGothic" w:hAnsi="MS PGothic"/>
          <w:sz w:val="18"/>
          <w:szCs w:val="18"/>
          <w:color w:val="auto"/>
        </w:rPr>
        <w:t>‑</w:t>
      </w:r>
      <w:r>
        <w:rPr>
          <w:rFonts w:ascii="Arial" w:cs="Arial" w:eastAsia="Arial" w:hAnsi="Arial"/>
          <w:sz w:val="18"/>
          <w:szCs w:val="18"/>
          <w:color w:val="auto"/>
        </w:rPr>
        <w:t>retinoic acid, for the treatment of pediatric patients with high</w:t>
      </w:r>
      <w:r>
        <w:rPr>
          <w:rFonts w:ascii="MS PGothic" w:cs="MS PGothic" w:eastAsia="MS PGothic" w:hAnsi="MS PGothic"/>
          <w:sz w:val="18"/>
          <w:szCs w:val="18"/>
          <w:color w:val="auto"/>
        </w:rPr>
        <w:t>‑</w:t>
      </w:r>
      <w:r>
        <w:rPr>
          <w:rFonts w:ascii="Arial" w:cs="Arial" w:eastAsia="Arial" w:hAnsi="Arial"/>
          <w:sz w:val="18"/>
          <w:szCs w:val="18"/>
          <w:color w:val="auto"/>
        </w:rPr>
        <w:t>risk NB who achieve at least a partial response, or PR, to prior front</w:t>
      </w:r>
      <w:r>
        <w:rPr>
          <w:rFonts w:ascii="MS PGothic" w:cs="MS PGothic" w:eastAsia="MS PGothic" w:hAnsi="MS PGothic"/>
          <w:sz w:val="18"/>
          <w:szCs w:val="18"/>
          <w:color w:val="auto"/>
        </w:rPr>
        <w:t>‑</w:t>
      </w:r>
      <w:r>
        <w:rPr>
          <w:rFonts w:ascii="Arial" w:cs="Arial" w:eastAsia="Arial" w:hAnsi="Arial"/>
          <w:sz w:val="18"/>
          <w:szCs w:val="18"/>
          <w:color w:val="auto"/>
        </w:rPr>
        <w:t>line multiagent, multimodality therapy. The marketing authorization for Unituxin was voluntarily withdrawn by United Therapeutics in the European Union in 2017. In 2017 the EMA approved Dinutuximab beta Apeiron (also known as dinutuximab beta, ch14.18/CHO, Isqette and currently being commercialized under the name Qarziba</w:t>
      </w:r>
      <w:r>
        <w:rPr>
          <w:rFonts w:ascii="Arial" w:cs="Arial" w:eastAsia="Arial" w:hAnsi="Arial"/>
          <w:sz w:val="8"/>
          <w:szCs w:val="8"/>
          <w:color w:val="auto"/>
        </w:rPr>
        <w:t>®</w:t>
      </w:r>
      <w:r>
        <w:rPr>
          <w:rFonts w:ascii="Arial" w:cs="Arial" w:eastAsia="Arial" w:hAnsi="Arial"/>
          <w:sz w:val="18"/>
          <w:szCs w:val="18"/>
          <w:color w:val="auto"/>
        </w:rPr>
        <w:t xml:space="preserve"> in Europe), a monoclonal GD2 targeting antibody, for the treatment of high</w:t>
      </w:r>
      <w:r>
        <w:rPr>
          <w:rFonts w:ascii="MS PGothic" w:cs="MS PGothic" w:eastAsia="MS PGothic" w:hAnsi="MS PGothic"/>
          <w:sz w:val="18"/>
          <w:szCs w:val="18"/>
          <w:color w:val="auto"/>
        </w:rPr>
        <w:t>‑</w:t>
      </w:r>
      <w:r>
        <w:rPr>
          <w:rFonts w:ascii="Arial" w:cs="Arial" w:eastAsia="Arial" w:hAnsi="Arial"/>
          <w:sz w:val="18"/>
          <w:szCs w:val="18"/>
          <w:color w:val="auto"/>
        </w:rPr>
        <w:t>risk NB in patients aged 12 months and older, who have had some improvement with previous treatments or patients whose NB has not improved with other cancer treatments or has relapsed.</w:t>
      </w:r>
    </w:p>
    <w:p>
      <w:pPr>
        <w:spacing w:after="0" w:line="204"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i w:val="1"/>
          <w:iCs w:val="1"/>
          <w:color w:val="auto"/>
        </w:rPr>
        <w:t>Naxitamab for Pediatric Relapsed or Refractory High</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Risk Neuroblastoma—Clinical Development Program</w:t>
      </w:r>
    </w:p>
    <w:p>
      <w:pPr>
        <w:spacing w:after="0" w:line="237"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the last 25 years. Naxitamab has been studied in several clinical trials for the treatment of pediatric R/R NB and other diseases, of which Study 201, Study 12</w:t>
      </w:r>
      <w:r>
        <w:rPr>
          <w:rFonts w:ascii="MS PGothic" w:cs="MS PGothic" w:eastAsia="MS PGothic" w:hAnsi="MS PGothic"/>
          <w:sz w:val="18"/>
          <w:szCs w:val="18"/>
          <w:color w:val="auto"/>
        </w:rPr>
        <w:t>‑</w:t>
      </w:r>
      <w:r>
        <w:rPr>
          <w:rFonts w:ascii="Arial" w:cs="Arial" w:eastAsia="Arial" w:hAnsi="Arial"/>
          <w:sz w:val="18"/>
          <w:szCs w:val="18"/>
          <w:color w:val="auto"/>
        </w:rPr>
        <w:t>230, Study 11</w:t>
      </w:r>
      <w:r>
        <w:rPr>
          <w:rFonts w:ascii="MS PGothic" w:cs="MS PGothic" w:eastAsia="MS PGothic" w:hAnsi="MS PGothic"/>
          <w:sz w:val="18"/>
          <w:szCs w:val="18"/>
          <w:color w:val="auto"/>
        </w:rPr>
        <w:t>‑</w:t>
      </w:r>
      <w:r>
        <w:rPr>
          <w:rFonts w:ascii="Arial" w:cs="Arial" w:eastAsia="Arial" w:hAnsi="Arial"/>
          <w:sz w:val="18"/>
          <w:szCs w:val="18"/>
          <w:color w:val="auto"/>
        </w:rPr>
        <w:t>009, Study 15</w:t>
      </w:r>
      <w:r>
        <w:rPr>
          <w:rFonts w:ascii="MS PGothic" w:cs="MS PGothic" w:eastAsia="MS PGothic" w:hAnsi="MS PGothic"/>
          <w:sz w:val="18"/>
          <w:szCs w:val="18"/>
          <w:color w:val="auto"/>
        </w:rPr>
        <w:t>‑</w:t>
      </w:r>
      <w:r>
        <w:rPr>
          <w:rFonts w:ascii="Arial" w:cs="Arial" w:eastAsia="Arial" w:hAnsi="Arial"/>
          <w:sz w:val="18"/>
          <w:szCs w:val="18"/>
          <w:color w:val="auto"/>
        </w:rPr>
        <w:t>096 and Study 16</w:t>
      </w:r>
      <w:r>
        <w:rPr>
          <w:rFonts w:ascii="MS PGothic" w:cs="MS PGothic" w:eastAsia="MS PGothic" w:hAnsi="MS PGothic"/>
          <w:sz w:val="18"/>
          <w:szCs w:val="18"/>
          <w:color w:val="auto"/>
        </w:rPr>
        <w:t>‑</w:t>
      </w:r>
      <w:r>
        <w:rPr>
          <w:rFonts w:ascii="Arial" w:cs="Arial" w:eastAsia="Arial" w:hAnsi="Arial"/>
          <w:sz w:val="18"/>
          <w:szCs w:val="18"/>
          <w:color w:val="auto"/>
        </w:rPr>
        <w:t>1643 are currently ongoing. We expect to receive topline data from our ongoing pivotal trial (Study 201) in pediatric R/R high</w:t>
      </w:r>
      <w:r>
        <w:rPr>
          <w:rFonts w:ascii="MS PGothic" w:cs="MS PGothic" w:eastAsia="MS PGothic" w:hAnsi="MS PGothic"/>
          <w:sz w:val="18"/>
          <w:szCs w:val="18"/>
          <w:color w:val="auto"/>
        </w:rPr>
        <w:t>‑</w:t>
      </w:r>
      <w:r>
        <w:rPr>
          <w:rFonts w:ascii="Arial" w:cs="Arial" w:eastAsia="Arial" w:hAnsi="Arial"/>
          <w:sz w:val="18"/>
          <w:szCs w:val="18"/>
          <w:color w:val="auto"/>
        </w:rPr>
        <w:t>risk NB and submit the BLA in 2019.</w:t>
      </w:r>
    </w:p>
    <w:p>
      <w:pPr>
        <w:spacing w:after="0" w:line="206" w:lineRule="exact"/>
        <w:rPr>
          <w:sz w:val="20"/>
          <w:szCs w:val="20"/>
          <w:color w:val="auto"/>
        </w:rPr>
      </w:pPr>
    </w:p>
    <w:p>
      <w:pPr>
        <w:ind w:right="260" w:firstLine="648"/>
        <w:spacing w:after="0" w:line="224" w:lineRule="exact"/>
        <w:rPr>
          <w:sz w:val="20"/>
          <w:szCs w:val="20"/>
          <w:color w:val="auto"/>
        </w:rPr>
      </w:pPr>
      <w:r>
        <w:rPr>
          <w:rFonts w:ascii="Arial" w:cs="Arial" w:eastAsia="Arial" w:hAnsi="Arial"/>
          <w:sz w:val="17"/>
          <w:szCs w:val="17"/>
          <w:color w:val="auto"/>
        </w:rPr>
        <w:t>Based on our discussion with the FDA, ORR will form the primary objective for our pivotal Study 201. We have proposed to the FDA that, pending comparability analysis between study population in Study 12</w:t>
      </w:r>
      <w:r>
        <w:rPr>
          <w:rFonts w:ascii="MS PGothic" w:cs="MS PGothic" w:eastAsia="MS PGothic" w:hAnsi="MS PGothic"/>
          <w:sz w:val="17"/>
          <w:szCs w:val="17"/>
          <w:color w:val="auto"/>
        </w:rPr>
        <w:t>‑</w:t>
      </w:r>
      <w:r>
        <w:rPr>
          <w:rFonts w:ascii="Arial" w:cs="Arial" w:eastAsia="Arial" w:hAnsi="Arial"/>
          <w:sz w:val="17"/>
          <w:szCs w:val="17"/>
          <w:color w:val="auto"/>
        </w:rPr>
        <w:t>230 and Study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201, the data from the two studies may be pooled to form the primary basis of our BLA. Based on our discussions with the FDA, we believe that a 30% ORR (which is significantly different from a 20% ORR at a 95% confidence interval) with a duration of response of minimum 12 weeks may qualify for accelerated approval. Thirty</w:t>
      </w:r>
      <w:r>
        <w:rPr>
          <w:rFonts w:ascii="MS PGothic" w:cs="MS PGothic" w:eastAsia="MS PGothic" w:hAnsi="MS PGothic"/>
          <w:sz w:val="18"/>
          <w:szCs w:val="18"/>
          <w:color w:val="auto"/>
        </w:rPr>
        <w:t>‑</w:t>
      </w:r>
      <w:r>
        <w:rPr>
          <w:rFonts w:ascii="Arial" w:cs="Arial" w:eastAsia="Arial" w:hAnsi="Arial"/>
          <w:sz w:val="18"/>
          <w:szCs w:val="18"/>
          <w:color w:val="auto"/>
        </w:rPr>
        <w:t>seven patients are expected to be included in Study 201. We expect that the safety portion of our planned BLA submission will be comprised of more than 200 patients treated with naxitamab across multiple indications.</w:t>
      </w:r>
    </w:p>
    <w:p>
      <w:pPr>
        <w:spacing w:after="0" w:line="206" w:lineRule="exact"/>
        <w:rPr>
          <w:sz w:val="20"/>
          <w:szCs w:val="20"/>
          <w:color w:val="auto"/>
        </w:rPr>
      </w:pPr>
    </w:p>
    <w:p>
      <w:pPr>
        <w:jc w:val="center"/>
        <w:ind w:left="1720" w:right="360"/>
        <w:spacing w:after="0" w:line="224" w:lineRule="exact"/>
        <w:rPr>
          <w:sz w:val="20"/>
          <w:szCs w:val="20"/>
          <w:color w:val="auto"/>
        </w:rPr>
      </w:pPr>
      <w:r>
        <w:rPr>
          <w:rFonts w:ascii="Arial" w:cs="Arial" w:eastAsia="Arial" w:hAnsi="Arial"/>
          <w:sz w:val="16"/>
          <w:szCs w:val="16"/>
          <w:i w:val="1"/>
          <w:iCs w:val="1"/>
          <w:color w:val="auto"/>
        </w:rPr>
        <w:t>Study 12</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230: Phase 1/2 Study of Combination Therapy of Antibody Naxitamab with Granulocyte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Macrophage Colony Stimulating Factor (GM</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CSF) in Patients with Relapsed/Refractory High</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Risk Neuroblastoma</w:t>
      </w:r>
    </w:p>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Phase 1 Portion of Study 12</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230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establish the maximum tolerated dosage, or MTD, of naxitamab when combined with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assess activity of naxitamab plus GM</w:t>
      </w:r>
      <w:r>
        <w:rPr>
          <w:rFonts w:ascii="MS PGothic" w:cs="MS PGothic" w:eastAsia="MS PGothic" w:hAnsi="MS PGothic"/>
          <w:sz w:val="18"/>
          <w:szCs w:val="18"/>
          <w:color w:val="auto"/>
        </w:rPr>
        <w:t>‑</w:t>
      </w:r>
      <w:r>
        <w:rPr>
          <w:rFonts w:ascii="Arial" w:cs="Arial" w:eastAsia="Arial" w:hAnsi="Arial"/>
          <w:sz w:val="18"/>
          <w:szCs w:val="18"/>
          <w:color w:val="auto"/>
        </w:rPr>
        <w:t>CSF against NB.</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quantitate pain during naxitamab and GM</w:t>
      </w:r>
      <w:r>
        <w:rPr>
          <w:rFonts w:ascii="MS PGothic" w:cs="MS PGothic" w:eastAsia="MS PGothic" w:hAnsi="MS PGothic"/>
          <w:sz w:val="18"/>
          <w:szCs w:val="18"/>
          <w:color w:val="auto"/>
        </w:rPr>
        <w:t>‑</w:t>
      </w:r>
      <w:r>
        <w:rPr>
          <w:rFonts w:ascii="Arial" w:cs="Arial" w:eastAsia="Arial" w:hAnsi="Arial"/>
          <w:sz w:val="18"/>
          <w:szCs w:val="18"/>
          <w:color w:val="auto"/>
        </w:rPr>
        <w:t>CSF treatment.</w:t>
      </w:r>
    </w:p>
    <w:p>
      <w:pPr>
        <w:spacing w:after="0" w:line="225" w:lineRule="exact"/>
        <w:rPr>
          <w:rFonts w:ascii="Arial" w:cs="Arial" w:eastAsia="Arial" w:hAnsi="Arial"/>
          <w:sz w:val="18"/>
          <w:szCs w:val="18"/>
          <w:color w:val="auto"/>
        </w:rPr>
      </w:pPr>
    </w:p>
    <w:p>
      <w:pPr>
        <w:ind w:left="980" w:right="720" w:hanging="329"/>
        <w:spacing w:after="0" w:line="224" w:lineRule="exact"/>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study markers of granulocyte</w:t>
      </w:r>
      <w:r>
        <w:rPr>
          <w:rFonts w:ascii="MS PGothic" w:cs="MS PGothic" w:eastAsia="MS PGothic" w:hAnsi="MS PGothic"/>
          <w:sz w:val="16"/>
          <w:szCs w:val="16"/>
          <w:color w:val="auto"/>
        </w:rPr>
        <w:t>‑</w:t>
      </w:r>
      <w:r>
        <w:rPr>
          <w:rFonts w:ascii="Arial" w:cs="Arial" w:eastAsia="Arial" w:hAnsi="Arial"/>
          <w:sz w:val="16"/>
          <w:szCs w:val="16"/>
          <w:color w:val="auto"/>
        </w:rPr>
        <w:t>mediated cytotoxicity and NK</w:t>
      </w:r>
      <w:r>
        <w:rPr>
          <w:rFonts w:ascii="MS PGothic" w:cs="MS PGothic" w:eastAsia="MS PGothic" w:hAnsi="MS PGothic"/>
          <w:sz w:val="16"/>
          <w:szCs w:val="16"/>
          <w:color w:val="auto"/>
        </w:rPr>
        <w:t>‑</w:t>
      </w:r>
      <w:r>
        <w:rPr>
          <w:rFonts w:ascii="Arial" w:cs="Arial" w:eastAsia="Arial" w:hAnsi="Arial"/>
          <w:sz w:val="16"/>
          <w:szCs w:val="16"/>
          <w:color w:val="auto"/>
        </w:rPr>
        <w:t>mediated cytotoxicity, anti</w:t>
      </w:r>
      <w:r>
        <w:rPr>
          <w:rFonts w:ascii="MS PGothic" w:cs="MS PGothic" w:eastAsia="MS PGothic" w:hAnsi="MS PGothic"/>
          <w:sz w:val="16"/>
          <w:szCs w:val="16"/>
          <w:color w:val="auto"/>
        </w:rPr>
        <w:t>‑</w:t>
      </w:r>
      <w:r>
        <w:rPr>
          <w:rFonts w:ascii="Arial" w:cs="Arial" w:eastAsia="Arial" w:hAnsi="Arial"/>
          <w:sz w:val="16"/>
          <w:szCs w:val="16"/>
          <w:color w:val="auto"/>
        </w:rPr>
        <w:t>naxitamab immunity, and anti</w:t>
      </w:r>
      <w:r>
        <w:rPr>
          <w:rFonts w:ascii="MS PGothic" w:cs="MS PGothic" w:eastAsia="MS PGothic" w:hAnsi="MS PGothic"/>
          <w:sz w:val="16"/>
          <w:szCs w:val="16"/>
          <w:color w:val="auto"/>
        </w:rPr>
        <w:t>‑</w:t>
      </w:r>
      <w:r>
        <w:rPr>
          <w:rFonts w:ascii="Arial" w:cs="Arial" w:eastAsia="Arial" w:hAnsi="Arial"/>
          <w:sz w:val="16"/>
          <w:szCs w:val="16"/>
          <w:color w:val="auto"/>
        </w:rPr>
        <w:t>tumor immunity before and after treatment with naxitamab/GM</w:t>
      </w:r>
      <w:r>
        <w:rPr>
          <w:rFonts w:ascii="MS PGothic" w:cs="MS PGothic" w:eastAsia="MS PGothic" w:hAnsi="MS PGothic"/>
          <w:sz w:val="16"/>
          <w:szCs w:val="16"/>
          <w:color w:val="auto"/>
        </w:rPr>
        <w:t>‑</w:t>
      </w:r>
      <w:r>
        <w:rPr>
          <w:rFonts w:ascii="Arial" w:cs="Arial" w:eastAsia="Arial" w:hAnsi="Arial"/>
          <w:sz w:val="16"/>
          <w:szCs w:val="16"/>
          <w:color w:val="auto"/>
        </w:rPr>
        <w:t>CSF.</w:t>
      </w:r>
    </w:p>
    <w:p>
      <w:pPr>
        <w:spacing w:after="0" w:line="202" w:lineRule="exact"/>
        <w:rPr>
          <w:rFonts w:ascii="Arial" w:cs="Arial" w:eastAsia="Arial" w:hAnsi="Arial"/>
          <w:sz w:val="16"/>
          <w:szCs w:val="16"/>
          <w:color w:val="auto"/>
        </w:rPr>
      </w:pPr>
    </w:p>
    <w:p>
      <w:pPr>
        <w:ind w:left="980" w:right="340" w:hanging="329"/>
        <w:spacing w:after="0" w:line="223"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w:t>
      </w:r>
      <w:r>
        <w:rPr>
          <w:rFonts w:ascii="MS PGothic" w:cs="MS PGothic" w:eastAsia="MS PGothic" w:hAnsi="MS PGothic"/>
          <w:sz w:val="18"/>
          <w:szCs w:val="18"/>
          <w:color w:val="auto"/>
        </w:rPr>
        <w:t>‑</w:t>
      </w:r>
      <w:r>
        <w:rPr>
          <w:rFonts w:ascii="Arial" w:cs="Arial" w:eastAsia="Arial" w:hAnsi="Arial"/>
          <w:sz w:val="18"/>
          <w:szCs w:val="18"/>
          <w:color w:val="auto"/>
        </w:rPr>
        <w:t>transcription</w:t>
      </w:r>
      <w:r>
        <w:rPr>
          <w:rFonts w:ascii="MS PGothic" w:cs="MS PGothic" w:eastAsia="MS PGothic" w:hAnsi="MS PGothic"/>
          <w:sz w:val="18"/>
          <w:szCs w:val="18"/>
          <w:color w:val="auto"/>
        </w:rPr>
        <w:t>‑</w:t>
      </w:r>
      <w:r>
        <w:rPr>
          <w:rFonts w:ascii="Arial" w:cs="Arial" w:eastAsia="Arial" w:hAnsi="Arial"/>
          <w:sz w:val="18"/>
          <w:szCs w:val="18"/>
          <w:color w:val="auto"/>
        </w:rPr>
        <w:t>polymerase chain reaction, or RT</w:t>
      </w:r>
      <w:r>
        <w:rPr>
          <w:rFonts w:ascii="MS PGothic" w:cs="MS PGothic" w:eastAsia="MS PGothic" w:hAnsi="MS PGothic"/>
          <w:sz w:val="18"/>
          <w:szCs w:val="18"/>
          <w:color w:val="auto"/>
        </w:rPr>
        <w:t>‑</w:t>
      </w:r>
      <w:r>
        <w:rPr>
          <w:rFonts w:ascii="Arial" w:cs="Arial" w:eastAsia="Arial" w:hAnsi="Arial"/>
          <w:sz w:val="18"/>
          <w:szCs w:val="18"/>
          <w:color w:val="auto"/>
        </w:rPr>
        <w:t>PCR.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right="160" w:firstLine="648"/>
        <w:spacing w:after="0" w:line="221" w:lineRule="exact"/>
        <w:rPr>
          <w:sz w:val="20"/>
          <w:szCs w:val="20"/>
          <w:color w:val="auto"/>
        </w:rPr>
      </w:pPr>
      <w:r>
        <w:rPr>
          <w:rFonts w:ascii="Arial" w:cs="Arial" w:eastAsia="Arial" w:hAnsi="Arial"/>
          <w:sz w:val="18"/>
          <w:szCs w:val="18"/>
          <w:color w:val="auto"/>
        </w:rPr>
        <w:t>In addition to satisfying certain other criteria, patients must be over one year of age and must have been diagnosed with NB as defined by a) histopathology, or b) BM metastases or Meta</w:t>
      </w:r>
      <w:r>
        <w:rPr>
          <w:rFonts w:ascii="MS PGothic" w:cs="MS PGothic" w:eastAsia="MS PGothic" w:hAnsi="MS PGothic"/>
          <w:sz w:val="18"/>
          <w:szCs w:val="18"/>
          <w:color w:val="auto"/>
        </w:rPr>
        <w:t>‑</w:t>
      </w:r>
      <w:r>
        <w:rPr>
          <w:rFonts w:ascii="Arial" w:cs="Arial" w:eastAsia="Arial" w:hAnsi="Arial"/>
          <w:sz w:val="18"/>
          <w:szCs w:val="18"/>
          <w:color w:val="auto"/>
        </w:rPr>
        <w:t>iodobenzylguanidine, or MIBG, avid lesion(s) plus high urine catecholamine levels.</w:t>
      </w:r>
    </w:p>
    <w:p>
      <w:pPr>
        <w:spacing w:after="0" w:line="202"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Patients must have R/R high</w:t>
      </w:r>
      <w:r>
        <w:rPr>
          <w:rFonts w:ascii="MS PGothic" w:cs="MS PGothic" w:eastAsia="MS PGothic" w:hAnsi="MS PGothic"/>
          <w:sz w:val="18"/>
          <w:szCs w:val="18"/>
          <w:color w:val="auto"/>
        </w:rPr>
        <w:t>‑</w:t>
      </w:r>
      <w:r>
        <w:rPr>
          <w:rFonts w:ascii="Arial" w:cs="Arial" w:eastAsia="Arial" w:hAnsi="Arial"/>
          <w:sz w:val="18"/>
          <w:szCs w:val="18"/>
          <w:color w:val="auto"/>
        </w:rPr>
        <w:t>risk NB (including MYCN</w:t>
      </w:r>
      <w:r>
        <w:rPr>
          <w:rFonts w:ascii="MS PGothic" w:cs="MS PGothic" w:eastAsia="MS PGothic" w:hAnsi="MS PGothic"/>
          <w:sz w:val="18"/>
          <w:szCs w:val="18"/>
          <w:color w:val="auto"/>
        </w:rPr>
        <w:t>‑</w:t>
      </w:r>
      <w:r>
        <w:rPr>
          <w:rFonts w:ascii="Arial" w:cs="Arial" w:eastAsia="Arial" w:hAnsi="Arial"/>
          <w:sz w:val="18"/>
          <w:szCs w:val="18"/>
          <w:color w:val="auto"/>
        </w:rPr>
        <w:t>amplified Stage 2, 3, 4, or 4S of any age and MYCN</w:t>
      </w:r>
      <w:r>
        <w:rPr>
          <w:rFonts w:ascii="MS PGothic" w:cs="MS PGothic" w:eastAsia="MS PGothic" w:hAnsi="MS PGothic"/>
          <w:sz w:val="18"/>
          <w:szCs w:val="18"/>
          <w:color w:val="auto"/>
        </w:rPr>
        <w:t>‑</w:t>
      </w:r>
      <w:r>
        <w:rPr>
          <w:rFonts w:ascii="Arial" w:cs="Arial" w:eastAsia="Arial" w:hAnsi="Arial"/>
          <w:sz w:val="18"/>
          <w:szCs w:val="18"/>
          <w:color w:val="auto"/>
        </w:rPr>
        <w:t>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6"/>
          <w:szCs w:val="16"/>
          <w:color w:val="auto"/>
        </w:rPr>
        <w:t>The Phase 1 portion of Study 12</w:t>
      </w:r>
      <w:r>
        <w:rPr>
          <w:rFonts w:ascii="MS PGothic" w:cs="MS PGothic" w:eastAsia="MS PGothic" w:hAnsi="MS PGothic"/>
          <w:sz w:val="16"/>
          <w:szCs w:val="16"/>
          <w:color w:val="auto"/>
        </w:rPr>
        <w:t>‑</w:t>
      </w:r>
      <w:r>
        <w:rPr>
          <w:rFonts w:ascii="Arial" w:cs="Arial" w:eastAsia="Arial" w:hAnsi="Arial"/>
          <w:sz w:val="16"/>
          <w:szCs w:val="16"/>
          <w:color w:val="auto"/>
        </w:rPr>
        <w:t>230 assessed dose escalation of intravenous, or IV, naxitamab (days one, three, five) in the presence of subcutaneous GM</w:t>
      </w:r>
      <w:r>
        <w:rPr>
          <w:rFonts w:ascii="MS PGothic" w:cs="MS PGothic" w:eastAsia="MS PGothic" w:hAnsi="MS PGothic"/>
          <w:sz w:val="16"/>
          <w:szCs w:val="16"/>
          <w:color w:val="auto"/>
        </w:rPr>
        <w:t>‑</w:t>
      </w:r>
      <w:r>
        <w:rPr>
          <w:rFonts w:ascii="Arial" w:cs="Arial" w:eastAsia="Arial" w:hAnsi="Arial"/>
          <w:sz w:val="16"/>
          <w:szCs w:val="16"/>
          <w:color w:val="auto"/>
        </w:rPr>
        <w:t>CSF (days minus four through five). These three doses of naxitamab and 10 days of GM</w:t>
      </w:r>
      <w:r>
        <w:rPr>
          <w:rFonts w:ascii="MS PGothic" w:cs="MS PGothic" w:eastAsia="MS PGothic" w:hAnsi="MS PGothic"/>
          <w:sz w:val="16"/>
          <w:szCs w:val="16"/>
          <w:color w:val="auto"/>
        </w:rPr>
        <w:t>‑</w:t>
      </w:r>
      <w:r>
        <w:rPr>
          <w:rFonts w:ascii="Arial" w:cs="Arial" w:eastAsia="Arial" w:hAnsi="Arial"/>
          <w:sz w:val="16"/>
          <w:szCs w:val="16"/>
          <w:color w:val="auto"/>
        </w:rPr>
        <w:t>CSF constituted a single treatment cycle. Patients who completed 4 cycles without PD were eligible to continue treatment for up to 24 months. For the Phase II part of study, patient were eligible to continue treatment for up</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spacing w:after="0" w:line="223" w:lineRule="exact"/>
        <w:rPr>
          <w:sz w:val="20"/>
          <w:szCs w:val="20"/>
          <w:color w:val="auto"/>
        </w:rPr>
      </w:pPr>
      <w:r>
        <w:rPr>
          <w:rFonts w:ascii="Arial" w:cs="Arial" w:eastAsia="Arial" w:hAnsi="Arial"/>
          <w:sz w:val="18"/>
          <w:szCs w:val="18"/>
          <w:color w:val="auto"/>
        </w:rPr>
        <w:t>to 4 cycles after major clinical response was obtained again with a maximum treatment period of 24 months. The diagram below depicts the treatment schedule per cycle in Study 12</w:t>
      </w:r>
      <w:r>
        <w:rPr>
          <w:rFonts w:ascii="MS PGothic" w:cs="MS PGothic" w:eastAsia="MS PGothic" w:hAnsi="MS PGothic"/>
          <w:sz w:val="18"/>
          <w:szCs w:val="18"/>
          <w:color w:val="auto"/>
        </w:rPr>
        <w:t>‑</w:t>
      </w: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138430</wp:posOffset>
            </wp:positionV>
            <wp:extent cx="4725035" cy="1397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250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Results of Phase 1 Portion of Study 12</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230</w:t>
      </w:r>
    </w:p>
    <w:p>
      <w:pPr>
        <w:spacing w:after="0" w:line="22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A total of 57 patients were enrolled in the Phase 1 portion of Study 12</w:t>
      </w:r>
      <w:r>
        <w:rPr>
          <w:rFonts w:ascii="MS PGothic" w:cs="MS PGothic" w:eastAsia="MS PGothic" w:hAnsi="MS PGothic"/>
          <w:sz w:val="16"/>
          <w:szCs w:val="16"/>
          <w:color w:val="auto"/>
        </w:rPr>
        <w:t>‑</w:t>
      </w:r>
      <w:r>
        <w:rPr>
          <w:rFonts w:ascii="Arial" w:cs="Arial" w:eastAsia="Arial" w:hAnsi="Arial"/>
          <w:sz w:val="16"/>
          <w:szCs w:val="16"/>
          <w:color w:val="auto"/>
        </w:rPr>
        <w:t>230 between December 2012 and May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patient characteristics is provided in the table below.</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Study 12</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230 patient characteristics (Phase 1)</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186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Value</w:t>
            </w: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Years from diagnosis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7" w:lineRule="exact"/>
              <w:rPr>
                <w:sz w:val="20"/>
                <w:szCs w:val="20"/>
                <w:color w:val="auto"/>
              </w:rPr>
            </w:pPr>
            <w:r>
              <w:rPr>
                <w:rFonts w:ascii="Arial" w:cs="Arial" w:eastAsia="Arial" w:hAnsi="Arial"/>
                <w:sz w:val="18"/>
                <w:szCs w:val="18"/>
                <w:color w:val="auto"/>
              </w:rPr>
              <w:t xml:space="preserve">0.6 </w:t>
            </w:r>
            <w:r>
              <w:rPr>
                <w:rFonts w:ascii="MS PGothic" w:cs="MS PGothic" w:eastAsia="MS PGothic" w:hAnsi="MS PGothic"/>
                <w:sz w:val="18"/>
                <w:szCs w:val="18"/>
                <w:color w:val="auto"/>
              </w:rPr>
              <w:t>‑</w:t>
            </w:r>
            <w:r>
              <w:rPr>
                <w:rFonts w:ascii="Arial" w:cs="Arial" w:eastAsia="Arial" w:hAnsi="Arial"/>
                <w:sz w:val="18"/>
                <w:szCs w:val="18"/>
                <w:color w:val="auto"/>
              </w:rPr>
              <w:t xml:space="preserve"> 9.0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(median 3.1)</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8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2.4 </w:t>
            </w:r>
            <w:r>
              <w:rPr>
                <w:rFonts w:ascii="MS PGothic" w:cs="MS PGothic" w:eastAsia="MS PGothic" w:hAnsi="MS PGothic"/>
                <w:sz w:val="18"/>
                <w:szCs w:val="18"/>
                <w:color w:val="auto"/>
              </w:rPr>
              <w:t>‑</w:t>
            </w:r>
            <w:r>
              <w:rPr>
                <w:rFonts w:ascii="Arial" w:cs="Arial" w:eastAsia="Arial" w:hAnsi="Arial"/>
                <w:sz w:val="18"/>
                <w:szCs w:val="18"/>
                <w:color w:val="auto"/>
              </w:rPr>
              <w:t xml:space="preserve"> 31.3</w:t>
            </w: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(median 6.8)</w:t>
            </w: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47/57 (82%)</w:t>
            </w:r>
          </w:p>
        </w:tc>
      </w:tr>
      <w:tr>
        <w:trPr>
          <w:trHeight w:val="216"/>
        </w:trPr>
        <w:tc>
          <w:tcPr>
            <w:tcW w:w="5380" w:type="dxa"/>
            <w:vAlign w:val="bottom"/>
            <w:gridSpan w:val="2"/>
          </w:tcPr>
          <w:p>
            <w:pPr>
              <w:spacing w:after="0" w:line="207" w:lineRule="exact"/>
              <w:rPr>
                <w:sz w:val="20"/>
                <w:szCs w:val="20"/>
                <w:color w:val="auto"/>
              </w:rPr>
            </w:pPr>
            <w:r>
              <w:rPr>
                <w:rFonts w:ascii="Arial" w:cs="Arial" w:eastAsia="Arial" w:hAnsi="Arial"/>
                <w:sz w:val="18"/>
                <w:szCs w:val="18"/>
                <w:color w:val="auto"/>
              </w:rPr>
              <w:t>Autologous stem</w:t>
            </w:r>
            <w:r>
              <w:rPr>
                <w:rFonts w:ascii="MS PGothic" w:cs="MS PGothic" w:eastAsia="MS PGothic" w:hAnsi="MS PGothic"/>
                <w:sz w:val="18"/>
                <w:szCs w:val="18"/>
                <w:color w:val="auto"/>
              </w:rPr>
              <w:t>‑</w:t>
            </w:r>
            <w:r>
              <w:rPr>
                <w:rFonts w:ascii="Arial" w:cs="Arial" w:eastAsia="Arial" w:hAnsi="Arial"/>
                <w:sz w:val="18"/>
                <w:szCs w:val="18"/>
                <w:color w:val="auto"/>
              </w:rPr>
              <w:t>cell transplantation</w:t>
            </w:r>
          </w:p>
        </w:tc>
        <w:tc>
          <w:tcPr>
            <w:tcW w:w="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24/57 (42%)</w:t>
            </w:r>
          </w:p>
        </w:tc>
      </w:tr>
      <w:tr>
        <w:trPr>
          <w:trHeight w:val="216"/>
        </w:trPr>
        <w:tc>
          <w:tcPr>
            <w:tcW w:w="5380" w:type="dxa"/>
            <w:vAlign w:val="bottom"/>
            <w:gridSpan w:val="2"/>
            <w:shd w:val="clear" w:color="auto" w:fill="CCEEFF"/>
          </w:tcPr>
          <w:p>
            <w:pPr>
              <w:spacing w:after="0" w:line="207" w:lineRule="exact"/>
              <w:rPr>
                <w:sz w:val="20"/>
                <w:szCs w:val="20"/>
                <w:color w:val="auto"/>
              </w:rPr>
            </w:pPr>
            <w:r>
              <w:rPr>
                <w:rFonts w:ascii="Arial" w:cs="Arial" w:eastAsia="Arial" w:hAnsi="Arial"/>
                <w:sz w:val="9"/>
                <w:szCs w:val="9"/>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therapy</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17/57 (30%)</w:t>
            </w:r>
          </w:p>
        </w:tc>
      </w:tr>
    </w:tbl>
    <w:p>
      <w:pPr>
        <w:spacing w:after="0" w:line="202" w:lineRule="exact"/>
        <w:rPr>
          <w:sz w:val="20"/>
          <w:szCs w:val="20"/>
          <w:color w:val="auto"/>
        </w:rPr>
      </w:pPr>
    </w:p>
    <w:p>
      <w:pPr>
        <w:ind w:right="759" w:firstLine="648"/>
        <w:spacing w:after="0" w:line="223" w:lineRule="exact"/>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(n=17) and anti</w:t>
      </w:r>
      <w:r>
        <w:rPr>
          <w:rFonts w:ascii="MS PGothic" w:cs="MS PGothic" w:eastAsia="MS PGothic" w:hAnsi="MS PGothic"/>
          <w:sz w:val="18"/>
          <w:szCs w:val="18"/>
          <w:color w:val="auto"/>
        </w:rPr>
        <w:t>‑</w:t>
      </w:r>
      <w:r>
        <w:rPr>
          <w:rFonts w:ascii="Arial" w:cs="Arial" w:eastAsia="Arial" w:hAnsi="Arial"/>
          <w:sz w:val="18"/>
          <w:szCs w:val="18"/>
          <w:color w:val="auto"/>
        </w:rPr>
        <w:t>GD2 mAbs (n=47).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7"/>
          <w:szCs w:val="17"/>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Dose limiting toxicities, or DLTs, occurred in four of 57 patients. These DLTs did not show any consistent pattern, ranging from elevated liver enzymes, anaphylactic reactions, acute renal failure, and hypertension. Thirty</w:t>
      </w:r>
      <w:r>
        <w:rPr>
          <w:rFonts w:ascii="MS PGothic" w:cs="MS PGothic" w:eastAsia="MS PGothic" w:hAnsi="MS PGothic"/>
          <w:sz w:val="17"/>
          <w:szCs w:val="17"/>
          <w:color w:val="auto"/>
        </w:rPr>
        <w:t>‑</w:t>
      </w:r>
      <w:r>
        <w:rPr>
          <w:rFonts w:ascii="Arial" w:cs="Arial" w:eastAsia="Arial" w:hAnsi="Arial"/>
          <w:sz w:val="17"/>
          <w:szCs w:val="17"/>
          <w:color w:val="auto"/>
        </w:rPr>
        <w:t>three patients experienced a total of 150 SAEs, of which 27 SAEs were treatment</w:t>
      </w:r>
      <w:r>
        <w:rPr>
          <w:rFonts w:ascii="MS PGothic" w:cs="MS PGothic" w:eastAsia="MS PGothic" w:hAnsi="MS PGothic"/>
          <w:sz w:val="17"/>
          <w:szCs w:val="17"/>
          <w:color w:val="auto"/>
        </w:rPr>
        <w:t>‑</w:t>
      </w:r>
      <w:r>
        <w:rPr>
          <w:rFonts w:ascii="Arial" w:cs="Arial" w:eastAsia="Arial" w:hAnsi="Arial"/>
          <w:sz w:val="17"/>
          <w:szCs w:val="17"/>
          <w:color w:val="auto"/>
        </w:rPr>
        <w:t>related, and none were fatal. Two patients experienced Grade 4 toxicity that necessitated withdrawal from the study. One patient developed an anaphylactic reaction at cycle 7. Another one patient developed Grade 4 angioedema immediately after completing the second cycle. All 57 patients experienced at least one Treatment Emergent Adverse Event, or TEAE, which is defined as “an event that emerges during treatment, having been absent pretreatment, or worsens relative to the pretreatment state” of any grade. Most frequently observed TEAEs were pain, hypotension, fever, pruritus, and urticaria. Most TEAEs were low</w:t>
      </w:r>
      <w:r>
        <w:rPr>
          <w:rFonts w:ascii="MS PGothic" w:cs="MS PGothic" w:eastAsia="MS PGothic" w:hAnsi="MS PGothic"/>
          <w:sz w:val="17"/>
          <w:szCs w:val="17"/>
          <w:color w:val="auto"/>
        </w:rPr>
        <w:t>‑</w:t>
      </w:r>
      <w:r>
        <w:rPr>
          <w:rFonts w:ascii="Arial" w:cs="Arial" w:eastAsia="Arial" w:hAnsi="Arial"/>
          <w:sz w:val="17"/>
          <w:szCs w:val="17"/>
          <w:color w:val="auto"/>
        </w:rPr>
        <w:t>grade adverse events.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79" w:firstLine="648"/>
        <w:spacing w:after="0" w:line="277"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Human Anti</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human Antibody (HAHA) Results</w:t>
      </w:r>
    </w:p>
    <w:p>
      <w:pPr>
        <w:spacing w:after="0" w:line="225" w:lineRule="exact"/>
        <w:rPr>
          <w:sz w:val="20"/>
          <w:szCs w:val="20"/>
          <w:color w:val="auto"/>
        </w:rPr>
      </w:pPr>
    </w:p>
    <w:p>
      <w:pPr>
        <w:ind w:right="40" w:firstLine="648"/>
        <w:spacing w:after="0" w:line="224" w:lineRule="exact"/>
        <w:rPr>
          <w:sz w:val="20"/>
          <w:szCs w:val="20"/>
          <w:color w:val="auto"/>
        </w:rPr>
      </w:pPr>
      <w:r>
        <w:rPr>
          <w:rFonts w:ascii="Arial" w:cs="Arial" w:eastAsia="Arial" w:hAnsi="Arial"/>
          <w:sz w:val="16"/>
          <w:szCs w:val="16"/>
          <w:color w:val="auto"/>
        </w:rPr>
        <w:t>Of the 57 patients, 10 patients developed human anti</w:t>
      </w:r>
      <w:r>
        <w:rPr>
          <w:rFonts w:ascii="MS PGothic" w:cs="MS PGothic" w:eastAsia="MS PGothic" w:hAnsi="MS PGothic"/>
          <w:sz w:val="16"/>
          <w:szCs w:val="16"/>
          <w:color w:val="auto"/>
        </w:rPr>
        <w:t>‑</w:t>
      </w:r>
      <w:r>
        <w:rPr>
          <w:rFonts w:ascii="Arial" w:cs="Arial" w:eastAsia="Arial" w:hAnsi="Arial"/>
          <w:sz w:val="16"/>
          <w:szCs w:val="16"/>
          <w:color w:val="auto"/>
        </w:rPr>
        <w:t>human antibody, or HAHA, response. Of the same 57 patients, 47 patients had previously been exposed to anti</w:t>
      </w:r>
      <w:r>
        <w:rPr>
          <w:rFonts w:ascii="MS PGothic" w:cs="MS PGothic" w:eastAsia="MS PGothic" w:hAnsi="MS PGothic"/>
          <w:sz w:val="16"/>
          <w:szCs w:val="16"/>
          <w:color w:val="auto"/>
        </w:rPr>
        <w:t>‑</w:t>
      </w:r>
      <w:r>
        <w:rPr>
          <w:rFonts w:ascii="Arial" w:cs="Arial" w:eastAsia="Arial" w:hAnsi="Arial"/>
          <w:sz w:val="16"/>
          <w:szCs w:val="16"/>
          <w:color w:val="auto"/>
        </w:rPr>
        <w:t>GD2 based therapies, including the earlier murine version of naxitamab.</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Evidence of anti</w:t>
      </w:r>
      <w:r>
        <w:rPr>
          <w:rFonts w:ascii="MS PGothic" w:cs="MS PGothic" w:eastAsia="MS PGothic" w:hAnsi="MS PGothic"/>
          <w:sz w:val="18"/>
          <w:szCs w:val="18"/>
          <w:color w:val="auto"/>
        </w:rPr>
        <w:t>‑</w:t>
      </w:r>
      <w:r>
        <w:rPr>
          <w:rFonts w:ascii="Arial" w:cs="Arial" w:eastAsia="Arial" w:hAnsi="Arial"/>
          <w:sz w:val="18"/>
          <w:szCs w:val="18"/>
          <w:color w:val="auto"/>
        </w:rPr>
        <w:t>NB activity was observed at all dose levels; however, a dose</w:t>
      </w:r>
      <w:r>
        <w:rPr>
          <w:rFonts w:ascii="MS PGothic" w:cs="MS PGothic" w:eastAsia="MS PGothic" w:hAnsi="MS PGothic"/>
          <w:sz w:val="18"/>
          <w:szCs w:val="18"/>
          <w:color w:val="auto"/>
        </w:rPr>
        <w:t>‑</w:t>
      </w:r>
      <w:r>
        <w:rPr>
          <w:rFonts w:ascii="Arial" w:cs="Arial" w:eastAsia="Arial" w:hAnsi="Arial"/>
          <w:sz w:val="18"/>
          <w:szCs w:val="18"/>
          <w:color w:val="auto"/>
        </w:rPr>
        <w:t>response relationship was not possible due to intra</w:t>
      </w:r>
      <w:r>
        <w:rPr>
          <w:rFonts w:ascii="MS PGothic" w:cs="MS PGothic" w:eastAsia="MS PGothic" w:hAnsi="MS PGothic"/>
          <w:sz w:val="18"/>
          <w:szCs w:val="18"/>
          <w:color w:val="auto"/>
        </w:rPr>
        <w:t>‑</w:t>
      </w:r>
      <w:r>
        <w:rPr>
          <w:rFonts w:ascii="Arial" w:cs="Arial" w:eastAsia="Arial" w:hAnsi="Arial"/>
          <w:sz w:val="18"/>
          <w:szCs w:val="18"/>
          <w:color w:val="auto"/>
        </w:rPr>
        <w:t>patient dose escalation after two cycles as permitted by the protocol.</w:t>
      </w:r>
    </w:p>
    <w:p>
      <w:pPr>
        <w:spacing w:after="0" w:line="20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81"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Of the remaining 23 non</w:t>
      </w:r>
      <w:r>
        <w:rPr>
          <w:rFonts w:ascii="MS PGothic" w:cs="MS PGothic" w:eastAsia="MS PGothic" w:hAnsi="MS PGothic"/>
          <w:sz w:val="17"/>
          <w:szCs w:val="17"/>
          <w:color w:val="auto"/>
        </w:rPr>
        <w:t>‑</w:t>
      </w:r>
      <w:r>
        <w:rPr>
          <w:rFonts w:ascii="Arial" w:cs="Arial" w:eastAsia="Arial" w:hAnsi="Arial"/>
          <w:sz w:val="17"/>
          <w:szCs w:val="17"/>
          <w:color w:val="auto"/>
        </w:rPr>
        <w:t>PD patients with primary or secondary refractory disease, 13 patients achieved either a complete response (also known as complete remission), or CR, or a partial response or PR, which resulted in an ORR of 57% (13/23). Further, one patient had stable disease (cancer that is neither decreasing nor increasing in extent or severity) or SD, another six patients had progressive disease (cancer that is growing, spreading or getting worse) or PD, and two patients were only available for short term follow</w:t>
      </w:r>
      <w:r>
        <w:rPr>
          <w:rFonts w:ascii="MS PGothic" w:cs="MS PGothic" w:eastAsia="MS PGothic" w:hAnsi="MS PGothic"/>
          <w:sz w:val="17"/>
          <w:szCs w:val="17"/>
          <w:color w:val="auto"/>
        </w:rPr>
        <w:t>‑</w:t>
      </w:r>
      <w:r>
        <w:rPr>
          <w:rFonts w:ascii="Arial" w:cs="Arial" w:eastAsia="Arial" w:hAnsi="Arial"/>
          <w:sz w:val="17"/>
          <w:szCs w:val="17"/>
          <w:color w:val="auto"/>
        </w:rPr>
        <w:t>up (long term data not available).</w:t>
      </w:r>
    </w:p>
    <w:p>
      <w:pPr>
        <w:spacing w:after="0" w:line="2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Study 12</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230 efficacy results among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PD patients (Phase 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Patient group</w:t>
            </w:r>
          </w:p>
        </w:tc>
        <w:tc>
          <w:tcPr>
            <w:tcW w:w="10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CR/PR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Primary refractory (n = 11)</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(72.7)</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Secondary refractory (n = 12)</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(41.7)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patients with non-progressive evaluable disease (n = 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(56.5)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 = complete response; PR = partial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9" w:lineRule="exact"/>
        <w:rPr>
          <w:sz w:val="20"/>
          <w:szCs w:val="20"/>
          <w:color w:val="auto"/>
        </w:rPr>
      </w:pPr>
    </w:p>
    <w:p>
      <w:pPr>
        <w:ind w:right="280" w:firstLine="648"/>
        <w:spacing w:after="0" w:line="220" w:lineRule="exact"/>
        <w:rPr>
          <w:sz w:val="20"/>
          <w:szCs w:val="20"/>
          <w:color w:val="auto"/>
        </w:rPr>
      </w:pPr>
      <w:r>
        <w:rPr>
          <w:rFonts w:ascii="Arial" w:cs="Arial" w:eastAsia="Arial" w:hAnsi="Arial"/>
          <w:sz w:val="18"/>
          <w:szCs w:val="18"/>
          <w:color w:val="auto"/>
        </w:rPr>
        <w:t xml:space="preserve">The scan on the left below shows multiple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hot spots (NB lesions) localized to the bone and BM. In the scan on the right below, taken after naxitamab and GM</w:t>
      </w:r>
      <w:r>
        <w:rPr>
          <w:rFonts w:ascii="MS PGothic" w:cs="MS PGothic" w:eastAsia="MS PGothic" w:hAnsi="MS PGothic"/>
          <w:sz w:val="18"/>
          <w:szCs w:val="18"/>
          <w:color w:val="auto"/>
        </w:rPr>
        <w:t>‑</w:t>
      </w:r>
      <w:r>
        <w:rPr>
          <w:rFonts w:ascii="Arial" w:cs="Arial" w:eastAsia="Arial" w:hAnsi="Arial"/>
          <w:sz w:val="18"/>
          <w:szCs w:val="18"/>
          <w:color w:val="auto"/>
        </w:rPr>
        <w:t>CSF treatment, nearly all the metastatic lesions have disappeared. Although not every patient will experience similar results, we believe these scans are indicative of a patient that has responded favorably to naxitamab and GM</w:t>
      </w:r>
      <w:r>
        <w:rPr>
          <w:rFonts w:ascii="MS PGothic" w:cs="MS PGothic" w:eastAsia="MS PGothic" w:hAnsi="MS PGothic"/>
          <w:sz w:val="18"/>
          <w:szCs w:val="18"/>
          <w:color w:val="auto"/>
        </w:rPr>
        <w:t>‑</w:t>
      </w:r>
      <w:r>
        <w:rPr>
          <w:rFonts w:ascii="Arial" w:cs="Arial" w:eastAsia="Arial" w:hAnsi="Arial"/>
          <w:sz w:val="18"/>
          <w:szCs w:val="18"/>
          <w:color w:val="auto"/>
        </w:rPr>
        <w:t>CSF treatment.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358140</wp:posOffset>
            </wp:positionV>
            <wp:extent cx="5360035" cy="255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6003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648"/>
        <w:spacing w:after="0" w:line="221" w:lineRule="exact"/>
        <w:rPr>
          <w:sz w:val="20"/>
          <w:szCs w:val="20"/>
          <w:color w:val="auto"/>
        </w:rPr>
      </w:pPr>
      <w:r>
        <w:rPr>
          <w:rFonts w:ascii="Arial" w:cs="Arial" w:eastAsia="Arial" w:hAnsi="Arial"/>
          <w:sz w:val="18"/>
          <w:szCs w:val="18"/>
          <w:color w:val="auto"/>
        </w:rPr>
        <w:t xml:space="preserve">Among the 25 patients with NED, it was not possible to classify response by International Neuroblastoma Response Criteria, or INRC criteria, including with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These patients, who had one to five prior relapses and therefore had a poor prognosis, showed an encouraging two</w:t>
      </w:r>
      <w:r>
        <w:rPr>
          <w:rFonts w:ascii="MS PGothic" w:cs="MS PGothic" w:eastAsia="MS PGothic" w:hAnsi="MS PGothic"/>
          <w:sz w:val="18"/>
          <w:szCs w:val="18"/>
          <w:color w:val="auto"/>
        </w:rPr>
        <w:t>‑</w:t>
      </w:r>
      <w:r>
        <w:rPr>
          <w:rFonts w:ascii="Arial" w:cs="Arial" w:eastAsia="Arial" w:hAnsi="Arial"/>
          <w:sz w:val="18"/>
          <w:szCs w:val="18"/>
          <w:color w:val="auto"/>
        </w:rPr>
        <w:t>year event</w:t>
      </w:r>
      <w:r>
        <w:rPr>
          <w:rFonts w:ascii="MS PGothic" w:cs="MS PGothic" w:eastAsia="MS PGothic" w:hAnsi="MS PGothic"/>
          <w:sz w:val="18"/>
          <w:szCs w:val="18"/>
          <w:color w:val="auto"/>
        </w:rPr>
        <w:t>‑</w:t>
      </w:r>
      <w:r>
        <w:rPr>
          <w:rFonts w:ascii="Arial" w:cs="Arial" w:eastAsia="Arial" w:hAnsi="Arial"/>
          <w:sz w:val="18"/>
          <w:szCs w:val="18"/>
          <w:color w:val="auto"/>
        </w:rPr>
        <w:t>free survival, or EFS, of 24%.</w:t>
      </w:r>
    </w:p>
    <w:p>
      <w:pPr>
        <w:spacing w:after="0" w:line="198"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b w:val="1"/>
          <w:bCs w:val="1"/>
          <w:color w:val="auto"/>
        </w:rPr>
        <w:t>Treatment in Study 12</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230 with naxitamab in patients previously exposed to other 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GD2 antibodies (dinutuximab or earlier murine version of naxitamab)</w:t>
      </w:r>
    </w:p>
    <w:p>
      <w:pPr>
        <w:spacing w:after="0" w:line="202" w:lineRule="exact"/>
        <w:rPr>
          <w:sz w:val="20"/>
          <w:szCs w:val="20"/>
          <w:color w:val="auto"/>
        </w:rPr>
      </w:pPr>
    </w:p>
    <w:p>
      <w:pPr>
        <w:ind w:right="280" w:firstLine="648"/>
        <w:spacing w:after="0" w:line="221" w:lineRule="exact"/>
        <w:rPr>
          <w:sz w:val="20"/>
          <w:szCs w:val="20"/>
          <w:color w:val="auto"/>
        </w:rPr>
      </w:pPr>
      <w:r>
        <w:rPr>
          <w:rFonts w:ascii="Arial" w:cs="Arial" w:eastAsia="Arial" w:hAnsi="Arial"/>
          <w:sz w:val="18"/>
          <w:szCs w:val="18"/>
          <w:color w:val="auto"/>
        </w:rPr>
        <w:t>A large proportion of the patients (n=47) had previously been treated with anti</w:t>
      </w:r>
      <w:r>
        <w:rPr>
          <w:rFonts w:ascii="MS PGothic" w:cs="MS PGothic" w:eastAsia="MS PGothic" w:hAnsi="MS PGothic"/>
          <w:sz w:val="18"/>
          <w:szCs w:val="18"/>
          <w:color w:val="auto"/>
        </w:rPr>
        <w:t>‑</w:t>
      </w:r>
      <w:r>
        <w:rPr>
          <w:rFonts w:ascii="Arial" w:cs="Arial" w:eastAsia="Arial" w:hAnsi="Arial"/>
          <w:sz w:val="18"/>
          <w:szCs w:val="18"/>
          <w:color w:val="auto"/>
        </w:rPr>
        <w:t>GD2 mAbs. We have also demonstrated that naxitamab has efficacy when used following front</w:t>
      </w:r>
      <w:r>
        <w:rPr>
          <w:rFonts w:ascii="MS PGothic" w:cs="MS PGothic" w:eastAsia="MS PGothic" w:hAnsi="MS PGothic"/>
          <w:sz w:val="18"/>
          <w:szCs w:val="18"/>
          <w:color w:val="auto"/>
        </w:rPr>
        <w:t>‑</w:t>
      </w:r>
      <w:r>
        <w:rPr>
          <w:rFonts w:ascii="Arial" w:cs="Arial" w:eastAsia="Arial" w:hAnsi="Arial"/>
          <w:sz w:val="18"/>
          <w:szCs w:val="18"/>
          <w:color w:val="auto"/>
        </w:rPr>
        <w:t>line treatment with dinutuximab. A survival analysis was completed in all 16 patients with prior exposure to dinutuximab.</w:t>
      </w:r>
    </w:p>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Phase 2 Portion of Study 12</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230</w:t>
      </w:r>
    </w:p>
    <w:p>
      <w:pPr>
        <w:spacing w:after="0" w:line="229"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The Study 12</w:t>
      </w:r>
      <w:r>
        <w:rPr>
          <w:rFonts w:ascii="MS PGothic" w:cs="MS PGothic" w:eastAsia="MS PGothic" w:hAnsi="MS PGothic"/>
          <w:sz w:val="16"/>
          <w:szCs w:val="16"/>
          <w:color w:val="auto"/>
        </w:rPr>
        <w:t>‑</w:t>
      </w:r>
      <w:r>
        <w:rPr>
          <w:rFonts w:ascii="Arial" w:cs="Arial" w:eastAsia="Arial" w:hAnsi="Arial"/>
          <w:sz w:val="16"/>
          <w:szCs w:val="16"/>
          <w:color w:val="auto"/>
        </w:rPr>
        <w:t>230 protocol was amended in May 2016 to include an expansion Phase 2 portion. In May 2018, topline results from the first 71 patients (including 29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w:t>
      </w:r>
    </w:p>
    <w:p>
      <w:pPr>
        <w:spacing w:after="0" w:line="203"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The expansion Phase 2 single</w:t>
      </w:r>
      <w:r>
        <w:rPr>
          <w:rFonts w:ascii="MS PGothic" w:cs="MS PGothic" w:eastAsia="MS PGothic" w:hAnsi="MS PGothic"/>
          <w:sz w:val="18"/>
          <w:szCs w:val="18"/>
          <w:color w:val="auto"/>
        </w:rPr>
        <w:t>‑</w:t>
      </w:r>
      <w:r>
        <w:rPr>
          <w:rFonts w:ascii="Arial" w:cs="Arial" w:eastAsia="Arial" w:hAnsi="Arial"/>
          <w:sz w:val="18"/>
          <w:szCs w:val="18"/>
          <w:color w:val="auto"/>
        </w:rPr>
        <w:t>arm portion of Study 12</w:t>
      </w:r>
      <w:r>
        <w:rPr>
          <w:rFonts w:ascii="MS PGothic" w:cs="MS PGothic" w:eastAsia="MS PGothic" w:hAnsi="MS PGothic"/>
          <w:sz w:val="18"/>
          <w:szCs w:val="18"/>
          <w:color w:val="auto"/>
        </w:rPr>
        <w:t>‑</w:t>
      </w:r>
      <w:r>
        <w:rPr>
          <w:rFonts w:ascii="Arial" w:cs="Arial" w:eastAsia="Arial" w:hAnsi="Arial"/>
          <w:sz w:val="18"/>
          <w:szCs w:val="18"/>
          <w:color w:val="auto"/>
        </w:rPr>
        <w:t>230 was designed to assess the anti</w:t>
      </w:r>
      <w:r>
        <w:rPr>
          <w:rFonts w:ascii="MS PGothic" w:cs="MS PGothic" w:eastAsia="MS PGothic" w:hAnsi="MS PGothic"/>
          <w:sz w:val="18"/>
          <w:szCs w:val="18"/>
          <w:color w:val="auto"/>
        </w:rPr>
        <w:t>‑</w:t>
      </w:r>
      <w:r>
        <w:rPr>
          <w:rFonts w:ascii="Arial" w:cs="Arial" w:eastAsia="Arial" w:hAnsi="Arial"/>
          <w:sz w:val="18"/>
          <w:szCs w:val="18"/>
          <w:color w:val="auto"/>
        </w:rPr>
        <w:t>NB activity of naxitamab and GM</w:t>
      </w:r>
      <w:r>
        <w:rPr>
          <w:rFonts w:ascii="MS PGothic" w:cs="MS PGothic" w:eastAsia="MS PGothic" w:hAnsi="MS PGothic"/>
          <w:sz w:val="18"/>
          <w:szCs w:val="18"/>
          <w:color w:val="auto"/>
        </w:rPr>
        <w:t>‑</w:t>
      </w:r>
      <w:r>
        <w:rPr>
          <w:rFonts w:ascii="Arial" w:cs="Arial" w:eastAsia="Arial" w:hAnsi="Arial"/>
          <w:sz w:val="18"/>
          <w:szCs w:val="18"/>
          <w:color w:val="auto"/>
        </w:rPr>
        <w:t xml:space="preserve">CSF in patients who presented with lesions that could be objectively measured and/or monitored by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MIBG scans and who were deemed to have measurable disease and be eligible for response classification by the INRC classification incorporating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Objectives</w:t>
      </w:r>
    </w:p>
    <w:p>
      <w:pPr>
        <w:spacing w:after="0" w:line="225" w:lineRule="exact"/>
        <w:rPr>
          <w:sz w:val="20"/>
          <w:szCs w:val="20"/>
          <w:color w:val="auto"/>
        </w:rPr>
      </w:pPr>
    </w:p>
    <w:p>
      <w:pPr>
        <w:ind w:left="980" w:right="120" w:hanging="329"/>
        <w:spacing w:after="0" w:line="224" w:lineRule="exact"/>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Group 1: (NED patients) To assess the impact of naxitamab and GM</w:t>
      </w:r>
      <w:r>
        <w:rPr>
          <w:rFonts w:ascii="MS PGothic" w:cs="MS PGothic" w:eastAsia="MS PGothic" w:hAnsi="MS PGothic"/>
          <w:sz w:val="17"/>
          <w:szCs w:val="17"/>
          <w:color w:val="auto"/>
        </w:rPr>
        <w:t>‑</w:t>
      </w:r>
      <w:r>
        <w:rPr>
          <w:rFonts w:ascii="Arial" w:cs="Arial" w:eastAsia="Arial" w:hAnsi="Arial"/>
          <w:sz w:val="17"/>
          <w:szCs w:val="17"/>
          <w:color w:val="auto"/>
        </w:rPr>
        <w:t>CSF on PFS in patients in greater than or equal to second CR/very good partial response, or VGPR, but at high</w:t>
      </w:r>
      <w:r>
        <w:rPr>
          <w:rFonts w:ascii="MS PGothic" w:cs="MS PGothic" w:eastAsia="MS PGothic" w:hAnsi="MS PGothic"/>
          <w:sz w:val="17"/>
          <w:szCs w:val="17"/>
          <w:color w:val="auto"/>
        </w:rPr>
        <w:t>‑</w:t>
      </w:r>
      <w:r>
        <w:rPr>
          <w:rFonts w:ascii="Arial" w:cs="Arial" w:eastAsia="Arial" w:hAnsi="Arial"/>
          <w:sz w:val="17"/>
          <w:szCs w:val="17"/>
          <w:color w:val="auto"/>
        </w:rPr>
        <w:t>risk of another relapse.</w:t>
      </w:r>
    </w:p>
    <w:p>
      <w:pPr>
        <w:spacing w:after="0" w:line="201" w:lineRule="exact"/>
        <w:rPr>
          <w:rFonts w:ascii="Arial" w:cs="Arial" w:eastAsia="Arial" w:hAnsi="Arial"/>
          <w:sz w:val="17"/>
          <w:szCs w:val="17"/>
          <w:color w:val="auto"/>
        </w:rPr>
      </w:pPr>
    </w:p>
    <w:p>
      <w:pPr>
        <w:ind w:left="980" w:hanging="329"/>
        <w:spacing w:after="0" w:line="22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w:t>
      </w:r>
      <w:r>
        <w:rPr>
          <w:rFonts w:ascii="MS PGothic" w:cs="MS PGothic" w:eastAsia="MS PGothic" w:hAnsi="MS PGothic"/>
          <w:sz w:val="18"/>
          <w:szCs w:val="18"/>
          <w:color w:val="auto"/>
        </w:rPr>
        <w:t>‑</w:t>
      </w:r>
      <w:r>
        <w:rPr>
          <w:rFonts w:ascii="Arial" w:cs="Arial" w:eastAsia="Arial" w:hAnsi="Arial"/>
          <w:sz w:val="18"/>
          <w:szCs w:val="18"/>
          <w:color w:val="auto"/>
        </w:rPr>
        <w:t>CSF in patients who have primary refractory disease in the bone and BM by measuring response and by calculating PFS.</w:t>
      </w:r>
    </w:p>
    <w:p>
      <w:pPr>
        <w:spacing w:after="0" w:line="203" w:lineRule="exact"/>
        <w:rPr>
          <w:rFonts w:ascii="Arial" w:cs="Arial" w:eastAsia="Arial" w:hAnsi="Arial"/>
          <w:sz w:val="18"/>
          <w:szCs w:val="18"/>
          <w:color w:val="auto"/>
        </w:rPr>
      </w:pPr>
    </w:p>
    <w:p>
      <w:pPr>
        <w:ind w:left="980" w:right="20" w:hanging="329"/>
        <w:spacing w:after="0" w:line="22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w:t>
      </w:r>
      <w:r>
        <w:rPr>
          <w:rFonts w:ascii="MS PGothic" w:cs="MS PGothic" w:eastAsia="MS PGothic" w:hAnsi="MS PGothic"/>
          <w:sz w:val="18"/>
          <w:szCs w:val="18"/>
          <w:color w:val="auto"/>
        </w:rPr>
        <w:t>‑</w:t>
      </w:r>
      <w:r>
        <w:rPr>
          <w:rFonts w:ascii="Arial" w:cs="Arial" w:eastAsia="Arial" w:hAnsi="Arial"/>
          <w:sz w:val="18"/>
          <w:szCs w:val="18"/>
          <w:color w:val="auto"/>
        </w:rPr>
        <w:t>CSF in patients who have secondary refractory disease in the bone and BM by measuring response and by calculating PFS.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right="220" w:hanging="329"/>
        <w:spacing w:after="0" w:line="221" w:lineRule="exact"/>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apply real</w:t>
      </w:r>
      <w:r>
        <w:rPr>
          <w:rFonts w:ascii="MS PGothic" w:cs="MS PGothic" w:eastAsia="MS PGothic" w:hAnsi="MS PGothic"/>
          <w:sz w:val="18"/>
          <w:szCs w:val="18"/>
          <w:color w:val="auto"/>
        </w:rPr>
        <w:t>‑</w:t>
      </w:r>
      <w:r>
        <w:rPr>
          <w:rFonts w:ascii="Arial" w:cs="Arial" w:eastAsia="Arial" w:hAnsi="Arial"/>
          <w:sz w:val="18"/>
          <w:szCs w:val="18"/>
          <w:color w:val="auto"/>
        </w:rPr>
        <w:t>time quantitative RT</w:t>
      </w:r>
      <w:r>
        <w:rPr>
          <w:rFonts w:ascii="MS PGothic" w:cs="MS PGothic" w:eastAsia="MS PGothic" w:hAnsi="MS PGothic"/>
          <w:sz w:val="18"/>
          <w:szCs w:val="18"/>
          <w:color w:val="auto"/>
        </w:rPr>
        <w:t>‑</w:t>
      </w:r>
      <w:r>
        <w:rPr>
          <w:rFonts w:ascii="Arial" w:cs="Arial" w:eastAsia="Arial" w:hAnsi="Arial"/>
          <w:sz w:val="18"/>
          <w:szCs w:val="18"/>
          <w:color w:val="auto"/>
        </w:rPr>
        <w:t>PCR to test the hypothesis that the minimal residual disease, or MRD, findings in the bone and BM after the first two cycles of naxitamab and GM</w:t>
      </w:r>
      <w:r>
        <w:rPr>
          <w:rFonts w:ascii="MS PGothic" w:cs="MS PGothic" w:eastAsia="MS PGothic" w:hAnsi="MS PGothic"/>
          <w:sz w:val="18"/>
          <w:szCs w:val="18"/>
          <w:color w:val="auto"/>
        </w:rPr>
        <w:t>‑</w:t>
      </w:r>
      <w:r>
        <w:rPr>
          <w:rFonts w:ascii="Arial" w:cs="Arial" w:eastAsia="Arial" w:hAnsi="Arial"/>
          <w:sz w:val="18"/>
          <w:szCs w:val="18"/>
          <w:color w:val="auto"/>
        </w:rPr>
        <w:t>CSF have significant prognostic impact on outcome.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720" w:firstLine="648"/>
        <w:spacing w:after="0" w:line="223" w:lineRule="exact"/>
        <w:rPr>
          <w:sz w:val="20"/>
          <w:szCs w:val="20"/>
          <w:color w:val="auto"/>
        </w:rPr>
      </w:pPr>
      <w:r>
        <w:rPr>
          <w:rFonts w:ascii="Arial" w:cs="Arial" w:eastAsia="Arial" w:hAnsi="Arial"/>
          <w:sz w:val="18"/>
          <w:szCs w:val="18"/>
          <w:color w:val="auto"/>
        </w:rPr>
        <w:t>HAHA developed in 11 out of 71, or 15% of the patients. Nine out of the 11 HAHA</w:t>
      </w:r>
      <w:r>
        <w:rPr>
          <w:rFonts w:ascii="MS PGothic" w:cs="MS PGothic" w:eastAsia="MS PGothic" w:hAnsi="MS PGothic"/>
          <w:sz w:val="18"/>
          <w:szCs w:val="18"/>
          <w:color w:val="auto"/>
        </w:rPr>
        <w:t>‑</w:t>
      </w:r>
      <w:r>
        <w:rPr>
          <w:rFonts w:ascii="Arial" w:cs="Arial" w:eastAsia="Arial" w:hAnsi="Arial"/>
          <w:sz w:val="18"/>
          <w:szCs w:val="18"/>
          <w:color w:val="auto"/>
        </w:rPr>
        <w:t>positive patients were previously treated with anti</w:t>
      </w:r>
      <w:r>
        <w:rPr>
          <w:rFonts w:ascii="MS PGothic" w:cs="MS PGothic" w:eastAsia="MS PGothic" w:hAnsi="MS PGothic"/>
          <w:sz w:val="18"/>
          <w:szCs w:val="18"/>
          <w:color w:val="auto"/>
        </w:rPr>
        <w:t>‑</w:t>
      </w:r>
      <w:r>
        <w:rPr>
          <w:rFonts w:ascii="Arial" w:cs="Arial" w:eastAsia="Arial" w:hAnsi="Arial"/>
          <w:sz w:val="18"/>
          <w:szCs w:val="18"/>
          <w:color w:val="auto"/>
        </w:rPr>
        <w:t>GD2 antibody.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Treatment was outpatient, without unexpected toxicities.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jc w:val="both"/>
        <w:ind w:right="380" w:firstLine="648"/>
        <w:spacing w:after="0" w:line="239" w:lineRule="exact"/>
        <w:rPr>
          <w:sz w:val="20"/>
          <w:szCs w:val="20"/>
          <w:color w:val="auto"/>
        </w:rPr>
      </w:pPr>
      <w:r>
        <w:rPr>
          <w:rFonts w:ascii="Arial" w:cs="Arial" w:eastAsia="Arial" w:hAnsi="Arial"/>
          <w:sz w:val="16"/>
          <w:szCs w:val="16"/>
          <w:color w:val="auto"/>
        </w:rPr>
        <w:t>Group 1 included 29 patients 0.9</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17.8 (median 3.3) years post</w:t>
      </w:r>
      <w:r>
        <w:rPr>
          <w:rFonts w:ascii="MS PGothic" w:cs="MS PGothic" w:eastAsia="MS PGothic" w:hAnsi="MS PGothic"/>
          <w:sz w:val="16"/>
          <w:szCs w:val="16"/>
          <w:color w:val="auto"/>
        </w:rPr>
        <w:t>‑</w:t>
      </w:r>
      <w:r>
        <w:rPr>
          <w:rFonts w:ascii="Arial" w:cs="Arial" w:eastAsia="Arial" w:hAnsi="Arial"/>
          <w:sz w:val="16"/>
          <w:szCs w:val="16"/>
          <w:color w:val="auto"/>
        </w:rPr>
        <w:t>diagnosis, 2.2</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24.5 (median 6.3) years old, 25/29 prior</w:t>
      </w:r>
      <w:r>
        <w:rPr>
          <w:rFonts w:ascii="MS PGothic" w:cs="MS PGothic" w:eastAsia="MS PGothic" w:hAnsi="MS PGothic"/>
          <w:sz w:val="16"/>
          <w:szCs w:val="16"/>
          <w:color w:val="auto"/>
        </w:rPr>
        <w:t>‑</w:t>
      </w:r>
      <w:r>
        <w:rPr>
          <w:rFonts w:ascii="Arial" w:cs="Arial" w:eastAsia="Arial" w:hAnsi="Arial"/>
          <w:sz w:val="16"/>
          <w:szCs w:val="16"/>
          <w:color w:val="auto"/>
        </w:rPr>
        <w:t>treated with ≥1 anti</w:t>
      </w:r>
      <w:r>
        <w:rPr>
          <w:rFonts w:ascii="MS PGothic" w:cs="MS PGothic" w:eastAsia="MS PGothic" w:hAnsi="MS PGothic"/>
          <w:sz w:val="16"/>
          <w:szCs w:val="16"/>
          <w:color w:val="auto"/>
        </w:rPr>
        <w:t>‑</w:t>
      </w:r>
      <w:r>
        <w:rPr>
          <w:rFonts w:ascii="Arial" w:cs="Arial" w:eastAsia="Arial" w:hAnsi="Arial"/>
          <w:sz w:val="16"/>
          <w:szCs w:val="16"/>
          <w:color w:val="auto"/>
        </w:rPr>
        <w:t>G</w:t>
      </w:r>
      <w:r>
        <w:rPr>
          <w:rFonts w:ascii="Arial" w:cs="Arial" w:eastAsia="Arial" w:hAnsi="Arial"/>
          <w:sz w:val="26"/>
          <w:szCs w:val="26"/>
          <w:color w:val="auto"/>
          <w:vertAlign w:val="subscript"/>
        </w:rPr>
        <w:t>D2</w:t>
      </w:r>
      <w:r>
        <w:rPr>
          <w:rFonts w:ascii="Arial" w:cs="Arial" w:eastAsia="Arial" w:hAnsi="Arial"/>
          <w:sz w:val="16"/>
          <w:szCs w:val="16"/>
          <w:color w:val="auto"/>
        </w:rPr>
        <w:t xml:space="preserve"> antibody, and status</w:t>
      </w:r>
      <w:r>
        <w:rPr>
          <w:rFonts w:ascii="MS PGothic" w:cs="MS PGothic" w:eastAsia="MS PGothic" w:hAnsi="MS PGothic"/>
          <w:sz w:val="16"/>
          <w:szCs w:val="16"/>
          <w:color w:val="auto"/>
        </w:rPr>
        <w:t>‑</w:t>
      </w:r>
      <w:r>
        <w:rPr>
          <w:rFonts w:ascii="Arial" w:cs="Arial" w:eastAsia="Arial" w:hAnsi="Arial"/>
          <w:sz w:val="16"/>
          <w:szCs w:val="16"/>
          <w:color w:val="auto"/>
        </w:rPr>
        <w:t>post 1 (n=18) or ≥2 (n=11) relapses; 12</w:t>
      </w:r>
      <w:r>
        <w:rPr>
          <w:rFonts w:ascii="MS PGothic" w:cs="MS PGothic" w:eastAsia="MS PGothic" w:hAnsi="MS PGothic"/>
          <w:sz w:val="16"/>
          <w:szCs w:val="16"/>
          <w:color w:val="auto"/>
        </w:rPr>
        <w:t>‑</w:t>
      </w:r>
      <w:r>
        <w:rPr>
          <w:rFonts w:ascii="Arial" w:cs="Arial" w:eastAsia="Arial" w:hAnsi="Arial"/>
          <w:sz w:val="16"/>
          <w:szCs w:val="16"/>
          <w:color w:val="auto"/>
        </w:rPr>
        <w:t>month EFS was 74%.</w:t>
      </w:r>
    </w:p>
    <w:p>
      <w:pPr>
        <w:spacing w:after="0" w:line="18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Group 2 included 17 patients with 15 evaluable for response 5</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19 (median 6.6) months post</w:t>
      </w:r>
      <w:r>
        <w:rPr>
          <w:rFonts w:ascii="MS PGothic" w:cs="MS PGothic" w:eastAsia="MS PGothic" w:hAnsi="MS PGothic"/>
          <w:sz w:val="18"/>
          <w:szCs w:val="18"/>
          <w:color w:val="auto"/>
        </w:rPr>
        <w:t>‑</w:t>
      </w:r>
      <w:r>
        <w:rPr>
          <w:rFonts w:ascii="Arial" w:cs="Arial" w:eastAsia="Arial" w:hAnsi="Arial"/>
          <w:sz w:val="18"/>
          <w:szCs w:val="18"/>
          <w:color w:val="auto"/>
        </w:rPr>
        <w:t>diagnosis,</w:t>
      </w:r>
    </w:p>
    <w:p>
      <w:pPr>
        <w:spacing w:after="0" w:line="2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2.9</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10.9 (median 5.1) years old, and 9/15 with Curie scores 7</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23 plus marrow(+). Thirteen out of 15, or 87%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achieved CR/PR.</w:t>
      </w:r>
    </w:p>
    <w:p>
      <w:pPr>
        <w:spacing w:after="0" w:line="211" w:lineRule="exact"/>
        <w:rPr>
          <w:sz w:val="20"/>
          <w:szCs w:val="20"/>
          <w:color w:val="auto"/>
        </w:rPr>
      </w:pPr>
    </w:p>
    <w:p>
      <w:pPr>
        <w:ind w:right="180" w:firstLine="648"/>
        <w:spacing w:after="0" w:line="225" w:lineRule="exact"/>
        <w:rPr>
          <w:sz w:val="20"/>
          <w:szCs w:val="20"/>
          <w:color w:val="auto"/>
        </w:rPr>
      </w:pPr>
      <w:r>
        <w:rPr>
          <w:rFonts w:ascii="Arial" w:cs="Arial" w:eastAsia="Arial" w:hAnsi="Arial"/>
          <w:sz w:val="18"/>
          <w:szCs w:val="18"/>
          <w:color w:val="auto"/>
        </w:rPr>
        <w:t>Group 3 included 25 patients 0.9</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10.6 (median 3.5) years post</w:t>
      </w:r>
      <w:r>
        <w:rPr>
          <w:rFonts w:ascii="MS PGothic" w:cs="MS PGothic" w:eastAsia="MS PGothic" w:hAnsi="MS PGothic"/>
          <w:sz w:val="18"/>
          <w:szCs w:val="18"/>
          <w:color w:val="auto"/>
        </w:rPr>
        <w:t>‑</w:t>
      </w:r>
      <w:r>
        <w:rPr>
          <w:rFonts w:ascii="Arial" w:cs="Arial" w:eastAsia="Arial" w:hAnsi="Arial"/>
          <w:sz w:val="18"/>
          <w:szCs w:val="18"/>
          <w:color w:val="auto"/>
        </w:rPr>
        <w:t>diagnosis, 2.6</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23.6 (median 6.5) years old, 23/25 prior</w:t>
      </w:r>
      <w:r>
        <w:rPr>
          <w:rFonts w:ascii="MS PGothic" w:cs="MS PGothic" w:eastAsia="MS PGothic" w:hAnsi="MS PGothic"/>
          <w:sz w:val="18"/>
          <w:szCs w:val="18"/>
          <w:color w:val="auto"/>
        </w:rPr>
        <w:t>‑</w:t>
      </w:r>
      <w:r>
        <w:rPr>
          <w:rFonts w:ascii="Arial" w:cs="Arial" w:eastAsia="Arial" w:hAnsi="Arial"/>
          <w:sz w:val="18"/>
          <w:szCs w:val="18"/>
          <w:color w:val="auto"/>
        </w:rPr>
        <w:t>treated with ≥1 anti</w:t>
      </w:r>
      <w:r>
        <w:rPr>
          <w:rFonts w:ascii="MS PGothic" w:cs="MS PGothic" w:eastAsia="MS PGothic" w:hAnsi="MS PGothic"/>
          <w:sz w:val="18"/>
          <w:szCs w:val="18"/>
          <w:color w:val="auto"/>
        </w:rPr>
        <w:t>‑</w:t>
      </w:r>
      <w:r>
        <w:rPr>
          <w:rFonts w:ascii="Arial" w:cs="Arial" w:eastAsia="Arial" w:hAnsi="Arial"/>
          <w:sz w:val="18"/>
          <w:szCs w:val="18"/>
          <w:color w:val="auto"/>
        </w:rPr>
        <w:t>G</w:t>
      </w:r>
      <w:r>
        <w:rPr>
          <w:rFonts w:ascii="Arial" w:cs="Arial" w:eastAsia="Arial" w:hAnsi="Arial"/>
          <w:sz w:val="30"/>
          <w:szCs w:val="30"/>
          <w:color w:val="auto"/>
          <w:vertAlign w:val="subscript"/>
        </w:rPr>
        <w:t>D2</w:t>
      </w:r>
      <w:r>
        <w:rPr>
          <w:rFonts w:ascii="Arial" w:cs="Arial" w:eastAsia="Arial" w:hAnsi="Arial"/>
          <w:sz w:val="18"/>
          <w:szCs w:val="18"/>
          <w:color w:val="auto"/>
        </w:rPr>
        <w:t xml:space="preserve"> antibody, and status</w:t>
      </w:r>
      <w:r>
        <w:rPr>
          <w:rFonts w:ascii="MS PGothic" w:cs="MS PGothic" w:eastAsia="MS PGothic" w:hAnsi="MS PGothic"/>
          <w:sz w:val="18"/>
          <w:szCs w:val="18"/>
          <w:color w:val="auto"/>
        </w:rPr>
        <w:t>‑</w:t>
      </w:r>
      <w:r>
        <w:rPr>
          <w:rFonts w:ascii="Arial" w:cs="Arial" w:eastAsia="Arial" w:hAnsi="Arial"/>
          <w:sz w:val="18"/>
          <w:szCs w:val="18"/>
          <w:color w:val="auto"/>
        </w:rPr>
        <w:t>post 1 (n=15) or 2</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6 (n=10) relapses; 12</w:t>
      </w:r>
      <w:r>
        <w:rPr>
          <w:rFonts w:ascii="MS PGothic" w:cs="MS PGothic" w:eastAsia="MS PGothic" w:hAnsi="MS PGothic"/>
          <w:sz w:val="18"/>
          <w:szCs w:val="18"/>
          <w:color w:val="auto"/>
        </w:rPr>
        <w:t>‑</w:t>
      </w:r>
      <w:r>
        <w:rPr>
          <w:rFonts w:ascii="Arial" w:cs="Arial" w:eastAsia="Arial" w:hAnsi="Arial"/>
          <w:sz w:val="18"/>
          <w:szCs w:val="18"/>
          <w:color w:val="auto"/>
        </w:rPr>
        <w:t>month PFS was 55%, and seven out of 23, or 30% of the, patients evaluable for response achieved CR/PR.</w:t>
      </w:r>
    </w:p>
    <w:p>
      <w:pPr>
        <w:spacing w:after="0" w:line="204" w:lineRule="exact"/>
        <w:rPr>
          <w:sz w:val="20"/>
          <w:szCs w:val="20"/>
          <w:color w:val="auto"/>
        </w:rPr>
      </w:pPr>
    </w:p>
    <w:p>
      <w:pPr>
        <w:jc w:val="both"/>
        <w:ind w:left="980" w:right="520" w:hanging="323"/>
        <w:spacing w:after="0" w:line="221" w:lineRule="exact"/>
        <w:rPr>
          <w:sz w:val="20"/>
          <w:szCs w:val="20"/>
          <w:color w:val="auto"/>
        </w:rPr>
      </w:pPr>
      <w:r>
        <w:rPr>
          <w:rFonts w:ascii="Arial" w:cs="Arial" w:eastAsia="Arial" w:hAnsi="Arial"/>
          <w:sz w:val="18"/>
          <w:szCs w:val="18"/>
          <w:i w:val="1"/>
          <w:iCs w:val="1"/>
          <w:color w:val="auto"/>
        </w:rPr>
        <w:t>Study 201: A Phase 2 Trial of Antibody Naxitamab and Granulocyte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Macrophage Colony Stimulating Factor (GM</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CSF) in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 Patients with Primary or Secondary Refractory Osteomedullary Disease</w:t>
      </w:r>
    </w:p>
    <w:p>
      <w:pPr>
        <w:spacing w:after="0" w:line="202" w:lineRule="exact"/>
        <w:rPr>
          <w:sz w:val="20"/>
          <w:szCs w:val="20"/>
          <w:color w:val="auto"/>
        </w:rPr>
      </w:pPr>
    </w:p>
    <w:p>
      <w:pPr>
        <w:ind w:right="380" w:firstLine="648"/>
        <w:spacing w:after="0" w:line="221" w:lineRule="exact"/>
        <w:rPr>
          <w:sz w:val="20"/>
          <w:szCs w:val="20"/>
          <w:color w:val="auto"/>
        </w:rPr>
      </w:pPr>
      <w:r>
        <w:rPr>
          <w:rFonts w:ascii="Arial" w:cs="Arial" w:eastAsia="Arial" w:hAnsi="Arial"/>
          <w:sz w:val="18"/>
          <w:szCs w:val="18"/>
          <w:color w:val="auto"/>
        </w:rPr>
        <w:t>Study 201 is a single</w:t>
      </w:r>
      <w:r>
        <w:rPr>
          <w:rFonts w:ascii="MS PGothic" w:cs="MS PGothic" w:eastAsia="MS PGothic" w:hAnsi="MS PGothic"/>
          <w:sz w:val="18"/>
          <w:szCs w:val="18"/>
          <w:color w:val="auto"/>
        </w:rPr>
        <w:t>‑</w:t>
      </w:r>
      <w:r>
        <w:rPr>
          <w:rFonts w:ascii="Arial" w:cs="Arial" w:eastAsia="Arial" w:hAnsi="Arial"/>
          <w:sz w:val="18"/>
          <w:szCs w:val="18"/>
          <w:color w:val="auto"/>
        </w:rPr>
        <w:t>arm multi</w:t>
      </w:r>
      <w:r>
        <w:rPr>
          <w:rFonts w:ascii="MS PGothic" w:cs="MS PGothic" w:eastAsia="MS PGothic" w:hAnsi="MS PGothic"/>
          <w:sz w:val="18"/>
          <w:szCs w:val="18"/>
          <w:color w:val="auto"/>
        </w:rPr>
        <w:t>‑</w:t>
      </w:r>
      <w:r>
        <w:rPr>
          <w:rFonts w:ascii="Arial" w:cs="Arial" w:eastAsia="Arial" w:hAnsi="Arial"/>
          <w:sz w:val="18"/>
          <w:szCs w:val="18"/>
          <w:color w:val="auto"/>
        </w:rPr>
        <w:t>center pivotal study using current Good Manufacturing Practices, or cGMP, manufactured naxitamab, which commenced recruitment in the second quarter of 2018. We expect to enroll a total of 37 patients with recruitment ongoing in four sites.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In addition to satisfying certain other criteria, patients must have high</w:t>
      </w:r>
      <w:r>
        <w:rPr>
          <w:rFonts w:ascii="MS PGothic" w:cs="MS PGothic" w:eastAsia="MS PGothic" w:hAnsi="MS PGothic"/>
          <w:sz w:val="18"/>
          <w:szCs w:val="18"/>
          <w:color w:val="auto"/>
        </w:rPr>
        <w:t>‑</w:t>
      </w:r>
      <w:r>
        <w:rPr>
          <w:rFonts w:ascii="Arial" w:cs="Arial" w:eastAsia="Arial" w:hAnsi="Arial"/>
          <w:sz w:val="18"/>
          <w:szCs w:val="18"/>
          <w:color w:val="auto"/>
        </w:rPr>
        <w:t xml:space="preserve">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MIBG scan. Secondary refractory disease is defined as prior relapse and incomplete response to salvage therapy in BM as documented by histology and/or </w:t>
      </w:r>
      <w:r>
        <w:rPr>
          <w:rFonts w:ascii="Arial" w:cs="Arial" w:eastAsia="Arial" w:hAnsi="Arial"/>
          <w:sz w:val="8"/>
          <w:szCs w:val="8"/>
          <w:color w:val="auto"/>
        </w:rPr>
        <w:t>123</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MIBG scan. Patients must be older than one year of age.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Study 201 will follow the same treatment protocol as previously described for Study 12</w:t>
      </w:r>
      <w:r>
        <w:rPr>
          <w:rFonts w:ascii="MS PGothic" w:cs="MS PGothic" w:eastAsia="MS PGothic" w:hAnsi="MS PGothic"/>
          <w:sz w:val="18"/>
          <w:szCs w:val="18"/>
          <w:color w:val="auto"/>
        </w:rPr>
        <w:t>‑</w:t>
      </w:r>
      <w:r>
        <w:rPr>
          <w:rFonts w:ascii="Arial" w:cs="Arial" w:eastAsia="Arial" w:hAnsi="Arial"/>
          <w:sz w:val="18"/>
          <w:szCs w:val="18"/>
          <w:color w:val="auto"/>
        </w:rPr>
        <w:t>230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evaluate the efficacy of IV naxitamab and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hanging="329"/>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the safety of IV naxitamab and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rFonts w:ascii="Arial" w:cs="Arial" w:eastAsia="Arial" w:hAnsi="Arial"/>
          <w:sz w:val="18"/>
          <w:szCs w:val="18"/>
          <w:color w:val="auto"/>
        </w:rPr>
      </w:pPr>
    </w:p>
    <w:p>
      <w:pPr>
        <w:ind w:left="980" w:right="99" w:hanging="329"/>
        <w:spacing w:after="0" w:line="223"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w:t>
      </w:r>
      <w:r>
        <w:rPr>
          <w:rFonts w:ascii="MS PGothic" w:cs="MS PGothic" w:eastAsia="MS PGothic" w:hAnsi="MS PGothic"/>
          <w:sz w:val="18"/>
          <w:szCs w:val="18"/>
          <w:color w:val="auto"/>
        </w:rPr>
        <w:t>‑</w:t>
      </w:r>
      <w:r>
        <w:rPr>
          <w:rFonts w:ascii="Arial" w:cs="Arial" w:eastAsia="Arial" w:hAnsi="Arial"/>
          <w:sz w:val="18"/>
          <w:szCs w:val="18"/>
          <w:color w:val="auto"/>
        </w:rPr>
        <w:t>CSF. Duration of response is defined as the length of time from patient response to PD.</w:t>
      </w:r>
    </w:p>
    <w:p>
      <w:pPr>
        <w:spacing w:after="0" w:line="203"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PFS of naxitamab and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right="119" w:firstLine="648"/>
        <w:spacing w:after="0" w:line="219" w:lineRule="exact"/>
        <w:rPr>
          <w:sz w:val="20"/>
          <w:szCs w:val="20"/>
          <w:color w:val="auto"/>
        </w:rPr>
      </w:pPr>
      <w:r>
        <w:rPr>
          <w:rFonts w:ascii="Arial" w:cs="Arial" w:eastAsia="Arial" w:hAnsi="Arial"/>
          <w:sz w:val="18"/>
          <w:szCs w:val="18"/>
          <w:color w:val="auto"/>
        </w:rPr>
        <w:t>We have initiated Study 201 to form the primary basis for our planned BLA, to establish comparability of study population with Study 12</w:t>
      </w:r>
      <w:r>
        <w:rPr>
          <w:rFonts w:ascii="MS PGothic" w:cs="MS PGothic" w:eastAsia="MS PGothic" w:hAnsi="MS PGothic"/>
          <w:sz w:val="18"/>
          <w:szCs w:val="18"/>
          <w:color w:val="auto"/>
        </w:rPr>
        <w:t>‑</w:t>
      </w:r>
      <w:r>
        <w:rPr>
          <w:rFonts w:ascii="Arial" w:cs="Arial" w:eastAsia="Arial" w:hAnsi="Arial"/>
          <w:sz w:val="18"/>
          <w:szCs w:val="18"/>
          <w:color w:val="auto"/>
        </w:rPr>
        <w:t>230 and to satisfy the confirmatory study and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by the FDA. If the results from Study 201 fail to demonstrate comparability to the satisfaction of the FDA and other comparable regulatory authorities, this may lead to a delay in, or otherwise adversely affect, such clinical trials, including the timing of submission of the BLA.</w:t>
      </w:r>
    </w:p>
    <w:p>
      <w:pPr>
        <w:spacing w:after="0" w:line="206" w:lineRule="exact"/>
        <w:rPr>
          <w:sz w:val="20"/>
          <w:szCs w:val="20"/>
          <w:color w:val="auto"/>
        </w:rPr>
      </w:pPr>
    </w:p>
    <w:p>
      <w:pPr>
        <w:ind w:right="99" w:firstLine="648"/>
        <w:spacing w:after="0" w:line="218" w:lineRule="exact"/>
        <w:rPr>
          <w:sz w:val="20"/>
          <w:szCs w:val="20"/>
          <w:color w:val="auto"/>
        </w:rPr>
      </w:pPr>
      <w:r>
        <w:rPr>
          <w:rFonts w:ascii="Arial" w:cs="Arial" w:eastAsia="Arial" w:hAnsi="Arial"/>
          <w:sz w:val="17"/>
          <w:szCs w:val="17"/>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w:t>
      </w:r>
      <w:r>
        <w:rPr>
          <w:rFonts w:ascii="MS PGothic" w:cs="MS PGothic" w:eastAsia="MS PGothic" w:hAnsi="MS PGothic"/>
          <w:sz w:val="17"/>
          <w:szCs w:val="17"/>
          <w:color w:val="auto"/>
        </w:rPr>
        <w:t>‑</w:t>
      </w:r>
      <w:r>
        <w:rPr>
          <w:rFonts w:ascii="Arial" w:cs="Arial" w:eastAsia="Arial" w:hAnsi="Arial"/>
          <w:sz w:val="17"/>
          <w:szCs w:val="17"/>
          <w:color w:val="auto"/>
        </w:rPr>
        <w:t>CD16, ADCC</w:t>
      </w:r>
      <w:r>
        <w:rPr>
          <w:rFonts w:ascii="MS PGothic" w:cs="MS PGothic" w:eastAsia="MS PGothic" w:hAnsi="MS PGothic"/>
          <w:sz w:val="17"/>
          <w:szCs w:val="17"/>
          <w:color w:val="auto"/>
        </w:rPr>
        <w:t>‑</w:t>
      </w:r>
      <w:r>
        <w:rPr>
          <w:rFonts w:ascii="Arial" w:cs="Arial" w:eastAsia="Arial" w:hAnsi="Arial"/>
          <w:sz w:val="17"/>
          <w:szCs w:val="17"/>
          <w:color w:val="auto"/>
        </w:rPr>
        <w:t>CD32, and CDC assays were too wide to provide sufficient control over these attributes, which are critical for safety and efficacy. ADCC and CDC refer to antibody dependent cell</w:t>
      </w:r>
      <w:r>
        <w:rPr>
          <w:rFonts w:ascii="MS PGothic" w:cs="MS PGothic" w:eastAsia="MS PGothic" w:hAnsi="MS PGothic"/>
          <w:sz w:val="17"/>
          <w:szCs w:val="17"/>
          <w:color w:val="auto"/>
        </w:rPr>
        <w:t>‑</w:t>
      </w:r>
      <w:r>
        <w:rPr>
          <w:rFonts w:ascii="Arial" w:cs="Arial" w:eastAsia="Arial" w:hAnsi="Arial"/>
          <w:sz w:val="17"/>
          <w:szCs w:val="17"/>
          <w:color w:val="auto"/>
        </w:rPr>
        <w:t>mediated cytotoxicity and complement</w:t>
      </w:r>
      <w:r>
        <w:rPr>
          <w:rFonts w:ascii="MS PGothic" w:cs="MS PGothic" w:eastAsia="MS PGothic" w:hAnsi="MS PGothic"/>
          <w:sz w:val="17"/>
          <w:szCs w:val="17"/>
          <w:color w:val="auto"/>
        </w:rPr>
        <w:t>‑</w:t>
      </w:r>
      <w:r>
        <w:rPr>
          <w:rFonts w:ascii="Arial" w:cs="Arial" w:eastAsia="Arial" w:hAnsi="Arial"/>
          <w:sz w:val="17"/>
          <w:szCs w:val="17"/>
          <w:color w:val="auto"/>
        </w:rPr>
        <w:t>dependent cytotoxicity, respectively. We submitted a response to the FDA in March 2018, and met with the FDA in April 2018. Subsequently, we submitted a complete response to the partial clinical hold to the FDA in May 2018 and the partial clinical hold was removed in June 2018.</w:t>
      </w:r>
    </w:p>
    <w:p>
      <w:pPr>
        <w:spacing w:after="0" w:line="20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i w:val="1"/>
          <w:iCs w:val="1"/>
          <w:color w:val="auto"/>
        </w:rPr>
        <w:t>Study 16</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1643: Naxitamab/GM</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CSF Immunotherapy Plus Isotretinoin for Consolidation of First Remission of</w:t>
      </w:r>
    </w:p>
    <w:p>
      <w:pPr>
        <w:spacing w:after="0" w:line="35"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i w:val="1"/>
          <w:iCs w:val="1"/>
          <w:color w:val="auto"/>
        </w:rPr>
        <w:t>Patients with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 A Phase 2 Study</w:t>
      </w:r>
    </w:p>
    <w:p>
      <w:pPr>
        <w:spacing w:after="0" w:line="211" w:lineRule="exact"/>
        <w:rPr>
          <w:sz w:val="20"/>
          <w:szCs w:val="20"/>
          <w:color w:val="auto"/>
        </w:rPr>
      </w:pPr>
    </w:p>
    <w:p>
      <w:pPr>
        <w:ind w:right="59" w:firstLine="648"/>
        <w:spacing w:after="0" w:line="220" w:lineRule="exact"/>
        <w:rPr>
          <w:sz w:val="20"/>
          <w:szCs w:val="20"/>
          <w:color w:val="auto"/>
        </w:rPr>
      </w:pPr>
      <w:r>
        <w:rPr>
          <w:rFonts w:ascii="Arial" w:cs="Arial" w:eastAsia="Arial" w:hAnsi="Arial"/>
          <w:sz w:val="18"/>
          <w:szCs w:val="18"/>
          <w:color w:val="auto"/>
        </w:rPr>
        <w:t>Study 16</w:t>
      </w:r>
      <w:r>
        <w:rPr>
          <w:rFonts w:ascii="MS PGothic" w:cs="MS PGothic" w:eastAsia="MS PGothic" w:hAnsi="MS PGothic"/>
          <w:sz w:val="18"/>
          <w:szCs w:val="18"/>
          <w:color w:val="auto"/>
        </w:rPr>
        <w:t>‑</w:t>
      </w:r>
      <w:r>
        <w:rPr>
          <w:rFonts w:ascii="Arial" w:cs="Arial" w:eastAsia="Arial" w:hAnsi="Arial"/>
          <w:sz w:val="18"/>
          <w:szCs w:val="18"/>
          <w:color w:val="auto"/>
        </w:rPr>
        <w:t>1643 is a Phase 2 single</w:t>
      </w:r>
      <w:r>
        <w:rPr>
          <w:rFonts w:ascii="MS PGothic" w:cs="MS PGothic" w:eastAsia="MS PGothic" w:hAnsi="MS PGothic"/>
          <w:sz w:val="18"/>
          <w:szCs w:val="18"/>
          <w:color w:val="auto"/>
        </w:rPr>
        <w:t>‑</w:t>
      </w:r>
      <w:r>
        <w:rPr>
          <w:rFonts w:ascii="Arial" w:cs="Arial" w:eastAsia="Arial" w:hAnsi="Arial"/>
          <w:sz w:val="18"/>
          <w:szCs w:val="18"/>
          <w:color w:val="auto"/>
        </w:rPr>
        <w:t>arm clinical trial where patients with high</w:t>
      </w:r>
      <w:r>
        <w:rPr>
          <w:rFonts w:ascii="MS PGothic" w:cs="MS PGothic" w:eastAsia="MS PGothic" w:hAnsi="MS PGothic"/>
          <w:sz w:val="18"/>
          <w:szCs w:val="18"/>
          <w:color w:val="auto"/>
        </w:rPr>
        <w:t>‑</w:t>
      </w:r>
      <w:r>
        <w:rPr>
          <w:rFonts w:ascii="Arial" w:cs="Arial" w:eastAsia="Arial" w:hAnsi="Arial"/>
          <w:sz w:val="18"/>
          <w:szCs w:val="18"/>
          <w:color w:val="auto"/>
        </w:rPr>
        <w:t>risk NB in first CR/VGPR undergo consolidation with naxitamab and GM</w:t>
      </w:r>
      <w:r>
        <w:rPr>
          <w:rFonts w:ascii="MS PGothic" w:cs="MS PGothic" w:eastAsia="MS PGothic" w:hAnsi="MS PGothic"/>
          <w:sz w:val="18"/>
          <w:szCs w:val="18"/>
          <w:color w:val="auto"/>
        </w:rPr>
        <w:t>‑</w:t>
      </w:r>
      <w:r>
        <w:rPr>
          <w:rFonts w:ascii="Arial" w:cs="Arial" w:eastAsia="Arial" w:hAnsi="Arial"/>
          <w:sz w:val="18"/>
          <w:szCs w:val="18"/>
          <w:color w:val="auto"/>
        </w:rPr>
        <w:t>CSF for five cycles and isotretinoin for six cycles. The primary objective of the study is to determine relapse</w:t>
      </w:r>
      <w:r>
        <w:rPr>
          <w:rFonts w:ascii="MS PGothic" w:cs="MS PGothic" w:eastAsia="MS PGothic" w:hAnsi="MS PGothic"/>
          <w:sz w:val="18"/>
          <w:szCs w:val="18"/>
          <w:color w:val="auto"/>
        </w:rPr>
        <w:t>‑</w:t>
      </w:r>
      <w:r>
        <w:rPr>
          <w:rFonts w:ascii="Arial" w:cs="Arial" w:eastAsia="Arial" w:hAnsi="Arial"/>
          <w:sz w:val="18"/>
          <w:szCs w:val="18"/>
          <w:color w:val="auto"/>
        </w:rPr>
        <w:t>free survival following treatment with naxitamab combined with GM</w:t>
      </w:r>
      <w:r>
        <w:rPr>
          <w:rFonts w:ascii="MS PGothic" w:cs="MS PGothic" w:eastAsia="MS PGothic" w:hAnsi="MS PGothic"/>
          <w:sz w:val="18"/>
          <w:szCs w:val="18"/>
          <w:color w:val="auto"/>
        </w:rPr>
        <w:t>‑</w:t>
      </w:r>
      <w:r>
        <w:rPr>
          <w:rFonts w:ascii="Arial" w:cs="Arial" w:eastAsia="Arial" w:hAnsi="Arial"/>
          <w:sz w:val="18"/>
          <w:szCs w:val="18"/>
          <w:color w:val="auto"/>
        </w:rPr>
        <w:t>CSF and isotretinoin. As of January 2019, 37 patients had been enrolled in the study.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59" w:firstLine="648"/>
        <w:spacing w:after="0" w:line="220" w:lineRule="exact"/>
        <w:rPr>
          <w:sz w:val="20"/>
          <w:szCs w:val="20"/>
          <w:color w:val="auto"/>
        </w:rPr>
      </w:pPr>
      <w:r>
        <w:rPr>
          <w:rFonts w:ascii="Arial" w:cs="Arial" w:eastAsia="Arial" w:hAnsi="Arial"/>
          <w:sz w:val="18"/>
          <w:szCs w:val="18"/>
          <w:color w:val="auto"/>
        </w:rPr>
        <w:t>In addition to satisfying certain other criteria, patients must have a diagnosis of NB as defined by a) histopathology, or b) BM metastases or MIBG</w:t>
      </w:r>
      <w:r>
        <w:rPr>
          <w:rFonts w:ascii="MS PGothic" w:cs="MS PGothic" w:eastAsia="MS PGothic" w:hAnsi="MS PGothic"/>
          <w:sz w:val="18"/>
          <w:szCs w:val="18"/>
          <w:color w:val="auto"/>
        </w:rPr>
        <w:t>‑</w:t>
      </w:r>
      <w:r>
        <w:rPr>
          <w:rFonts w:ascii="Arial" w:cs="Arial" w:eastAsia="Arial" w:hAnsi="Arial"/>
          <w:sz w:val="18"/>
          <w:szCs w:val="18"/>
          <w:color w:val="auto"/>
        </w:rPr>
        <w:t>avid lesion(s) plus high urine catecholamine levels. Patients must have high</w:t>
      </w:r>
      <w:r>
        <w:rPr>
          <w:rFonts w:ascii="MS PGothic" w:cs="MS PGothic" w:eastAsia="MS PGothic" w:hAnsi="MS PGothic"/>
          <w:sz w:val="18"/>
          <w:szCs w:val="18"/>
          <w:color w:val="auto"/>
        </w:rPr>
        <w:t>‑</w:t>
      </w:r>
      <w:r>
        <w:rPr>
          <w:rFonts w:ascii="Arial" w:cs="Arial" w:eastAsia="Arial" w:hAnsi="Arial"/>
          <w:sz w:val="18"/>
          <w:szCs w:val="18"/>
          <w:color w:val="auto"/>
        </w:rPr>
        <w:t>risk NB (MYCN</w:t>
      </w:r>
      <w:r>
        <w:rPr>
          <w:rFonts w:ascii="MS PGothic" w:cs="MS PGothic" w:eastAsia="MS PGothic" w:hAnsi="MS PGothic"/>
          <w:sz w:val="18"/>
          <w:szCs w:val="18"/>
          <w:color w:val="auto"/>
        </w:rPr>
        <w:t>‑</w:t>
      </w:r>
      <w:r>
        <w:rPr>
          <w:rFonts w:ascii="Arial" w:cs="Arial" w:eastAsia="Arial" w:hAnsi="Arial"/>
          <w:sz w:val="18"/>
          <w:szCs w:val="18"/>
          <w:color w:val="auto"/>
        </w:rPr>
        <w:t>amplified Stage 2, 3, 4, and 4S of any age and MYCN</w:t>
      </w:r>
      <w:r>
        <w:rPr>
          <w:rFonts w:ascii="MS PGothic" w:cs="MS PGothic" w:eastAsia="MS PGothic" w:hAnsi="MS PGothic"/>
          <w:sz w:val="18"/>
          <w:szCs w:val="18"/>
          <w:color w:val="auto"/>
        </w:rPr>
        <w:t>‑</w:t>
      </w:r>
      <w:r>
        <w:rPr>
          <w:rFonts w:ascii="Arial" w:cs="Arial" w:eastAsia="Arial" w:hAnsi="Arial"/>
          <w:sz w:val="18"/>
          <w:szCs w:val="18"/>
          <w:color w:val="auto"/>
        </w:rPr>
        <w:t>nonamplified Stage 4 in patients above 18 months of age). Patients must be in first CR/VGPR.</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will mainly be children and adolescents.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20" w:firstLine="648"/>
        <w:spacing w:after="0" w:line="218" w:lineRule="exact"/>
        <w:rPr>
          <w:sz w:val="20"/>
          <w:szCs w:val="20"/>
          <w:color w:val="auto"/>
        </w:rPr>
      </w:pPr>
      <w:r>
        <w:rPr>
          <w:rFonts w:ascii="Arial" w:cs="Arial" w:eastAsia="Arial" w:hAnsi="Arial"/>
          <w:sz w:val="16"/>
          <w:szCs w:val="16"/>
          <w:color w:val="auto"/>
        </w:rPr>
        <w:t>The dosing and regimen for naxitamab and GM</w:t>
      </w:r>
      <w:r>
        <w:rPr>
          <w:rFonts w:ascii="MS PGothic" w:cs="MS PGothic" w:eastAsia="MS PGothic" w:hAnsi="MS PGothic"/>
          <w:sz w:val="16"/>
          <w:szCs w:val="16"/>
          <w:color w:val="auto"/>
        </w:rPr>
        <w:t>‑</w:t>
      </w:r>
      <w:r>
        <w:rPr>
          <w:rFonts w:ascii="Arial" w:cs="Arial" w:eastAsia="Arial" w:hAnsi="Arial"/>
          <w:sz w:val="16"/>
          <w:szCs w:val="16"/>
          <w:color w:val="auto"/>
        </w:rPr>
        <w:t>CSF is similar to the protocol in Study 12</w:t>
      </w:r>
      <w:r>
        <w:rPr>
          <w:rFonts w:ascii="MS PGothic" w:cs="MS PGothic" w:eastAsia="MS PGothic" w:hAnsi="MS PGothic"/>
          <w:sz w:val="16"/>
          <w:szCs w:val="16"/>
          <w:color w:val="auto"/>
        </w:rPr>
        <w:t>‑</w:t>
      </w:r>
      <w:r>
        <w:rPr>
          <w:rFonts w:ascii="Arial" w:cs="Arial" w:eastAsia="Arial" w:hAnsi="Arial"/>
          <w:sz w:val="16"/>
          <w:szCs w:val="16"/>
          <w:color w:val="auto"/>
        </w:rPr>
        <w:t>230. Naxitamab and GM</w:t>
      </w:r>
      <w:r>
        <w:rPr>
          <w:rFonts w:ascii="MS PGothic" w:cs="MS PGothic" w:eastAsia="MS PGothic" w:hAnsi="MS PGothic"/>
          <w:sz w:val="16"/>
          <w:szCs w:val="16"/>
          <w:color w:val="auto"/>
        </w:rPr>
        <w:t>‑</w:t>
      </w:r>
      <w:r>
        <w:rPr>
          <w:rFonts w:ascii="Arial" w:cs="Arial" w:eastAsia="Arial" w:hAnsi="Arial"/>
          <w:sz w:val="16"/>
          <w:szCs w:val="16"/>
          <w:color w:val="auto"/>
        </w:rPr>
        <w:t>CSF is given for five cycles and isotretinoin for six cycles. In addition to naxitamab and GM</w:t>
      </w:r>
      <w:r>
        <w:rPr>
          <w:rFonts w:ascii="MS PGothic" w:cs="MS PGothic" w:eastAsia="MS PGothic" w:hAnsi="MS PGothic"/>
          <w:sz w:val="16"/>
          <w:szCs w:val="16"/>
          <w:color w:val="auto"/>
        </w:rPr>
        <w:t>‑</w:t>
      </w:r>
      <w:r>
        <w:rPr>
          <w:rFonts w:ascii="Arial" w:cs="Arial" w:eastAsia="Arial" w:hAnsi="Arial"/>
          <w:sz w:val="16"/>
          <w:szCs w:val="16"/>
          <w:color w:val="auto"/>
        </w:rPr>
        <w:t>CSF, isotretinoin, which has been shown to decrease the risk of relapse in patients treated in CR, is administered at 160mg/m</w:t>
      </w:r>
      <w:r>
        <w:rPr>
          <w:rFonts w:ascii="Arial" w:cs="Arial" w:eastAsia="Arial" w:hAnsi="Arial"/>
          <w:sz w:val="7"/>
          <w:szCs w:val="7"/>
          <w:color w:val="auto"/>
        </w:rPr>
        <w:t>2</w:t>
      </w:r>
      <w:r>
        <w:rPr>
          <w:rFonts w:ascii="Arial" w:cs="Arial" w:eastAsia="Arial" w:hAnsi="Arial"/>
          <w:sz w:val="16"/>
          <w:szCs w:val="16"/>
          <w:color w:val="auto"/>
        </w:rPr>
        <w:t>/d, divided into two doses, for 14 days. This treatment can be repeated after a minimum rest period of 14 days, for a total of six cycles starting after two cycles of naxitamab and GM</w:t>
      </w:r>
      <w:r>
        <w:rPr>
          <w:rFonts w:ascii="MS PGothic" w:cs="MS PGothic" w:eastAsia="MS PGothic" w:hAnsi="MS PGothic"/>
          <w:sz w:val="16"/>
          <w:szCs w:val="16"/>
          <w:color w:val="auto"/>
        </w:rPr>
        <w:t>‑</w:t>
      </w:r>
      <w:r>
        <w:rPr>
          <w:rFonts w:ascii="Arial" w:cs="Arial" w:eastAsia="Arial" w:hAnsi="Arial"/>
          <w:sz w:val="16"/>
          <w:szCs w:val="16"/>
          <w:color w:val="auto"/>
        </w:rPr>
        <w:t>CSF unless HAHA develops and precludes timely administration of cycle 2 of naxitamab and GM</w:t>
      </w:r>
      <w:r>
        <w:rPr>
          <w:rFonts w:ascii="MS PGothic" w:cs="MS PGothic" w:eastAsia="MS PGothic" w:hAnsi="MS PGothic"/>
          <w:sz w:val="16"/>
          <w:szCs w:val="16"/>
          <w:color w:val="auto"/>
        </w:rPr>
        <w:t>‑</w:t>
      </w:r>
      <w:r>
        <w:rPr>
          <w:rFonts w:ascii="Arial" w:cs="Arial" w:eastAsia="Arial" w:hAnsi="Arial"/>
          <w:sz w:val="16"/>
          <w:szCs w:val="16"/>
          <w:color w:val="auto"/>
        </w:rPr>
        <w:t>CSF. The interval between the end of a treatment cycle of naxitamab and GM</w:t>
      </w:r>
      <w:r>
        <w:rPr>
          <w:rFonts w:ascii="MS PGothic" w:cs="MS PGothic" w:eastAsia="MS PGothic" w:hAnsi="MS PGothic"/>
          <w:sz w:val="16"/>
          <w:szCs w:val="16"/>
          <w:color w:val="auto"/>
        </w:rPr>
        <w:t>‑</w:t>
      </w:r>
      <w:r>
        <w:rPr>
          <w:rFonts w:ascii="Arial" w:cs="Arial" w:eastAsia="Arial" w:hAnsi="Arial"/>
          <w:sz w:val="16"/>
          <w:szCs w:val="16"/>
          <w:color w:val="auto"/>
        </w:rPr>
        <w:t>CSF and start of next treatment cycle is two to four weeks through cycle 4, then the interval is up to six to eight weeks until cycle 5.</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determine two years relapse</w:t>
      </w:r>
      <w:r>
        <w:rPr>
          <w:rFonts w:ascii="MS PGothic" w:cs="MS PGothic" w:eastAsia="MS PGothic" w:hAnsi="MS PGothic"/>
          <w:sz w:val="18"/>
          <w:szCs w:val="18"/>
          <w:color w:val="auto"/>
        </w:rPr>
        <w:t>‑</w:t>
      </w:r>
      <w:r>
        <w:rPr>
          <w:rFonts w:ascii="Arial" w:cs="Arial" w:eastAsia="Arial" w:hAnsi="Arial"/>
          <w:sz w:val="18"/>
          <w:szCs w:val="18"/>
          <w:color w:val="auto"/>
        </w:rPr>
        <w:t>free survival.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right="4860" w:firstLine="651"/>
        <w:spacing w:after="0" w:line="501"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To determine MRD by using BM specimens. </w:t>
      </w:r>
      <w:r>
        <w:rPr>
          <w:rFonts w:ascii="Arial" w:cs="Arial" w:eastAsia="Arial" w:hAnsi="Arial"/>
          <w:sz w:val="18"/>
          <w:szCs w:val="18"/>
          <w:u w:val="single" w:color="auto"/>
          <w:color w:val="auto"/>
        </w:rPr>
        <w:t>Safety Results</w:t>
      </w:r>
    </w:p>
    <w:p>
      <w:pPr>
        <w:ind w:right="280" w:firstLine="648"/>
        <w:spacing w:after="0" w:line="224" w:lineRule="exact"/>
        <w:rPr>
          <w:sz w:val="20"/>
          <w:szCs w:val="20"/>
          <w:color w:val="auto"/>
        </w:rPr>
      </w:pPr>
      <w:r>
        <w:rPr>
          <w:rFonts w:ascii="Arial" w:cs="Arial" w:eastAsia="Arial" w:hAnsi="Arial"/>
          <w:sz w:val="17"/>
          <w:szCs w:val="17"/>
          <w:color w:val="auto"/>
        </w:rPr>
        <w:t>One patient was reported with an unexpected neuropathic event. The patient suffered from short</w:t>
      </w:r>
      <w:r>
        <w:rPr>
          <w:rFonts w:ascii="MS PGothic" w:cs="MS PGothic" w:eastAsia="MS PGothic" w:hAnsi="MS PGothic"/>
          <w:sz w:val="17"/>
          <w:szCs w:val="17"/>
          <w:color w:val="auto"/>
        </w:rPr>
        <w:t>‑</w:t>
      </w:r>
      <w:r>
        <w:rPr>
          <w:rFonts w:ascii="Arial" w:cs="Arial" w:eastAsia="Arial" w:hAnsi="Arial"/>
          <w:sz w:val="17"/>
          <w:szCs w:val="17"/>
          <w:color w:val="auto"/>
        </w:rPr>
        <w:t>term lower limb paralysis that resolved upon hospitalization treatment. The investigator described the event as myelitis.</w:t>
      </w:r>
    </w:p>
    <w:p>
      <w:pPr>
        <w:spacing w:after="0" w:line="202" w:lineRule="exact"/>
        <w:rPr>
          <w:sz w:val="20"/>
          <w:szCs w:val="20"/>
          <w:color w:val="auto"/>
        </w:rPr>
      </w:pPr>
    </w:p>
    <w:p>
      <w:pPr>
        <w:ind w:left="980" w:right="300" w:hanging="323"/>
        <w:spacing w:after="0" w:line="223" w:lineRule="exact"/>
        <w:rPr>
          <w:sz w:val="20"/>
          <w:szCs w:val="20"/>
          <w:color w:val="auto"/>
        </w:rPr>
      </w:pPr>
      <w:r>
        <w:rPr>
          <w:rFonts w:ascii="Arial" w:cs="Arial" w:eastAsia="Arial" w:hAnsi="Arial"/>
          <w:sz w:val="18"/>
          <w:szCs w:val="18"/>
          <w:i w:val="1"/>
          <w:iCs w:val="1"/>
          <w:color w:val="auto"/>
        </w:rPr>
        <w:t>Study 11</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009: Phase 1 Study of Naxitamab Monoclonal Antibody in Patients with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 and GD2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Positive Tumors</w:t>
      </w:r>
    </w:p>
    <w:p>
      <w:pPr>
        <w:spacing w:after="0" w:line="203"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Study 11</w:t>
      </w:r>
      <w:r>
        <w:rPr>
          <w:rFonts w:ascii="MS PGothic" w:cs="MS PGothic" w:eastAsia="MS PGothic" w:hAnsi="MS PGothic"/>
          <w:sz w:val="16"/>
          <w:szCs w:val="16"/>
          <w:color w:val="auto"/>
        </w:rPr>
        <w:t>‑</w:t>
      </w:r>
      <w:r>
        <w:rPr>
          <w:rFonts w:ascii="Arial" w:cs="Arial" w:eastAsia="Arial" w:hAnsi="Arial"/>
          <w:sz w:val="16"/>
          <w:szCs w:val="16"/>
          <w:color w:val="auto"/>
        </w:rPr>
        <w:t>009 is a Phase 1 clinical dose escalation study with IV naxitamab given as monotherapy in patients with high</w:t>
      </w:r>
      <w:r>
        <w:rPr>
          <w:rFonts w:ascii="MS PGothic" w:cs="MS PGothic" w:eastAsia="MS PGothic" w:hAnsi="MS PGothic"/>
          <w:sz w:val="16"/>
          <w:szCs w:val="16"/>
          <w:color w:val="auto"/>
        </w:rPr>
        <w:t>‑</w:t>
      </w:r>
      <w:r>
        <w:rPr>
          <w:rFonts w:ascii="Arial" w:cs="Arial" w:eastAsia="Arial" w:hAnsi="Arial"/>
          <w:sz w:val="16"/>
          <w:szCs w:val="16"/>
          <w:color w:val="auto"/>
        </w:rPr>
        <w:t>risk NB or other GD2</w:t>
      </w:r>
      <w:r>
        <w:rPr>
          <w:rFonts w:ascii="MS PGothic" w:cs="MS PGothic" w:eastAsia="MS PGothic" w:hAnsi="MS PGothic"/>
          <w:sz w:val="16"/>
          <w:szCs w:val="16"/>
          <w:color w:val="auto"/>
        </w:rPr>
        <w:t>‑</w:t>
      </w:r>
      <w:r>
        <w:rPr>
          <w:rFonts w:ascii="Arial" w:cs="Arial" w:eastAsia="Arial" w:hAnsi="Arial"/>
          <w:sz w:val="16"/>
          <w:szCs w:val="16"/>
          <w:color w:val="auto"/>
        </w:rPr>
        <w:t>positive tumors. We intend to use the safety data from this study, when available, to support our planned BLA submission for naxitamab in pediatric R/R high</w:t>
      </w:r>
      <w:r>
        <w:rPr>
          <w:rFonts w:ascii="MS PGothic" w:cs="MS PGothic" w:eastAsia="MS PGothic" w:hAnsi="MS PGothic"/>
          <w:sz w:val="16"/>
          <w:szCs w:val="16"/>
          <w:color w:val="auto"/>
        </w:rPr>
        <w:t>‑</w:t>
      </w:r>
      <w:r>
        <w:rPr>
          <w:rFonts w:ascii="Arial" w:cs="Arial" w:eastAsia="Arial" w:hAnsi="Arial"/>
          <w:sz w:val="16"/>
          <w:szCs w:val="16"/>
          <w:color w:val="auto"/>
        </w:rPr>
        <w:t>risk NB. As of January 2019, 68 patients had been enrolled in the study, and we expect to enroll a total of 74 patients. The primary objective of the study is to establish the MTD of naxitamab. The secondary objectives are to study the pharmacokinetics, to assess activity of naxitamab against NB and other GD2</w:t>
      </w:r>
      <w:r>
        <w:rPr>
          <w:rFonts w:ascii="MS PGothic" w:cs="MS PGothic" w:eastAsia="MS PGothic" w:hAnsi="MS PGothic"/>
          <w:sz w:val="16"/>
          <w:szCs w:val="16"/>
          <w:color w:val="auto"/>
        </w:rPr>
        <w:t>‑</w:t>
      </w:r>
      <w:r>
        <w:rPr>
          <w:rFonts w:ascii="Arial" w:cs="Arial" w:eastAsia="Arial" w:hAnsi="Arial"/>
          <w:sz w:val="16"/>
          <w:szCs w:val="16"/>
          <w:color w:val="auto"/>
        </w:rPr>
        <w:t>positive tumors, and to quantitate pain during naxitamab treatment. As of October 2017, a MTD had not been reached in the study. Two patients experienced reversible DLT of elevated liver transaminases.</w:t>
      </w:r>
    </w:p>
    <w:p>
      <w:pPr>
        <w:spacing w:after="0" w:line="205" w:lineRule="exact"/>
        <w:rPr>
          <w:sz w:val="20"/>
          <w:szCs w:val="20"/>
          <w:color w:val="auto"/>
        </w:rPr>
      </w:pPr>
    </w:p>
    <w:p>
      <w:pPr>
        <w:ind w:left="980" w:hanging="323"/>
        <w:spacing w:after="0" w:line="223" w:lineRule="exact"/>
        <w:rPr>
          <w:sz w:val="20"/>
          <w:szCs w:val="20"/>
          <w:color w:val="auto"/>
        </w:rPr>
      </w:pPr>
      <w:r>
        <w:rPr>
          <w:rFonts w:ascii="Arial" w:cs="Arial" w:eastAsia="Arial" w:hAnsi="Arial"/>
          <w:sz w:val="18"/>
          <w:szCs w:val="18"/>
          <w:i w:val="1"/>
          <w:iCs w:val="1"/>
          <w:color w:val="auto"/>
        </w:rPr>
        <w:t>Study 17</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251: Pilot Study of Naxitamab, Irinotecan/Temozolomide and Sargramostim (HITS) Chemoimmunotherapy for High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Risk Neuroblastoma</w:t>
      </w:r>
    </w:p>
    <w:p>
      <w:pPr>
        <w:spacing w:after="0" w:line="203" w:lineRule="exact"/>
        <w:rPr>
          <w:sz w:val="20"/>
          <w:szCs w:val="20"/>
          <w:color w:val="auto"/>
        </w:rPr>
      </w:pPr>
    </w:p>
    <w:p>
      <w:pPr>
        <w:ind w:right="200" w:firstLine="648"/>
        <w:spacing w:after="0" w:line="221" w:lineRule="exact"/>
        <w:rPr>
          <w:sz w:val="20"/>
          <w:szCs w:val="20"/>
          <w:color w:val="auto"/>
        </w:rPr>
      </w:pPr>
      <w:r>
        <w:rPr>
          <w:rFonts w:ascii="Arial" w:cs="Arial" w:eastAsia="Arial" w:hAnsi="Arial"/>
          <w:sz w:val="16"/>
          <w:szCs w:val="16"/>
          <w:color w:val="auto"/>
        </w:rPr>
        <w:t>Study 17</w:t>
      </w:r>
      <w:r>
        <w:rPr>
          <w:rFonts w:ascii="MS PGothic" w:cs="MS PGothic" w:eastAsia="MS PGothic" w:hAnsi="MS PGothic"/>
          <w:sz w:val="16"/>
          <w:szCs w:val="16"/>
          <w:color w:val="auto"/>
        </w:rPr>
        <w:t>‑</w:t>
      </w:r>
      <w:r>
        <w:rPr>
          <w:rFonts w:ascii="Arial" w:cs="Arial" w:eastAsia="Arial" w:hAnsi="Arial"/>
          <w:sz w:val="16"/>
          <w:szCs w:val="16"/>
          <w:color w:val="auto"/>
        </w:rPr>
        <w:t>251 is a single arm pilot study in high</w:t>
      </w:r>
      <w:r>
        <w:rPr>
          <w:rFonts w:ascii="MS PGothic" w:cs="MS PGothic" w:eastAsia="MS PGothic" w:hAnsi="MS PGothic"/>
          <w:sz w:val="16"/>
          <w:szCs w:val="16"/>
          <w:color w:val="auto"/>
        </w:rPr>
        <w:t>‑</w:t>
      </w:r>
      <w:r>
        <w:rPr>
          <w:rFonts w:ascii="Arial" w:cs="Arial" w:eastAsia="Arial" w:hAnsi="Arial"/>
          <w:sz w:val="16"/>
          <w:szCs w:val="16"/>
          <w:color w:val="auto"/>
        </w:rPr>
        <w:t>risk R/R NB patients with soft tissue disease. Patients will be treated with naxitamab in combination with irinotecan, temozolomide and sargramostim, or HITS. As of January 2019, 22 patients have been enrolled in the study. If the regimen is found to be acceptable, then we plan to initiate a Phase 2/3 study.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In addition to satisfying certain other criteria, the patients must have a diagnosis of NB as defined by international criteria, including histopathology or bone marrow metastases plus high urine catecholamine levels.</w:t>
      </w:r>
    </w:p>
    <w:p>
      <w:pPr>
        <w:spacing w:after="0" w:line="14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High</w:t>
      </w:r>
      <w:r>
        <w:rPr>
          <w:rFonts w:ascii="MS PGothic" w:cs="MS PGothic" w:eastAsia="MS PGothic" w:hAnsi="MS PGothic"/>
          <w:sz w:val="18"/>
          <w:szCs w:val="18"/>
          <w:color w:val="auto"/>
        </w:rPr>
        <w:t>‑</w:t>
      </w:r>
      <w:r>
        <w:rPr>
          <w:rFonts w:ascii="Arial" w:cs="Arial" w:eastAsia="Arial" w:hAnsi="Arial"/>
          <w:sz w:val="18"/>
          <w:szCs w:val="18"/>
          <w:color w:val="auto"/>
        </w:rPr>
        <w:t>risk NB is defined as any of the following:</w:t>
      </w:r>
    </w:p>
    <w:p>
      <w:pPr>
        <w:spacing w:after="0" w:line="225" w:lineRule="exact"/>
        <w:rPr>
          <w:sz w:val="20"/>
          <w:szCs w:val="20"/>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Patients must have a history of tumor progression or relapse or failure to achieve CR following standard therapy.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Patients must also have evaluable disease documented after completion of prior systemic therapy.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17"/>
          <w:szCs w:val="17"/>
          <w:color w:val="auto"/>
        </w:rPr>
        <w:t>Each cycle consists of four doses of naxitamab, five doses each of irinotecan and temozolomide and five doses of sargramostim. Irinotecan 50mg/m</w:t>
      </w:r>
      <w:r>
        <w:rPr>
          <w:rFonts w:ascii="Arial" w:cs="Arial" w:eastAsia="Arial" w:hAnsi="Arial"/>
          <w:sz w:val="8"/>
          <w:szCs w:val="8"/>
          <w:color w:val="auto"/>
        </w:rPr>
        <w:t>2</w:t>
      </w:r>
      <w:r>
        <w:rPr>
          <w:rFonts w:ascii="Arial" w:cs="Arial" w:eastAsia="Arial" w:hAnsi="Arial"/>
          <w:sz w:val="17"/>
          <w:szCs w:val="17"/>
          <w:color w:val="auto"/>
        </w:rPr>
        <w:t>/day IV will be administered from day one through five concurrently with temozolomide 150mg/m</w:t>
      </w:r>
      <w:r>
        <w:rPr>
          <w:rFonts w:ascii="Arial" w:cs="Arial" w:eastAsia="Arial" w:hAnsi="Arial"/>
          <w:sz w:val="8"/>
          <w:szCs w:val="8"/>
          <w:color w:val="auto"/>
        </w:rPr>
        <w:t>2</w:t>
      </w:r>
      <w:r>
        <w:rPr>
          <w:rFonts w:ascii="Arial" w:cs="Arial" w:eastAsia="Arial" w:hAnsi="Arial"/>
          <w:sz w:val="17"/>
          <w:szCs w:val="17"/>
          <w:color w:val="auto"/>
        </w:rPr>
        <w:t>/day orally. Naxitamab 2.25mg/kg IV will be administered on days two, four, eight and 10.</w:t>
      </w:r>
    </w:p>
    <w:p>
      <w:pPr>
        <w:jc w:val="both"/>
        <w:ind w:right="480"/>
        <w:spacing w:after="0" w:line="302" w:lineRule="auto"/>
        <w:rPr>
          <w:sz w:val="20"/>
          <w:szCs w:val="20"/>
          <w:color w:val="auto"/>
        </w:rPr>
      </w:pPr>
      <w:r>
        <w:rPr>
          <w:rFonts w:ascii="Arial" w:cs="Arial" w:eastAsia="Arial" w:hAnsi="Arial"/>
          <w:sz w:val="16"/>
          <w:szCs w:val="16"/>
          <w:color w:val="auto"/>
        </w:rPr>
        <w:t>Sargramostim 250mg/m</w:t>
      </w:r>
      <w:r>
        <w:rPr>
          <w:rFonts w:ascii="Arial" w:cs="Arial" w:eastAsia="Arial" w:hAnsi="Arial"/>
          <w:sz w:val="7"/>
          <w:szCs w:val="7"/>
          <w:color w:val="auto"/>
        </w:rPr>
        <w:t>2</w:t>
      </w:r>
      <w:r>
        <w:rPr>
          <w:rFonts w:ascii="Arial" w:cs="Arial" w:eastAsia="Arial" w:hAnsi="Arial"/>
          <w:sz w:val="16"/>
          <w:szCs w:val="16"/>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evaluate the safety of HITS in patients with NB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right="3940" w:firstLine="651"/>
        <w:spacing w:after="0" w:line="501" w:lineRule="auto"/>
        <w:tabs>
          <w:tab w:leader="none" w:pos="9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To evaluate tumor responses to HITS in patients with NB </w:t>
      </w:r>
      <w:r>
        <w:rPr>
          <w:rFonts w:ascii="Arial" w:cs="Arial" w:eastAsia="Arial" w:hAnsi="Arial"/>
          <w:sz w:val="18"/>
          <w:szCs w:val="18"/>
          <w:u w:val="single" w:color="auto"/>
          <w:color w:val="auto"/>
        </w:rPr>
        <w:t>Safety results</w:t>
      </w:r>
    </w:p>
    <w:p>
      <w:pPr>
        <w:ind w:left="660"/>
        <w:spacing w:after="0"/>
        <w:rPr>
          <w:rFonts w:ascii="Arial" w:cs="Arial" w:eastAsia="Arial" w:hAnsi="Arial"/>
          <w:sz w:val="18"/>
          <w:szCs w:val="18"/>
          <w:color w:val="auto"/>
        </w:rPr>
      </w:pPr>
      <w:r>
        <w:rPr>
          <w:rFonts w:ascii="Arial" w:cs="Arial" w:eastAsia="Arial" w:hAnsi="Arial"/>
          <w:sz w:val="18"/>
          <w:szCs w:val="18"/>
          <w:color w:val="auto"/>
        </w:rPr>
        <w:t>Currently, no published safety data is available for this study.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29" w:lineRule="exact"/>
        <w:rPr>
          <w:sz w:val="20"/>
          <w:szCs w:val="20"/>
          <w:color w:val="auto"/>
        </w:rPr>
      </w:pPr>
    </w:p>
    <w:p>
      <w:pPr>
        <w:ind w:right="340" w:firstLine="648"/>
        <w:spacing w:after="0" w:line="220" w:lineRule="exact"/>
        <w:rPr>
          <w:sz w:val="20"/>
          <w:szCs w:val="20"/>
          <w:color w:val="auto"/>
        </w:rPr>
      </w:pPr>
      <w:r>
        <w:rPr>
          <w:rFonts w:ascii="Arial" w:cs="Arial" w:eastAsia="Arial" w:hAnsi="Arial"/>
          <w:sz w:val="18"/>
          <w:szCs w:val="18"/>
          <w:color w:val="auto"/>
        </w:rPr>
        <w:t>Naxitamab is currently being evaluated in an ongoing Phase 2 clinical study (Study 15</w:t>
      </w:r>
      <w:r>
        <w:rPr>
          <w:rFonts w:ascii="MS PGothic" w:cs="MS PGothic" w:eastAsia="MS PGothic" w:hAnsi="MS PGothic"/>
          <w:sz w:val="18"/>
          <w:szCs w:val="18"/>
          <w:color w:val="auto"/>
        </w:rPr>
        <w:t>‑</w:t>
      </w:r>
      <w:r>
        <w:rPr>
          <w:rFonts w:ascii="Arial" w:cs="Arial" w:eastAsia="Arial" w:hAnsi="Arial"/>
          <w:sz w:val="18"/>
          <w:szCs w:val="18"/>
          <w:color w:val="auto"/>
        </w:rPr>
        <w:t>096) for the treatment of patients with relapsed osteosarcoma that have been rendered surgically free of evident disease. As of January 2019, 25 patients had been enrolled and we expect to enroll a total of 39 patients. The trial is designed to distinguish between 12</w:t>
      </w:r>
      <w:r>
        <w:rPr>
          <w:rFonts w:ascii="MS PGothic" w:cs="MS PGothic" w:eastAsia="MS PGothic" w:hAnsi="MS PGothic"/>
          <w:sz w:val="18"/>
          <w:szCs w:val="18"/>
          <w:color w:val="auto"/>
        </w:rPr>
        <w:t>‑</w:t>
      </w:r>
      <w:r>
        <w:rPr>
          <w:rFonts w:ascii="Arial" w:cs="Arial" w:eastAsia="Arial" w:hAnsi="Arial"/>
          <w:sz w:val="18"/>
          <w:szCs w:val="18"/>
          <w:color w:val="auto"/>
        </w:rPr>
        <w:t>month EFS of 30% versus 50%.</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6"/>
          <w:szCs w:val="16"/>
          <w:color w:val="auto"/>
        </w:rPr>
        <w:t>Current treatment options for front</w:t>
      </w:r>
      <w:r>
        <w:rPr>
          <w:rFonts w:ascii="MS PGothic" w:cs="MS PGothic" w:eastAsia="MS PGothic" w:hAnsi="MS PGothic"/>
          <w:sz w:val="16"/>
          <w:szCs w:val="16"/>
          <w:color w:val="auto"/>
        </w:rPr>
        <w:t>‑</w:t>
      </w:r>
      <w:r>
        <w:rPr>
          <w:rFonts w:ascii="Arial" w:cs="Arial" w:eastAsia="Arial" w:hAnsi="Arial"/>
          <w:sz w:val="16"/>
          <w:szCs w:val="16"/>
          <w:color w:val="auto"/>
        </w:rPr>
        <w: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w:t>
      </w:r>
      <w:r>
        <w:rPr>
          <w:rFonts w:ascii="MS PGothic" w:cs="MS PGothic" w:eastAsia="MS PGothic" w:hAnsi="MS PGothic"/>
          <w:sz w:val="16"/>
          <w:szCs w:val="16"/>
          <w:color w:val="auto"/>
        </w:rPr>
        <w:t>‑</w:t>
      </w:r>
      <w:r>
        <w:rPr>
          <w:rFonts w:ascii="Arial" w:cs="Arial" w:eastAsia="Arial" w:hAnsi="Arial"/>
          <w:sz w:val="16"/>
          <w:szCs w:val="16"/>
          <w:color w:val="auto"/>
        </w:rPr>
        <w:t>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w:t>
      </w:r>
      <w:r>
        <w:rPr>
          <w:rFonts w:ascii="MS PGothic" w:cs="MS PGothic" w:eastAsia="MS PGothic" w:hAnsi="MS PGothic"/>
          <w:sz w:val="16"/>
          <w:szCs w:val="16"/>
          <w:color w:val="auto"/>
        </w:rPr>
        <w:t>‑</w:t>
      </w:r>
      <w:r>
        <w:rPr>
          <w:rFonts w:ascii="Arial" w:cs="Arial" w:eastAsia="Arial" w:hAnsi="Arial"/>
          <w:sz w:val="16"/>
          <w:szCs w:val="16"/>
          <w:color w:val="auto"/>
        </w:rPr>
        <w:t>intensification of existing agents or addition of other conventional chemotherapeutic agents as well as biological agents, have not achieved long</w:t>
      </w:r>
      <w:r>
        <w:rPr>
          <w:rFonts w:ascii="MS PGothic" w:cs="MS PGothic" w:eastAsia="MS PGothic" w:hAnsi="MS PGothic"/>
          <w:sz w:val="16"/>
          <w:szCs w:val="16"/>
          <w:color w:val="auto"/>
        </w:rPr>
        <w:t>‑</w:t>
      </w:r>
      <w:r>
        <w:rPr>
          <w:rFonts w:ascii="Arial" w:cs="Arial" w:eastAsia="Arial" w:hAnsi="Arial"/>
          <w:sz w:val="16"/>
          <w:szCs w:val="16"/>
          <w:color w:val="auto"/>
        </w:rPr>
        <w:t>term benefit in patients with relapsed osteosarcoma. We believe that at present, there are no novel compounds that have demonstrated activity in relapsed osteosarcoma and few therapeutic options exist for patients with relapsed disease.</w:t>
      </w:r>
    </w:p>
    <w:p>
      <w:pPr>
        <w:spacing w:after="0" w:line="207" w:lineRule="exact"/>
        <w:rPr>
          <w:sz w:val="20"/>
          <w:szCs w:val="20"/>
          <w:color w:val="auto"/>
        </w:rPr>
      </w:pPr>
    </w:p>
    <w:p>
      <w:pPr>
        <w:ind w:right="159" w:firstLine="648"/>
        <w:spacing w:after="0" w:line="219" w:lineRule="exact"/>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w:t>
      </w:r>
      <w:r>
        <w:rPr>
          <w:rFonts w:ascii="MS PGothic" w:cs="MS PGothic" w:eastAsia="MS PGothic" w:hAnsi="MS PGothic"/>
          <w:sz w:val="18"/>
          <w:szCs w:val="18"/>
          <w:color w:val="auto"/>
        </w:rPr>
        <w:t>‑</w:t>
      </w:r>
      <w:r>
        <w:rPr>
          <w:rFonts w:ascii="Arial" w:cs="Arial" w:eastAsia="Arial" w:hAnsi="Arial"/>
          <w:sz w:val="18"/>
          <w:szCs w:val="18"/>
          <w:color w:val="auto"/>
        </w:rPr>
        <w:t>year OS and EFS rates were 32% and 18% for second recurrence, 26% and 0% for third recurrence, 28% and 13% for fourth recurrence, and 53% and 0% for fifth recurrence, respectively, in which a renewed surgical remission was achieved.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179" w:firstLine="648"/>
        <w:spacing w:after="0" w:line="219" w:lineRule="exact"/>
        <w:rPr>
          <w:sz w:val="20"/>
          <w:szCs w:val="20"/>
          <w:color w:val="auto"/>
        </w:rPr>
      </w:pPr>
      <w:r>
        <w:rPr>
          <w:rFonts w:ascii="Arial" w:cs="Arial" w:eastAsia="Arial" w:hAnsi="Arial"/>
          <w:sz w:val="17"/>
          <w:szCs w:val="17"/>
          <w:color w:val="auto"/>
        </w:rPr>
        <w:t>Currently, naxitamab is being evaluated in an ongoing Phase 2 clinical trial (Study 15</w:t>
      </w:r>
      <w:r>
        <w:rPr>
          <w:rFonts w:ascii="MS PGothic" w:cs="MS PGothic" w:eastAsia="MS PGothic" w:hAnsi="MS PGothic"/>
          <w:sz w:val="17"/>
          <w:szCs w:val="17"/>
          <w:color w:val="auto"/>
        </w:rPr>
        <w:t>‑</w:t>
      </w:r>
      <w:r>
        <w:rPr>
          <w:rFonts w:ascii="Arial" w:cs="Arial" w:eastAsia="Arial" w:hAnsi="Arial"/>
          <w:sz w:val="17"/>
          <w:szCs w:val="17"/>
          <w:color w:val="auto"/>
        </w:rPr>
        <w:t>096) for the treatment of relapsed osteosarcoma. This Phase 2 clinical trial is designed to assess the efficacy of naxitamab when combined with GM</w:t>
      </w:r>
      <w:r>
        <w:rPr>
          <w:rFonts w:ascii="MS PGothic" w:cs="MS PGothic" w:eastAsia="MS PGothic" w:hAnsi="MS PGothic"/>
          <w:sz w:val="17"/>
          <w:szCs w:val="17"/>
          <w:color w:val="auto"/>
        </w:rPr>
        <w:t>‑</w:t>
      </w:r>
      <w:r>
        <w:rPr>
          <w:rFonts w:ascii="Arial" w:cs="Arial" w:eastAsia="Arial" w:hAnsi="Arial"/>
          <w:sz w:val="17"/>
          <w:szCs w:val="17"/>
          <w:color w:val="auto"/>
        </w:rPr>
        <w:t>CSF in patients with relapsed osteosarcoma who have been rendered surgically free of evident disease. The study commenced in July 2015, and as of January 2019, 25 patients had been enrolled. We expect to recruit a total of 39 patients. This trial is designed to distinguish between a 12</w:t>
      </w:r>
      <w:r>
        <w:rPr>
          <w:rFonts w:ascii="MS PGothic" w:cs="MS PGothic" w:eastAsia="MS PGothic" w:hAnsi="MS PGothic"/>
          <w:sz w:val="17"/>
          <w:szCs w:val="17"/>
          <w:color w:val="auto"/>
        </w:rPr>
        <w:t>‑</w:t>
      </w:r>
      <w:r>
        <w:rPr>
          <w:rFonts w:ascii="Arial" w:cs="Arial" w:eastAsia="Arial" w:hAnsi="Arial"/>
          <w:sz w:val="17"/>
          <w:szCs w:val="17"/>
          <w:color w:val="auto"/>
        </w:rPr>
        <w:t>month EFS of 30% versus 50%.</w:t>
      </w:r>
    </w:p>
    <w:p>
      <w:pPr>
        <w:spacing w:after="0" w:line="205" w:lineRule="exact"/>
        <w:rPr>
          <w:sz w:val="20"/>
          <w:szCs w:val="20"/>
          <w:color w:val="auto"/>
        </w:rPr>
      </w:pPr>
    </w:p>
    <w:p>
      <w:pPr>
        <w:ind w:left="980" w:right="679" w:hanging="323"/>
        <w:spacing w:after="0" w:line="224" w:lineRule="exact"/>
        <w:rPr>
          <w:sz w:val="20"/>
          <w:szCs w:val="20"/>
          <w:color w:val="auto"/>
        </w:rPr>
      </w:pPr>
      <w:r>
        <w:rPr>
          <w:rFonts w:ascii="Arial" w:cs="Arial" w:eastAsia="Arial" w:hAnsi="Arial"/>
          <w:sz w:val="17"/>
          <w:szCs w:val="17"/>
          <w:i w:val="1"/>
          <w:iCs w:val="1"/>
          <w:color w:val="auto"/>
        </w:rPr>
        <w:t>Study 15</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096: A Phase 2 Study of Monoclonal Antibody Naxitamab with Granulocyte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Macrophage Colony Stimulating Factor (GM</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CSF) in the Treatment of Recurrent Osteosarcoma</w:t>
      </w:r>
    </w:p>
    <w:p>
      <w:pPr>
        <w:spacing w:after="0" w:line="202" w:lineRule="exact"/>
        <w:rPr>
          <w:sz w:val="20"/>
          <w:szCs w:val="20"/>
          <w:color w:val="auto"/>
        </w:rPr>
      </w:pPr>
    </w:p>
    <w:p>
      <w:pPr>
        <w:jc w:val="both"/>
        <w:ind w:right="59" w:firstLine="648"/>
        <w:spacing w:after="0" w:line="224" w:lineRule="exact"/>
        <w:rPr>
          <w:sz w:val="20"/>
          <w:szCs w:val="20"/>
          <w:color w:val="auto"/>
        </w:rPr>
      </w:pPr>
      <w:r>
        <w:rPr>
          <w:rFonts w:ascii="Arial" w:cs="Arial" w:eastAsia="Arial" w:hAnsi="Arial"/>
          <w:sz w:val="16"/>
          <w:szCs w:val="16"/>
          <w:color w:val="auto"/>
        </w:rPr>
        <w:t>Study 15</w:t>
      </w:r>
      <w:r>
        <w:rPr>
          <w:rFonts w:ascii="MS PGothic" w:cs="MS PGothic" w:eastAsia="MS PGothic" w:hAnsi="MS PGothic"/>
          <w:sz w:val="16"/>
          <w:szCs w:val="16"/>
          <w:color w:val="auto"/>
        </w:rPr>
        <w:t>‑</w:t>
      </w:r>
      <w:r>
        <w:rPr>
          <w:rFonts w:ascii="Arial" w:cs="Arial" w:eastAsia="Arial" w:hAnsi="Arial"/>
          <w:sz w:val="16"/>
          <w:szCs w:val="16"/>
          <w:color w:val="auto"/>
        </w:rPr>
        <w:t>096 is a Phase 2 clinical trial to assess the efficacy of the humanized anti</w:t>
      </w:r>
      <w:r>
        <w:rPr>
          <w:rFonts w:ascii="MS PGothic" w:cs="MS PGothic" w:eastAsia="MS PGothic" w:hAnsi="MS PGothic"/>
          <w:sz w:val="16"/>
          <w:szCs w:val="16"/>
          <w:color w:val="auto"/>
        </w:rPr>
        <w:t>‑</w:t>
      </w:r>
      <w:r>
        <w:rPr>
          <w:rFonts w:ascii="Arial" w:cs="Arial" w:eastAsia="Arial" w:hAnsi="Arial"/>
          <w:sz w:val="16"/>
          <w:szCs w:val="16"/>
          <w:color w:val="auto"/>
        </w:rPr>
        <w:t>GD2 antibody, naxitamab, when combined with GM</w:t>
      </w:r>
      <w:r>
        <w:rPr>
          <w:rFonts w:ascii="MS PGothic" w:cs="MS PGothic" w:eastAsia="MS PGothic" w:hAnsi="MS PGothic"/>
          <w:sz w:val="16"/>
          <w:szCs w:val="16"/>
          <w:color w:val="auto"/>
        </w:rPr>
        <w:t>‑</w:t>
      </w:r>
      <w:r>
        <w:rPr>
          <w:rFonts w:ascii="Arial" w:cs="Arial" w:eastAsia="Arial" w:hAnsi="Arial"/>
          <w:sz w:val="16"/>
          <w:szCs w:val="16"/>
          <w:color w:val="auto"/>
        </w:rPr>
        <w:t>CSF, in patients with recurrent osteosarcoma who have been rendered surgically free of evident disease.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39" w:firstLine="648"/>
        <w:spacing w:after="0" w:line="342" w:lineRule="auto"/>
        <w:rPr>
          <w:sz w:val="20"/>
          <w:szCs w:val="20"/>
          <w:color w:val="auto"/>
        </w:rPr>
      </w:pPr>
      <w:r>
        <w:rPr>
          <w:rFonts w:ascii="Arial" w:cs="Arial" w:eastAsia="Arial" w:hAnsi="Arial"/>
          <w:sz w:val="16"/>
          <w:szCs w:val="16"/>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9" w:firstLine="648"/>
        <w:spacing w:after="0" w:line="219" w:lineRule="exact"/>
        <w:rPr>
          <w:sz w:val="20"/>
          <w:szCs w:val="20"/>
          <w:color w:val="auto"/>
        </w:rPr>
      </w:pPr>
      <w:r>
        <w:rPr>
          <w:rFonts w:ascii="Arial" w:cs="Arial" w:eastAsia="Arial" w:hAnsi="Arial"/>
          <w:sz w:val="17"/>
          <w:szCs w:val="17"/>
          <w:color w:val="auto"/>
        </w:rPr>
        <w:t>Each cycle of therapy is 10 days. The treatment protocol defined one cycle of treatment with IV naxitamab at a dose of 2.4 mg/kg/dose for three days (days one, three, and five) in the presence of subcutaneous GM</w:t>
      </w:r>
      <w:r>
        <w:rPr>
          <w:rFonts w:ascii="MS PGothic" w:cs="MS PGothic" w:eastAsia="MS PGothic" w:hAnsi="MS PGothic"/>
          <w:sz w:val="17"/>
          <w:szCs w:val="17"/>
          <w:color w:val="auto"/>
        </w:rPr>
        <w:t>‑</w:t>
      </w:r>
      <w:r>
        <w:rPr>
          <w:rFonts w:ascii="Arial" w:cs="Arial" w:eastAsia="Arial" w:hAnsi="Arial"/>
          <w:sz w:val="17"/>
          <w:szCs w:val="17"/>
          <w:color w:val="auto"/>
        </w:rPr>
        <w:t>CSF (administered on day minus four before dose one of naxitamab). These three doses of naxitamab with GM</w:t>
      </w:r>
      <w:r>
        <w:rPr>
          <w:rFonts w:ascii="MS PGothic" w:cs="MS PGothic" w:eastAsia="MS PGothic" w:hAnsi="MS PGothic"/>
          <w:sz w:val="17"/>
          <w:szCs w:val="17"/>
          <w:color w:val="auto"/>
        </w:rPr>
        <w:t>‑</w:t>
      </w:r>
      <w:r>
        <w:rPr>
          <w:rFonts w:ascii="Arial" w:cs="Arial" w:eastAsia="Arial" w:hAnsi="Arial"/>
          <w:sz w:val="17"/>
          <w:szCs w:val="17"/>
          <w:color w:val="auto"/>
        </w:rPr>
        <w:t>CSF administered subcutaneously before dose one of naxitamab constitute a treatment cycle. Cycles can be repeated at two to four week intervals between first days of naxitamab, through five cycles. A maximum of five cycles were administered on protocol. No simultaneous anti</w:t>
      </w:r>
      <w:r>
        <w:rPr>
          <w:rFonts w:ascii="MS PGothic" w:cs="MS PGothic" w:eastAsia="MS PGothic" w:hAnsi="MS PGothic"/>
          <w:sz w:val="17"/>
          <w:szCs w:val="17"/>
          <w:color w:val="auto"/>
        </w:rPr>
        <w:t>‑</w:t>
      </w:r>
      <w:r>
        <w:rPr>
          <w:rFonts w:ascii="Arial" w:cs="Arial" w:eastAsia="Arial" w:hAnsi="Arial"/>
          <w:sz w:val="17"/>
          <w:szCs w:val="17"/>
          <w:color w:val="auto"/>
        </w:rPr>
        <w:t>cancer therapy was permitted while on study.</w:t>
      </w:r>
    </w:p>
    <w:p>
      <w:pPr>
        <w:spacing w:after="0" w:line="203" w:lineRule="exact"/>
        <w:rPr>
          <w:sz w:val="20"/>
          <w:szCs w:val="20"/>
          <w:color w:val="auto"/>
        </w:rPr>
      </w:pPr>
    </w:p>
    <w:p>
      <w:pPr>
        <w:ind w:right="79" w:firstLine="648"/>
        <w:spacing w:after="0" w:line="223" w:lineRule="exact"/>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w:t>
      </w:r>
      <w:r>
        <w:rPr>
          <w:rFonts w:ascii="MS PGothic" w:cs="MS PGothic" w:eastAsia="MS PGothic" w:hAnsi="MS PGothic"/>
          <w:sz w:val="18"/>
          <w:szCs w:val="18"/>
          <w:color w:val="auto"/>
        </w:rPr>
        <w:t>‑</w:t>
      </w:r>
      <w:r>
        <w:rPr>
          <w:rFonts w:ascii="Arial" w:cs="Arial" w:eastAsia="Arial" w:hAnsi="Arial"/>
          <w:sz w:val="18"/>
          <w:szCs w:val="18"/>
          <w:color w:val="auto"/>
        </w:rPr>
        <w:t>CSF.</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Omburtamab is a novel murine monoclonal antibody currently designed for compartmental immunotherapy, for</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example in the CNS. Omburtamab targets B7</w:t>
      </w:r>
      <w:r>
        <w:rPr>
          <w:rFonts w:ascii="MS PGothic" w:cs="MS PGothic" w:eastAsia="MS PGothic" w:hAnsi="MS PGothic"/>
          <w:sz w:val="16"/>
          <w:szCs w:val="16"/>
          <w:color w:val="auto"/>
        </w:rPr>
        <w:t>‑</w:t>
      </w:r>
      <w:r>
        <w:rPr>
          <w:rFonts w:ascii="Arial" w:cs="Arial" w:eastAsia="Arial" w:hAnsi="Arial"/>
          <w:sz w:val="16"/>
          <w:szCs w:val="16"/>
          <w:color w:val="auto"/>
        </w:rPr>
        <w:t>H3, an immune checkpoint molecule that is widely expressed in tumor cells of</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several types of cancers. We have radiolabeled omburtamab with either Iodine</w:t>
      </w:r>
      <w:r>
        <w:rPr>
          <w:rFonts w:ascii="MS PGothic" w:cs="MS PGothic" w:eastAsia="MS PGothic" w:hAnsi="MS PGothic"/>
          <w:sz w:val="17"/>
          <w:szCs w:val="17"/>
          <w:color w:val="auto"/>
        </w:rPr>
        <w:t>‑</w:t>
      </w:r>
      <w:r>
        <w:rPr>
          <w:rFonts w:ascii="Arial" w:cs="Arial" w:eastAsia="Arial" w:hAnsi="Arial"/>
          <w:sz w:val="17"/>
          <w:szCs w:val="17"/>
          <w:color w:val="auto"/>
        </w:rPr>
        <w:t>131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or Iodine</w:t>
      </w:r>
      <w:r>
        <w:rPr>
          <w:rFonts w:ascii="MS PGothic" w:cs="MS PGothic" w:eastAsia="MS PGothic" w:hAnsi="MS PGothic"/>
          <w:sz w:val="17"/>
          <w:szCs w:val="17"/>
          <w:color w:val="auto"/>
        </w:rPr>
        <w:t>‑</w:t>
      </w:r>
      <w:r>
        <w:rPr>
          <w:rFonts w:ascii="Arial" w:cs="Arial" w:eastAsia="Arial" w:hAnsi="Arial"/>
          <w:sz w:val="17"/>
          <w:szCs w:val="17"/>
          <w:color w:val="auto"/>
        </w:rPr>
        <w:t>124</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is currently in pivotal stage development for the treatment of pediatric CNS/LM from</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NB, and was granted BTD in this indication in 2017. In 2016,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was granted ODD and RPDD,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treatment of NB. The RPDD qualifies us for receipt of a PRV upon approval of omburtamab for treatment of NB,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approval occurs. An analysis of 93 treated patients treated through August 2017 demonstrated median OS of 47 months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(including a five</w:t>
      </w:r>
      <w:r>
        <w:rPr>
          <w:rFonts w:ascii="MS PGothic" w:cs="MS PGothic" w:eastAsia="MS PGothic" w:hAnsi="MS PGothic"/>
          <w:sz w:val="16"/>
          <w:szCs w:val="16"/>
          <w:color w:val="auto"/>
        </w:rPr>
        <w:t>‑</w:t>
      </w:r>
      <w:r>
        <w:rPr>
          <w:rFonts w:ascii="Arial" w:cs="Arial" w:eastAsia="Arial" w:hAnsi="Arial"/>
          <w:sz w:val="16"/>
          <w:szCs w:val="16"/>
          <w:color w:val="auto"/>
        </w:rPr>
        <w:t>year median OS of approximately 43%), as compared to historical median OS of approximately six months.</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We expect to submit the BLA for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for treatment of patients with R/R NB who have CNS/LM from NB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In addition, radiolabeled omburtamab is in Phase 1/2 clinical development for two additional rare pediatric cancers,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DSRCT and DIPG. The most recent set of DSRCT data was presented in April 2018. We believe that we are well positioned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submit sBLAs in each of these two indications, assuming positive results in these Phase 1/2 clinical trials after approval of</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our BLA for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for CNS/LM. Further, we believe that omburtamab has the potential to address several other</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tumors in children and adults that express B7</w:t>
      </w:r>
      <w:r>
        <w:rPr>
          <w:rFonts w:ascii="MS PGothic" w:cs="MS PGothic" w:eastAsia="MS PGothic" w:hAnsi="MS PGothic"/>
          <w:sz w:val="17"/>
          <w:szCs w:val="17"/>
          <w:color w:val="auto"/>
        </w:rPr>
        <w:t>‑</w:t>
      </w:r>
      <w:r>
        <w:rPr>
          <w:rFonts w:ascii="Arial" w:cs="Arial" w:eastAsia="Arial" w:hAnsi="Arial"/>
          <w:sz w:val="17"/>
          <w:szCs w:val="17"/>
          <w:color w:val="auto"/>
        </w:rPr>
        <w:t>H3 such as prostate, ovarian, breast, colon, renal, non</w:t>
      </w:r>
      <w:r>
        <w:rPr>
          <w:rFonts w:ascii="MS PGothic" w:cs="MS PGothic" w:eastAsia="MS PGothic" w:hAnsi="MS PGothic"/>
          <w:sz w:val="17"/>
          <w:szCs w:val="17"/>
          <w:color w:val="auto"/>
        </w:rPr>
        <w:t>‑</w:t>
      </w:r>
      <w:r>
        <w:rPr>
          <w:rFonts w:ascii="Arial" w:cs="Arial" w:eastAsia="Arial" w:hAnsi="Arial"/>
          <w:sz w:val="17"/>
          <w:szCs w:val="17"/>
          <w:color w:val="auto"/>
        </w:rPr>
        <w:t>small cell lung,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pancreatic, head and neck cancers, as well as melanoma, glioblastoma, and NB and other small round blue cell tumors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childhood.</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B7</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H3 Overview</w:t>
      </w:r>
    </w:p>
    <w:p>
      <w:pPr>
        <w:spacing w:after="0" w:line="225"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B7</w:t>
      </w:r>
      <w:r>
        <w:rPr>
          <w:rFonts w:ascii="MS PGothic" w:cs="MS PGothic" w:eastAsia="MS PGothic" w:hAnsi="MS PGothic"/>
          <w:sz w:val="17"/>
          <w:szCs w:val="17"/>
          <w:color w:val="auto"/>
        </w:rPr>
        <w:t>‑</w:t>
      </w:r>
      <w:r>
        <w:rPr>
          <w:rFonts w:ascii="Arial" w:cs="Arial" w:eastAsia="Arial" w:hAnsi="Arial"/>
          <w:sz w:val="17"/>
          <w:szCs w:val="17"/>
          <w:color w:val="auto"/>
        </w:rPr>
        <w:t>H3 is a member of the B7 family of immune</w:t>
      </w:r>
      <w:r>
        <w:rPr>
          <w:rFonts w:ascii="MS PGothic" w:cs="MS PGothic" w:eastAsia="MS PGothic" w:hAnsi="MS PGothic"/>
          <w:sz w:val="17"/>
          <w:szCs w:val="17"/>
          <w:color w:val="auto"/>
        </w:rPr>
        <w:t>‑</w:t>
      </w:r>
      <w:r>
        <w:rPr>
          <w:rFonts w:ascii="Arial" w:cs="Arial" w:eastAsia="Arial" w:hAnsi="Arial"/>
          <w:sz w:val="17"/>
          <w:szCs w:val="17"/>
          <w:color w:val="auto"/>
        </w:rPr>
        <w:t>regulatory ligands. The family includes B7</w:t>
      </w:r>
      <w:r>
        <w:rPr>
          <w:rFonts w:ascii="MS PGothic" w:cs="MS PGothic" w:eastAsia="MS PGothic" w:hAnsi="MS PGothic"/>
          <w:sz w:val="17"/>
          <w:szCs w:val="17"/>
          <w:color w:val="auto"/>
        </w:rPr>
        <w:t>‑</w:t>
      </w:r>
      <w:r>
        <w:rPr>
          <w:rFonts w:ascii="Arial" w:cs="Arial" w:eastAsia="Arial" w:hAnsi="Arial"/>
          <w:sz w:val="17"/>
          <w:szCs w:val="17"/>
          <w:color w:val="auto"/>
        </w:rPr>
        <w:t>1, B7</w:t>
      </w:r>
      <w:r>
        <w:rPr>
          <w:rFonts w:ascii="MS PGothic" w:cs="MS PGothic" w:eastAsia="MS PGothic" w:hAnsi="MS PGothic"/>
          <w:sz w:val="17"/>
          <w:szCs w:val="17"/>
          <w:color w:val="auto"/>
        </w:rPr>
        <w:t>‑</w:t>
      </w:r>
      <w:r>
        <w:rPr>
          <w:rFonts w:ascii="Arial" w:cs="Arial" w:eastAsia="Arial" w:hAnsi="Arial"/>
          <w:sz w:val="17"/>
          <w:szCs w:val="17"/>
          <w:color w:val="auto"/>
        </w:rPr>
        <w:t>2, PD</w:t>
      </w:r>
      <w:r>
        <w:rPr>
          <w:rFonts w:ascii="MS PGothic" w:cs="MS PGothic" w:eastAsia="MS PGothic" w:hAnsi="MS PGothic"/>
          <w:sz w:val="17"/>
          <w:szCs w:val="17"/>
          <w:color w:val="auto"/>
        </w:rPr>
        <w:t>‑</w:t>
      </w:r>
      <w:r>
        <w:rPr>
          <w:rFonts w:ascii="Arial" w:cs="Arial" w:eastAsia="Arial" w:hAnsi="Arial"/>
          <w:sz w:val="17"/>
          <w:szCs w:val="17"/>
          <w:color w:val="auto"/>
        </w:rPr>
        <w:t>L1,</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L2, B7</w:t>
      </w:r>
      <w:r>
        <w:rPr>
          <w:rFonts w:ascii="MS PGothic" w:cs="MS PGothic" w:eastAsia="MS PGothic" w:hAnsi="MS PGothic"/>
          <w:sz w:val="17"/>
          <w:szCs w:val="17"/>
          <w:color w:val="auto"/>
        </w:rPr>
        <w:t>‑</w:t>
      </w:r>
      <w:r>
        <w:rPr>
          <w:rFonts w:ascii="Arial" w:cs="Arial" w:eastAsia="Arial" w:hAnsi="Arial"/>
          <w:sz w:val="17"/>
          <w:szCs w:val="17"/>
          <w:color w:val="auto"/>
        </w:rPr>
        <w:t>H3, B7</w:t>
      </w:r>
      <w:r>
        <w:rPr>
          <w:rFonts w:ascii="MS PGothic" w:cs="MS PGothic" w:eastAsia="MS PGothic" w:hAnsi="MS PGothic"/>
          <w:sz w:val="17"/>
          <w:szCs w:val="17"/>
          <w:color w:val="auto"/>
        </w:rPr>
        <w:t>‑</w:t>
      </w:r>
      <w:r>
        <w:rPr>
          <w:rFonts w:ascii="Arial" w:cs="Arial" w:eastAsia="Arial" w:hAnsi="Arial"/>
          <w:sz w:val="17"/>
          <w:szCs w:val="17"/>
          <w:color w:val="auto"/>
        </w:rPr>
        <w:t>H4, B7</w:t>
      </w:r>
      <w:r>
        <w:rPr>
          <w:rFonts w:ascii="MS PGothic" w:cs="MS PGothic" w:eastAsia="MS PGothic" w:hAnsi="MS PGothic"/>
          <w:sz w:val="17"/>
          <w:szCs w:val="17"/>
          <w:color w:val="auto"/>
        </w:rPr>
        <w:t>‑</w:t>
      </w:r>
      <w:r>
        <w:rPr>
          <w:rFonts w:ascii="Arial" w:cs="Arial" w:eastAsia="Arial" w:hAnsi="Arial"/>
          <w:sz w:val="17"/>
          <w:szCs w:val="17"/>
          <w:color w:val="auto"/>
        </w:rPr>
        <w:t>H6 and their ligands on T</w:t>
      </w:r>
      <w:r>
        <w:rPr>
          <w:rFonts w:ascii="MS PGothic" w:cs="MS PGothic" w:eastAsia="MS PGothic" w:hAnsi="MS PGothic"/>
          <w:sz w:val="17"/>
          <w:szCs w:val="17"/>
          <w:color w:val="auto"/>
        </w:rPr>
        <w:t>‑</w:t>
      </w:r>
      <w:r>
        <w:rPr>
          <w:rFonts w:ascii="Arial" w:cs="Arial" w:eastAsia="Arial" w:hAnsi="Arial"/>
          <w:sz w:val="17"/>
          <w:szCs w:val="17"/>
          <w:color w:val="auto"/>
        </w:rPr>
        <w:t>cells PD</w:t>
      </w:r>
      <w:r>
        <w:rPr>
          <w:rFonts w:ascii="MS PGothic" w:cs="MS PGothic" w:eastAsia="MS PGothic" w:hAnsi="MS PGothic"/>
          <w:sz w:val="17"/>
          <w:szCs w:val="17"/>
          <w:color w:val="auto"/>
        </w:rPr>
        <w:t>‑</w:t>
      </w:r>
      <w:r>
        <w:rPr>
          <w:rFonts w:ascii="Arial" w:cs="Arial" w:eastAsia="Arial" w:hAnsi="Arial"/>
          <w:sz w:val="17"/>
          <w:szCs w:val="17"/>
          <w:color w:val="auto"/>
        </w:rPr>
        <w:t>1, CD28, CTLA</w:t>
      </w:r>
      <w:r>
        <w:rPr>
          <w:rFonts w:ascii="MS PGothic" w:cs="MS PGothic" w:eastAsia="MS PGothic" w:hAnsi="MS PGothic"/>
          <w:sz w:val="17"/>
          <w:szCs w:val="17"/>
          <w:color w:val="auto"/>
        </w:rPr>
        <w:t>‑</w:t>
      </w:r>
      <w:r>
        <w:rPr>
          <w:rFonts w:ascii="Arial" w:cs="Arial" w:eastAsia="Arial" w:hAnsi="Arial"/>
          <w:sz w:val="17"/>
          <w:szCs w:val="17"/>
          <w:color w:val="auto"/>
        </w:rPr>
        <w:t>4 and ICOS. B7</w:t>
      </w:r>
      <w:r>
        <w:rPr>
          <w:rFonts w:ascii="MS PGothic" w:cs="MS PGothic" w:eastAsia="MS PGothic" w:hAnsi="MS PGothic"/>
          <w:sz w:val="17"/>
          <w:szCs w:val="17"/>
          <w:color w:val="auto"/>
        </w:rPr>
        <w:t>‑</w:t>
      </w:r>
      <w:r>
        <w:rPr>
          <w:rFonts w:ascii="Arial" w:cs="Arial" w:eastAsia="Arial" w:hAnsi="Arial"/>
          <w:sz w:val="17"/>
          <w:szCs w:val="17"/>
          <w:color w:val="auto"/>
        </w:rPr>
        <w:t>H3 is highly expressed on</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many solid cancers and displays high tumor</w:t>
      </w:r>
      <w:r>
        <w:rPr>
          <w:rFonts w:ascii="MS PGothic" w:cs="MS PGothic" w:eastAsia="MS PGothic" w:hAnsi="MS PGothic"/>
          <w:sz w:val="17"/>
          <w:szCs w:val="17"/>
          <w:color w:val="auto"/>
        </w:rPr>
        <w:t>‑</w:t>
      </w:r>
      <w:r>
        <w:rPr>
          <w:rFonts w:ascii="Arial" w:cs="Arial" w:eastAsia="Arial" w:hAnsi="Arial"/>
          <w:sz w:val="17"/>
          <w:szCs w:val="17"/>
          <w:color w:val="auto"/>
        </w:rPr>
        <w:t>versus</w:t>
      </w:r>
      <w:r>
        <w:rPr>
          <w:rFonts w:ascii="MS PGothic" w:cs="MS PGothic" w:eastAsia="MS PGothic" w:hAnsi="MS PGothic"/>
          <w:sz w:val="17"/>
          <w:szCs w:val="17"/>
          <w:color w:val="auto"/>
        </w:rPr>
        <w:t>‑</w:t>
      </w:r>
      <w:r>
        <w:rPr>
          <w:rFonts w:ascii="Arial" w:cs="Arial" w:eastAsia="Arial" w:hAnsi="Arial"/>
          <w:sz w:val="17"/>
          <w:szCs w:val="17"/>
          <w:color w:val="auto"/>
        </w:rPr>
        <w:t>normal tissue binding differential. In mice, studies have shown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B7 family have the capability to regulate the immune system through both stimulatory and inhibitory signals.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Inhibition of certain members of the B7 family has been shown to have significant anti</w:t>
      </w:r>
      <w:r>
        <w:rPr>
          <w:rFonts w:ascii="MS PGothic" w:cs="MS PGothic" w:eastAsia="MS PGothic" w:hAnsi="MS PGothic"/>
          <w:sz w:val="16"/>
          <w:szCs w:val="16"/>
          <w:color w:val="auto"/>
        </w:rPr>
        <w:t>‑</w:t>
      </w:r>
      <w:r>
        <w:rPr>
          <w:rFonts w:ascii="Arial" w:cs="Arial" w:eastAsia="Arial" w:hAnsi="Arial"/>
          <w:sz w:val="16"/>
          <w:szCs w:val="16"/>
          <w:color w:val="auto"/>
        </w:rPr>
        <w:t>tumor effects in several solid tumor</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types. As such, we believe that B7</w:t>
      </w:r>
      <w:r>
        <w:rPr>
          <w:rFonts w:ascii="MS PGothic" w:cs="MS PGothic" w:eastAsia="MS PGothic" w:hAnsi="MS PGothic"/>
          <w:sz w:val="16"/>
          <w:szCs w:val="16"/>
          <w:color w:val="auto"/>
        </w:rPr>
        <w:t>‑</w:t>
      </w:r>
      <w:r>
        <w:rPr>
          <w:rFonts w:ascii="Arial" w:cs="Arial" w:eastAsia="Arial" w:hAnsi="Arial"/>
          <w:sz w:val="16"/>
          <w:szCs w:val="16"/>
          <w:color w:val="auto"/>
        </w:rPr>
        <w:t>H3 is a promising target for designing targeted therapeutics with a range of modalities.</w:t>
      </w:r>
    </w:p>
    <w:p>
      <w:pPr>
        <w:spacing w:after="0" w:line="23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B7</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H3 Expression in Various Cancer Types</w:t>
      </w:r>
    </w:p>
    <w:p>
      <w:pPr>
        <w:spacing w:after="0" w:line="225" w:lineRule="exact"/>
        <w:rPr>
          <w:sz w:val="20"/>
          <w:szCs w:val="20"/>
          <w:color w:val="auto"/>
        </w:rPr>
      </w:pPr>
    </w:p>
    <w:p>
      <w:pPr>
        <w:ind w:right="80" w:firstLine="648"/>
        <w:spacing w:after="0" w:line="220" w:lineRule="exact"/>
        <w:rPr>
          <w:sz w:val="20"/>
          <w:szCs w:val="20"/>
          <w:color w:val="auto"/>
        </w:rPr>
      </w:pPr>
      <w:r>
        <w:rPr>
          <w:rFonts w:ascii="Arial" w:cs="Arial" w:eastAsia="Arial" w:hAnsi="Arial"/>
          <w:sz w:val="16"/>
          <w:szCs w:val="16"/>
          <w:color w:val="auto"/>
        </w:rPr>
        <w:t>Studies have shown that B7</w:t>
      </w:r>
      <w:r>
        <w:rPr>
          <w:rFonts w:ascii="MS PGothic" w:cs="MS PGothic" w:eastAsia="MS PGothic" w:hAnsi="MS PGothic"/>
          <w:sz w:val="16"/>
          <w:szCs w:val="16"/>
          <w:color w:val="auto"/>
        </w:rPr>
        <w:t>‑</w:t>
      </w:r>
      <w:r>
        <w:rPr>
          <w:rFonts w:ascii="Arial" w:cs="Arial" w:eastAsia="Arial" w:hAnsi="Arial"/>
          <w:sz w:val="16"/>
          <w:szCs w:val="16"/>
          <w:color w:val="auto"/>
        </w:rPr>
        <w:t>H3 is highly expressed on a variety of solid cancer tumors, including prostate, ovarian, breast, colon, renal, non</w:t>
      </w:r>
      <w:r>
        <w:rPr>
          <w:rFonts w:ascii="MS PGothic" w:cs="MS PGothic" w:eastAsia="MS PGothic" w:hAnsi="MS PGothic"/>
          <w:sz w:val="16"/>
          <w:szCs w:val="16"/>
          <w:color w:val="auto"/>
        </w:rPr>
        <w:t>‑</w:t>
      </w:r>
      <w:r>
        <w:rPr>
          <w:rFonts w:ascii="Arial" w:cs="Arial" w:eastAsia="Arial" w:hAnsi="Arial"/>
          <w:sz w:val="16"/>
          <w:szCs w:val="16"/>
          <w:color w:val="auto"/>
        </w:rPr>
        <w:t>small cell lung, pancreatic, head and neck cancers, as well as melanoma, glioblastoma, and NB and other small round blue cell tumors of childhood. In addition, a high degree of B7</w:t>
      </w:r>
      <w:r>
        <w:rPr>
          <w:rFonts w:ascii="MS PGothic" w:cs="MS PGothic" w:eastAsia="MS PGothic" w:hAnsi="MS PGothic"/>
          <w:sz w:val="16"/>
          <w:szCs w:val="16"/>
          <w:color w:val="auto"/>
        </w:rPr>
        <w:t>‑</w:t>
      </w:r>
      <w:r>
        <w:rPr>
          <w:rFonts w:ascii="Arial" w:cs="Arial" w:eastAsia="Arial" w:hAnsi="Arial"/>
          <w:sz w:val="16"/>
          <w:szCs w:val="16"/>
          <w:color w:val="auto"/>
        </w:rPr>
        <w:t>H3 expression on solid tumors has been correlated with greater disease severity, poor outcomes and worse median OS in a number of these cancer types.</w:t>
      </w:r>
    </w:p>
    <w:p>
      <w:pPr>
        <w:spacing w:after="0" w:line="203"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believe there is a large market opportunity for the treatment of solid tumors that express B7</w:t>
      </w:r>
      <w:r>
        <w:rPr>
          <w:rFonts w:ascii="MS PGothic" w:cs="MS PGothic" w:eastAsia="MS PGothic" w:hAnsi="MS PGothic"/>
          <w:sz w:val="16"/>
          <w:szCs w:val="16"/>
          <w:color w:val="auto"/>
        </w:rPr>
        <w:t>‑</w:t>
      </w:r>
      <w:r>
        <w:rPr>
          <w:rFonts w:ascii="Arial" w:cs="Arial" w:eastAsia="Arial" w:hAnsi="Arial"/>
          <w:sz w:val="16"/>
          <w:szCs w:val="16"/>
          <w:color w:val="auto"/>
        </w:rPr>
        <w:t>H3, with hundreds of thousands of new cases estimated in the United States each year. Based on our review of published research, we believe that B7</w:t>
      </w:r>
      <w:r>
        <w:rPr>
          <w:rFonts w:ascii="MS PGothic" w:cs="MS PGothic" w:eastAsia="MS PGothic" w:hAnsi="MS PGothic"/>
          <w:sz w:val="16"/>
          <w:szCs w:val="16"/>
          <w:color w:val="auto"/>
        </w:rPr>
        <w:t>‑</w:t>
      </w:r>
      <w:r>
        <w:rPr>
          <w:rFonts w:ascii="Arial" w:cs="Arial" w:eastAsia="Arial" w:hAnsi="Arial"/>
          <w:sz w:val="16"/>
          <w:szCs w:val="16"/>
          <w:color w:val="auto"/>
        </w:rPr>
        <w:t>H3 expression occurs in a range of 70% to 100% of tumor samples for various cancer types, which makes B7</w:t>
      </w:r>
      <w:r>
        <w:rPr>
          <w:rFonts w:ascii="MS PGothic" w:cs="MS PGothic" w:eastAsia="MS PGothic" w:hAnsi="MS PGothic"/>
          <w:sz w:val="16"/>
          <w:szCs w:val="16"/>
          <w:color w:val="auto"/>
        </w:rPr>
        <w:t>‑</w:t>
      </w:r>
      <w:r>
        <w:rPr>
          <w:rFonts w:ascii="Arial" w:cs="Arial" w:eastAsia="Arial" w:hAnsi="Arial"/>
          <w:sz w:val="16"/>
          <w:szCs w:val="16"/>
          <w:color w:val="auto"/>
        </w:rPr>
        <w:t>H3 a promising immunotherapy target. Our literature review also revealed that B7</w:t>
      </w:r>
      <w:r>
        <w:rPr>
          <w:rFonts w:ascii="MS PGothic" w:cs="MS PGothic" w:eastAsia="MS PGothic" w:hAnsi="MS PGothic"/>
          <w:sz w:val="16"/>
          <w:szCs w:val="16"/>
          <w:color w:val="auto"/>
        </w:rPr>
        <w:t>‑</w:t>
      </w:r>
      <w:r>
        <w:rPr>
          <w:rFonts w:ascii="Arial" w:cs="Arial" w:eastAsia="Arial" w:hAnsi="Arial"/>
          <w:sz w:val="16"/>
          <w:szCs w:val="16"/>
          <w:color w:val="auto"/>
        </w:rPr>
        <w:t>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w:t>
      </w:r>
      <w:r>
        <w:rPr>
          <w:rFonts w:ascii="MS PGothic" w:cs="MS PGothic" w:eastAsia="MS PGothic" w:hAnsi="MS PGothic"/>
          <w:sz w:val="16"/>
          <w:szCs w:val="16"/>
          <w:color w:val="auto"/>
        </w:rPr>
        <w:t>‑</w:t>
      </w:r>
      <w:r>
        <w:rPr>
          <w:rFonts w:ascii="Arial" w:cs="Arial" w:eastAsia="Arial" w:hAnsi="Arial"/>
          <w:sz w:val="16"/>
          <w:szCs w:val="16"/>
          <w:color w:val="auto"/>
        </w:rPr>
        <w:t>H3 and the underlying solid systemic tumor. As part of Study 03</w:t>
      </w:r>
      <w:r>
        <w:rPr>
          <w:rFonts w:ascii="MS PGothic" w:cs="MS PGothic" w:eastAsia="MS PGothic" w:hAnsi="MS PGothic"/>
          <w:sz w:val="16"/>
          <w:szCs w:val="16"/>
          <w:color w:val="auto"/>
        </w:rPr>
        <w:t>‑</w:t>
      </w:r>
      <w:r>
        <w:rPr>
          <w:rFonts w:ascii="Arial" w:cs="Arial" w:eastAsia="Arial" w:hAnsi="Arial"/>
          <w:sz w:val="16"/>
          <w:szCs w:val="16"/>
          <w:color w:val="auto"/>
        </w:rPr>
        <w:t xml:space="preserve">133, we have also treated a small number of adult patients with solid tumors that have metastasized to the CNS/LM compartment with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and preliminary indications potentially suggest promising results.</w:t>
      </w:r>
    </w:p>
    <w:p>
      <w:pPr>
        <w:spacing w:after="0" w:line="208" w:lineRule="exact"/>
        <w:rPr>
          <w:sz w:val="20"/>
          <w:szCs w:val="20"/>
          <w:color w:val="auto"/>
        </w:rPr>
      </w:pPr>
    </w:p>
    <w:p>
      <w:pPr>
        <w:spacing w:after="0" w:line="207" w:lineRule="exact"/>
        <w:rPr>
          <w:sz w:val="20"/>
          <w:szCs w:val="20"/>
          <w:color w:val="auto"/>
        </w:rPr>
      </w:pPr>
      <w:r>
        <w:rPr>
          <w:rFonts w:ascii="Arial" w:cs="Arial" w:eastAsia="Arial" w:hAnsi="Arial"/>
          <w:sz w:val="9"/>
          <w:szCs w:val="9"/>
          <w:b w:val="1"/>
          <w:bCs w:val="1"/>
          <w:i w:val="1"/>
          <w:iCs w:val="1"/>
          <w:color w:val="auto"/>
        </w:rPr>
        <w:t>131</w:t>
      </w:r>
      <w:r>
        <w:rPr>
          <w:rFonts w:ascii="Arial" w:cs="Arial" w:eastAsia="Arial" w:hAnsi="Arial"/>
          <w:sz w:val="18"/>
          <w:szCs w:val="18"/>
          <w:b w:val="1"/>
          <w:bCs w:val="1"/>
          <w:i w:val="1"/>
          <w:iCs w:val="1"/>
          <w:color w:val="auto"/>
        </w:rPr>
        <w: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omburtamab and</w:t>
      </w:r>
      <w:r>
        <w:rPr>
          <w:rFonts w:ascii="Arial" w:cs="Arial" w:eastAsia="Arial" w:hAnsi="Arial"/>
          <w:sz w:val="9"/>
          <w:szCs w:val="9"/>
          <w:b w:val="1"/>
          <w:bCs w:val="1"/>
          <w:i w:val="1"/>
          <w:iCs w:val="1"/>
          <w:color w:val="auto"/>
        </w:rPr>
        <w:t xml:space="preserve"> 124</w:t>
      </w:r>
      <w:r>
        <w:rPr>
          <w:rFonts w:ascii="Arial" w:cs="Arial" w:eastAsia="Arial" w:hAnsi="Arial"/>
          <w:sz w:val="18"/>
          <w:szCs w:val="18"/>
          <w:b w:val="1"/>
          <w:bCs w:val="1"/>
          <w:i w:val="1"/>
          <w:iCs w:val="1"/>
          <w:color w:val="auto"/>
        </w:rPr>
        <w: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omburtamab—Mechanism of Action</w:t>
      </w:r>
    </w:p>
    <w:p>
      <w:pPr>
        <w:spacing w:after="0" w:line="225" w:lineRule="exact"/>
        <w:rPr>
          <w:sz w:val="20"/>
          <w:szCs w:val="20"/>
          <w:color w:val="auto"/>
        </w:rPr>
      </w:pPr>
    </w:p>
    <w:p>
      <w:pPr>
        <w:ind w:right="120" w:firstLine="648"/>
        <w:spacing w:after="0" w:line="219" w:lineRule="exact"/>
        <w:rPr>
          <w:sz w:val="20"/>
          <w:szCs w:val="20"/>
          <w:color w:val="auto"/>
        </w:rPr>
      </w:pPr>
      <w:r>
        <w:rPr>
          <w:rFonts w:ascii="Arial" w:cs="Arial" w:eastAsia="Arial" w:hAnsi="Arial"/>
          <w:sz w:val="9"/>
          <w:szCs w:val="9"/>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and</w:t>
      </w:r>
      <w:r>
        <w:rPr>
          <w:rFonts w:ascii="Arial" w:cs="Arial" w:eastAsia="Arial" w:hAnsi="Arial"/>
          <w:sz w:val="9"/>
          <w:szCs w:val="9"/>
          <w:color w:val="auto"/>
        </w:rPr>
        <w:t xml:space="preserve"> 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are monoclonal antibodies that are radiolabeled with either Iodine</w:t>
      </w:r>
      <w:r>
        <w:rPr>
          <w:rFonts w:ascii="MS PGothic" w:cs="MS PGothic" w:eastAsia="MS PGothic" w:hAnsi="MS PGothic"/>
          <w:sz w:val="17"/>
          <w:szCs w:val="17"/>
          <w:color w:val="auto"/>
        </w:rPr>
        <w:t>‑</w:t>
      </w:r>
      <w:r>
        <w:rPr>
          <w:rFonts w:ascii="Arial" w:cs="Arial" w:eastAsia="Arial" w:hAnsi="Arial"/>
          <w:sz w:val="17"/>
          <w:szCs w:val="17"/>
          <w:color w:val="auto"/>
        </w:rPr>
        <w:t>131 or</w:t>
      </w:r>
      <w:r>
        <w:rPr>
          <w:rFonts w:ascii="Arial" w:cs="Arial" w:eastAsia="Arial" w:hAnsi="Arial"/>
          <w:sz w:val="9"/>
          <w:szCs w:val="9"/>
          <w:color w:val="auto"/>
        </w:rPr>
        <w:t xml:space="preserve"> </w:t>
      </w:r>
      <w:r>
        <w:rPr>
          <w:rFonts w:ascii="Arial" w:cs="Arial" w:eastAsia="Arial" w:hAnsi="Arial"/>
          <w:sz w:val="17"/>
          <w:szCs w:val="17"/>
          <w:color w:val="auto"/>
        </w:rPr>
        <w:t>Iodine</w:t>
      </w:r>
      <w:r>
        <w:rPr>
          <w:rFonts w:ascii="MS PGothic" w:cs="MS PGothic" w:eastAsia="MS PGothic" w:hAnsi="MS PGothic"/>
          <w:sz w:val="17"/>
          <w:szCs w:val="17"/>
          <w:color w:val="auto"/>
        </w:rPr>
        <w:t>‑</w:t>
      </w:r>
      <w:r>
        <w:rPr>
          <w:rFonts w:ascii="Arial" w:cs="Arial" w:eastAsia="Arial" w:hAnsi="Arial"/>
          <w:sz w:val="17"/>
          <w:szCs w:val="17"/>
          <w:color w:val="auto"/>
        </w:rPr>
        <w:t>124, respectively, and both target B7</w:t>
      </w:r>
      <w:r>
        <w:rPr>
          <w:rFonts w:ascii="MS PGothic" w:cs="MS PGothic" w:eastAsia="MS PGothic" w:hAnsi="MS PGothic"/>
          <w:sz w:val="17"/>
          <w:szCs w:val="17"/>
          <w:color w:val="auto"/>
        </w:rPr>
        <w:t>‑</w:t>
      </w:r>
      <w:r>
        <w:rPr>
          <w:rFonts w:ascii="Arial" w:cs="Arial" w:eastAsia="Arial" w:hAnsi="Arial"/>
          <w:sz w:val="17"/>
          <w:szCs w:val="17"/>
          <w:color w:val="auto"/>
        </w:rPr>
        <w:t>H3. Upon administration, radiolabeled omburtamab binds selectively to B7</w:t>
      </w:r>
      <w:r>
        <w:rPr>
          <w:rFonts w:ascii="MS PGothic" w:cs="MS PGothic" w:eastAsia="MS PGothic" w:hAnsi="MS PGothic"/>
          <w:sz w:val="17"/>
          <w:szCs w:val="17"/>
          <w:color w:val="auto"/>
        </w:rPr>
        <w:t>‑</w:t>
      </w:r>
      <w:r>
        <w:rPr>
          <w:rFonts w:ascii="Arial" w:cs="Arial" w:eastAsia="Arial" w:hAnsi="Arial"/>
          <w:sz w:val="17"/>
          <w:szCs w:val="17"/>
          <w:color w:val="auto"/>
        </w:rPr>
        <w:t>H3 ligand that is expressed on the tumor cell surface. Both Iodine</w:t>
      </w:r>
      <w:r>
        <w:rPr>
          <w:rFonts w:ascii="MS PGothic" w:cs="MS PGothic" w:eastAsia="MS PGothic" w:hAnsi="MS PGothic"/>
          <w:sz w:val="17"/>
          <w:szCs w:val="17"/>
          <w:color w:val="auto"/>
        </w:rPr>
        <w:t>‑</w:t>
      </w:r>
      <w:r>
        <w:rPr>
          <w:rFonts w:ascii="Arial" w:cs="Arial" w:eastAsia="Arial" w:hAnsi="Arial"/>
          <w:sz w:val="17"/>
          <w:szCs w:val="17"/>
          <w:color w:val="auto"/>
        </w:rPr>
        <w:t>131 and Iodine</w:t>
      </w:r>
      <w:r>
        <w:rPr>
          <w:rFonts w:ascii="MS PGothic" w:cs="MS PGothic" w:eastAsia="MS PGothic" w:hAnsi="MS PGothic"/>
          <w:sz w:val="17"/>
          <w:szCs w:val="17"/>
          <w:color w:val="auto"/>
        </w:rPr>
        <w:t>‑</w:t>
      </w:r>
      <w:r>
        <w:rPr>
          <w:rFonts w:ascii="Arial" w:cs="Arial" w:eastAsia="Arial" w:hAnsi="Arial"/>
          <w:sz w:val="17"/>
          <w:szCs w:val="17"/>
          <w:color w:val="auto"/>
        </w:rPr>
        <w:t>124 emit beta radiation, resulting in deoxyribonucleic acid, or DNA, damage and tumor cell death. Beta radiation from both iodine isotopes penetrates 1</w:t>
      </w:r>
      <w:r>
        <w:rPr>
          <w:rFonts w:ascii="MS PGothic" w:cs="MS PGothic" w:eastAsia="MS PGothic" w:hAnsi="MS PGothic"/>
          <w:sz w:val="17"/>
          <w:szCs w:val="17"/>
          <w:color w:val="auto"/>
        </w:rPr>
        <w:t>‑</w:t>
      </w:r>
      <w:r>
        <w:rPr>
          <w:rFonts w:ascii="Arial" w:cs="Arial" w:eastAsia="Arial" w:hAnsi="Arial"/>
          <w:sz w:val="17"/>
          <w:szCs w:val="17"/>
          <w:color w:val="auto"/>
        </w:rPr>
        <w:t>3 mm, affecting not only the antibody bound cell but also the neighboring tumor cells. Iodine</w:t>
      </w:r>
      <w:r>
        <w:rPr>
          <w:rFonts w:ascii="MS PGothic" w:cs="MS PGothic" w:eastAsia="MS PGothic" w:hAnsi="MS PGothic"/>
          <w:sz w:val="17"/>
          <w:szCs w:val="17"/>
          <w:color w:val="auto"/>
        </w:rPr>
        <w:t>‑</w:t>
      </w:r>
      <w:r>
        <w:rPr>
          <w:rFonts w:ascii="Arial" w:cs="Arial" w:eastAsia="Arial" w:hAnsi="Arial"/>
          <w:sz w:val="17"/>
          <w:szCs w:val="17"/>
          <w:color w:val="auto"/>
        </w:rPr>
        <w:t>131 has a half</w:t>
      </w:r>
      <w:r>
        <w:rPr>
          <w:rFonts w:ascii="MS PGothic" w:cs="MS PGothic" w:eastAsia="MS PGothic" w:hAnsi="MS PGothic"/>
          <w:sz w:val="17"/>
          <w:szCs w:val="17"/>
          <w:color w:val="auto"/>
        </w:rPr>
        <w:t>‑</w:t>
      </w:r>
      <w:r>
        <w:rPr>
          <w:rFonts w:ascii="Arial" w:cs="Arial" w:eastAsia="Arial" w:hAnsi="Arial"/>
          <w:sz w:val="17"/>
          <w:szCs w:val="17"/>
          <w:color w:val="auto"/>
        </w:rPr>
        <w:t>life of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eight days while Iodine</w:t>
      </w:r>
      <w:r>
        <w:rPr>
          <w:rFonts w:ascii="MS PGothic" w:cs="MS PGothic" w:eastAsia="MS PGothic" w:hAnsi="MS PGothic"/>
          <w:sz w:val="18"/>
          <w:szCs w:val="18"/>
          <w:color w:val="auto"/>
        </w:rPr>
        <w:t>‑</w:t>
      </w:r>
      <w:r>
        <w:rPr>
          <w:rFonts w:ascii="Arial" w:cs="Arial" w:eastAsia="Arial" w:hAnsi="Arial"/>
          <w:sz w:val="18"/>
          <w:szCs w:val="18"/>
          <w:color w:val="auto"/>
        </w:rPr>
        <w:t>124 has a half</w:t>
      </w:r>
      <w:r>
        <w:rPr>
          <w:rFonts w:ascii="MS PGothic" w:cs="MS PGothic" w:eastAsia="MS PGothic" w:hAnsi="MS PGothic"/>
          <w:sz w:val="18"/>
          <w:szCs w:val="18"/>
          <w:color w:val="auto"/>
        </w:rPr>
        <w:t>‑</w:t>
      </w:r>
      <w:r>
        <w:rPr>
          <w:rFonts w:ascii="Arial" w:cs="Arial" w:eastAsia="Arial" w:hAnsi="Arial"/>
          <w:sz w:val="18"/>
          <w:szCs w:val="18"/>
          <w:color w:val="auto"/>
        </w:rPr>
        <w:t>life of four days. In contrast to Iodine</w:t>
      </w:r>
      <w:r>
        <w:rPr>
          <w:rFonts w:ascii="MS PGothic" w:cs="MS PGothic" w:eastAsia="MS PGothic" w:hAnsi="MS PGothic"/>
          <w:sz w:val="18"/>
          <w:szCs w:val="18"/>
          <w:color w:val="auto"/>
        </w:rPr>
        <w:t>‑</w:t>
      </w:r>
      <w:r>
        <w:rPr>
          <w:rFonts w:ascii="Arial" w:cs="Arial" w:eastAsia="Arial" w:hAnsi="Arial"/>
          <w:sz w:val="18"/>
          <w:szCs w:val="18"/>
          <w:color w:val="auto"/>
        </w:rPr>
        <w:t>131, which emits electrons, Iodine</w:t>
      </w:r>
      <w:r>
        <w:rPr>
          <w:rFonts w:ascii="MS PGothic" w:cs="MS PGothic" w:eastAsia="MS PGothic" w:hAnsi="MS PGothic"/>
          <w:sz w:val="18"/>
          <w:szCs w:val="18"/>
          <w:color w:val="auto"/>
        </w:rPr>
        <w:t>‑</w:t>
      </w:r>
      <w:r>
        <w:rPr>
          <w:rFonts w:ascii="Arial" w:cs="Arial" w:eastAsia="Arial" w:hAnsi="Arial"/>
          <w:sz w:val="18"/>
          <w:szCs w:val="18"/>
          <w:color w:val="auto"/>
        </w:rPr>
        <w:t>124 is a positron</w:t>
      </w:r>
      <w:r>
        <w:rPr>
          <w:rFonts w:ascii="MS PGothic" w:cs="MS PGothic" w:eastAsia="MS PGothic" w:hAnsi="MS PGothic"/>
          <w:sz w:val="18"/>
          <w:szCs w:val="18"/>
          <w:color w:val="auto"/>
        </w:rPr>
        <w:t>‑</w:t>
      </w:r>
      <w:r>
        <w:rPr>
          <w:rFonts w:ascii="Arial" w:cs="Arial" w:eastAsia="Arial" w:hAnsi="Arial"/>
          <w:sz w:val="18"/>
          <w:szCs w:val="18"/>
          <w:color w:val="auto"/>
        </w:rPr>
        <w:t>emitting iodine isotope, enabling measurement of iodine uptake using positron emission tomography, or PET scans. This is important when using radiotherapy in a critical organ such as pons, where overdosing may have serious consequences. Radiolabeling of omburtamab with either Iodine</w:t>
      </w:r>
      <w:r>
        <w:rPr>
          <w:rFonts w:ascii="MS PGothic" w:cs="MS PGothic" w:eastAsia="MS PGothic" w:hAnsi="MS PGothic"/>
          <w:sz w:val="18"/>
          <w:szCs w:val="18"/>
          <w:color w:val="auto"/>
        </w:rPr>
        <w:t>‑</w:t>
      </w:r>
      <w:r>
        <w:rPr>
          <w:rFonts w:ascii="Arial" w:cs="Arial" w:eastAsia="Arial" w:hAnsi="Arial"/>
          <w:sz w:val="18"/>
          <w:szCs w:val="18"/>
          <w:color w:val="auto"/>
        </w:rPr>
        <w:t>124 or Iodine</w:t>
      </w:r>
      <w:r>
        <w:rPr>
          <w:rFonts w:ascii="MS PGothic" w:cs="MS PGothic" w:eastAsia="MS PGothic" w:hAnsi="MS PGothic"/>
          <w:sz w:val="18"/>
          <w:szCs w:val="18"/>
          <w:color w:val="auto"/>
        </w:rPr>
        <w:t>‑</w:t>
      </w:r>
      <w:r>
        <w:rPr>
          <w:rFonts w:ascii="Arial" w:cs="Arial" w:eastAsia="Arial" w:hAnsi="Arial"/>
          <w:sz w:val="18"/>
          <w:szCs w:val="18"/>
          <w:color w:val="auto"/>
        </w:rPr>
        <w:t>131 takes place at qualified radiopharmacies according to a well</w:t>
      </w:r>
      <w:r>
        <w:rPr>
          <w:rFonts w:ascii="MS PGothic" w:cs="MS PGothic" w:eastAsia="MS PGothic" w:hAnsi="MS PGothic"/>
          <w:sz w:val="18"/>
          <w:szCs w:val="18"/>
          <w:color w:val="auto"/>
        </w:rPr>
        <w:t>‑</w:t>
      </w:r>
      <w:r>
        <w:rPr>
          <w:rFonts w:ascii="Arial" w:cs="Arial" w:eastAsia="Arial" w:hAnsi="Arial"/>
          <w:sz w:val="18"/>
          <w:szCs w:val="18"/>
          <w:color w:val="auto"/>
        </w:rPr>
        <w:t>established procedure.</w:t>
      </w:r>
    </w:p>
    <w:p>
      <w:pPr>
        <w:spacing w:after="0" w:line="206" w:lineRule="exact"/>
        <w:rPr>
          <w:sz w:val="20"/>
          <w:szCs w:val="20"/>
          <w:color w:val="auto"/>
        </w:rPr>
      </w:pPr>
    </w:p>
    <w:p>
      <w:pPr>
        <w:spacing w:after="0" w:line="173" w:lineRule="exact"/>
        <w:rPr>
          <w:sz w:val="20"/>
          <w:szCs w:val="20"/>
          <w:color w:val="auto"/>
        </w:rPr>
      </w:pPr>
      <w:r>
        <w:rPr>
          <w:rFonts w:ascii="Arial" w:cs="Arial" w:eastAsia="Arial" w:hAnsi="Arial"/>
          <w:sz w:val="8"/>
          <w:szCs w:val="8"/>
          <w:b w:val="1"/>
          <w:bCs w:val="1"/>
          <w:i w:val="1"/>
          <w:iCs w:val="1"/>
          <w:color w:val="auto"/>
        </w:rPr>
        <w:t>131</w:t>
      </w:r>
      <w:r>
        <w:rPr>
          <w:rFonts w:ascii="Arial" w:cs="Arial" w:eastAsia="Arial" w:hAnsi="Arial"/>
          <w:sz w:val="15"/>
          <w:szCs w:val="15"/>
          <w:b w:val="1"/>
          <w:bCs w:val="1"/>
          <w:i w:val="1"/>
          <w:iCs w:val="1"/>
          <w:color w:val="auto"/>
        </w:rPr>
        <w: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Omburtamab for the Treatment of Pediatric Central Nervous System/Leptomeningeal Metastases from Neuroblastoma</w:t>
      </w:r>
    </w:p>
    <w:p>
      <w:pPr>
        <w:spacing w:after="0" w:line="260" w:lineRule="exact"/>
        <w:rPr>
          <w:sz w:val="20"/>
          <w:szCs w:val="20"/>
          <w:color w:val="auto"/>
        </w:rPr>
      </w:pPr>
    </w:p>
    <w:p>
      <w:pPr>
        <w:ind w:firstLine="648"/>
        <w:spacing w:after="0" w:line="218" w:lineRule="exact"/>
        <w:rPr>
          <w:sz w:val="20"/>
          <w:szCs w:val="20"/>
          <w:color w:val="auto"/>
        </w:rPr>
      </w:pPr>
      <w:r>
        <w:rPr>
          <w:rFonts w:ascii="Arial" w:cs="Arial" w:eastAsia="Arial" w:hAnsi="Arial"/>
          <w:sz w:val="9"/>
          <w:szCs w:val="9"/>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is currently in pivotal stage development for the treatment of pediatric CNS/LM from NB, and was</w:t>
      </w:r>
      <w:r>
        <w:rPr>
          <w:rFonts w:ascii="Arial" w:cs="Arial" w:eastAsia="Arial" w:hAnsi="Arial"/>
          <w:sz w:val="9"/>
          <w:szCs w:val="9"/>
          <w:color w:val="auto"/>
        </w:rPr>
        <w:t xml:space="preserve"> </w:t>
      </w:r>
      <w:r>
        <w:rPr>
          <w:rFonts w:ascii="Arial" w:cs="Arial" w:eastAsia="Arial" w:hAnsi="Arial"/>
          <w:sz w:val="18"/>
          <w:szCs w:val="18"/>
          <w:color w:val="auto"/>
        </w:rPr>
        <w:t xml:space="preserve">granted BTD in this indication in 2017. In 2016,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was granted ODD and RPDD, in each case, for the treatment of NB. The RPDD qualifies us for receipt of a PRV upon approval of omburtamab for treatment of NB, if such approval occurs. At our meeting with the FDA in June 2017, we proposed to the FDA that data from Study 03</w:t>
      </w:r>
      <w:r>
        <w:rPr>
          <w:rFonts w:ascii="MS PGothic" w:cs="MS PGothic" w:eastAsia="MS PGothic" w:hAnsi="MS PGothic"/>
          <w:sz w:val="18"/>
          <w:szCs w:val="18"/>
          <w:color w:val="auto"/>
        </w:rPr>
        <w:t>‑</w:t>
      </w:r>
      <w:r>
        <w:rPr>
          <w:rFonts w:ascii="Arial" w:cs="Arial" w:eastAsia="Arial" w:hAnsi="Arial"/>
          <w:sz w:val="18"/>
          <w:szCs w:val="18"/>
          <w:color w:val="auto"/>
        </w:rPr>
        <w:t xml:space="preserve">133 may be pooled with data from Study 101 and utilized for our planned BLA submission. As of August 2017, 93 patients with pediatric CNS/LM from NB had been treated with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 Study 03</w:t>
      </w:r>
      <w:r>
        <w:rPr>
          <w:rFonts w:ascii="MS PGothic" w:cs="MS PGothic" w:eastAsia="MS PGothic" w:hAnsi="MS PGothic"/>
          <w:sz w:val="18"/>
          <w:szCs w:val="18"/>
          <w:color w:val="auto"/>
        </w:rPr>
        <w:t>‑</w:t>
      </w:r>
      <w:r>
        <w:rPr>
          <w:rFonts w:ascii="Arial" w:cs="Arial" w:eastAsia="Arial" w:hAnsi="Arial"/>
          <w:sz w:val="18"/>
          <w:szCs w:val="18"/>
          <w:color w:val="auto"/>
        </w:rPr>
        <w:t>133. An analysis of these 93 patients demonstrated a median OS of 47 months (including an estimated five</w:t>
      </w:r>
      <w:r>
        <w:rPr>
          <w:rFonts w:ascii="MS PGothic" w:cs="MS PGothic" w:eastAsia="MS PGothic" w:hAnsi="MS PGothic"/>
          <w:sz w:val="18"/>
          <w:szCs w:val="18"/>
          <w:color w:val="auto"/>
        </w:rPr>
        <w:t>‑</w:t>
      </w:r>
      <w:r>
        <w:rPr>
          <w:rFonts w:ascii="Arial" w:cs="Arial" w:eastAsia="Arial" w:hAnsi="Arial"/>
          <w:sz w:val="18"/>
          <w:szCs w:val="18"/>
          <w:color w:val="auto"/>
        </w:rPr>
        <w:t xml:space="preserve">year OS of approximately 43%), as compared to historical median OS of approximately six months.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can be administered as a push injection in an outpatient setting. We expect to submit a BLA for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in 2019, with a goal of receiving approval from the FDA in 2020. We plan to commercialize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 the United States as soon as possible after obtaining FDA approval, if such approval occurs.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78" w:lineRule="exact"/>
        <w:rPr>
          <w:sz w:val="20"/>
          <w:szCs w:val="20"/>
          <w:color w:val="auto"/>
        </w:rPr>
      </w:pPr>
    </w:p>
    <w:p>
      <w:pPr>
        <w:ind w:right="220" w:firstLine="648"/>
        <w:spacing w:after="0" w:line="220" w:lineRule="exact"/>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w:t>
      </w:r>
      <w:r>
        <w:rPr>
          <w:rFonts w:ascii="MS PGothic" w:cs="MS PGothic" w:eastAsia="MS PGothic" w:hAnsi="MS PGothic"/>
          <w:sz w:val="16"/>
          <w:szCs w:val="16"/>
          <w:color w:val="auto"/>
        </w:rPr>
        <w:t>‑</w:t>
      </w:r>
      <w:r>
        <w:rPr>
          <w:rFonts w:ascii="Arial" w:cs="Arial" w:eastAsia="Arial" w:hAnsi="Arial"/>
          <w:sz w:val="16"/>
          <w:szCs w:val="16"/>
          <w:color w:val="auto"/>
        </w:rPr>
        <w:t>60% are high</w:t>
      </w:r>
      <w:r>
        <w:rPr>
          <w:rFonts w:ascii="MS PGothic" w:cs="MS PGothic" w:eastAsia="MS PGothic" w:hAnsi="MS PGothic"/>
          <w:sz w:val="16"/>
          <w:szCs w:val="16"/>
          <w:color w:val="auto"/>
        </w:rPr>
        <w:t>‑</w:t>
      </w:r>
      <w:r>
        <w:rPr>
          <w:rFonts w:ascii="Arial" w:cs="Arial" w:eastAsia="Arial" w:hAnsi="Arial"/>
          <w:sz w:val="16"/>
          <w:szCs w:val="16"/>
          <w:color w:val="auto"/>
        </w:rPr>
        <w:t>risk, and of those at high</w:t>
      </w:r>
      <w:r>
        <w:rPr>
          <w:rFonts w:ascii="MS PGothic" w:cs="MS PGothic" w:eastAsia="MS PGothic" w:hAnsi="MS PGothic"/>
          <w:sz w:val="16"/>
          <w:szCs w:val="16"/>
          <w:color w:val="auto"/>
        </w:rPr>
        <w:t>‑</w:t>
      </w:r>
      <w:r>
        <w:rPr>
          <w:rFonts w:ascii="Arial" w:cs="Arial" w:eastAsia="Arial" w:hAnsi="Arial"/>
          <w:sz w:val="16"/>
          <w:szCs w:val="16"/>
          <w:color w:val="auto"/>
        </w:rPr>
        <w:t>risk who relapse, we believe approximately 20% will suffer from CNS/LM from NB. A published study analyzing frozen sections from tumors with histologically confirmed diagnosis of NB using immunohistochemistry showed 87 out of</w:t>
      </w:r>
    </w:p>
    <w:p>
      <w:pPr>
        <w:spacing w:after="0" w:line="2"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90 sections (or approximately 97%) were B7</w:t>
      </w:r>
      <w:r>
        <w:rPr>
          <w:rFonts w:ascii="MS PGothic" w:cs="MS PGothic" w:eastAsia="MS PGothic" w:hAnsi="MS PGothic"/>
          <w:sz w:val="18"/>
          <w:szCs w:val="18"/>
          <w:color w:val="auto"/>
        </w:rPr>
        <w:t>‑</w:t>
      </w:r>
      <w:r>
        <w:rPr>
          <w:rFonts w:ascii="Arial" w:cs="Arial" w:eastAsia="Arial" w:hAnsi="Arial"/>
          <w:sz w:val="18"/>
          <w:szCs w:val="18"/>
          <w:color w:val="auto"/>
        </w:rPr>
        <w:t>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204" w:lineRule="exact"/>
        <w:rPr>
          <w:sz w:val="20"/>
          <w:szCs w:val="20"/>
          <w:color w:val="auto"/>
        </w:rPr>
      </w:pPr>
    </w:p>
    <w:p>
      <w:pPr>
        <w:ind w:left="980" w:right="180" w:hanging="323"/>
        <w:spacing w:after="0" w:line="223" w:lineRule="exact"/>
        <w:rPr>
          <w:sz w:val="20"/>
          <w:szCs w:val="20"/>
          <w:color w:val="auto"/>
        </w:rPr>
      </w:pPr>
      <w:r>
        <w:rPr>
          <w:rFonts w:ascii="Arial" w:cs="Arial" w:eastAsia="Arial" w:hAnsi="Arial"/>
          <w:sz w:val="9"/>
          <w:szCs w:val="9"/>
          <w:i w:val="1"/>
          <w:iCs w:val="1"/>
          <w:color w:val="auto"/>
        </w:rPr>
        <w:t>131</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Pediatric Central Nervous System/Leptomeningeal Metastases from Neuroblastoma—Current</w:t>
      </w:r>
      <w:r>
        <w:rPr>
          <w:rFonts w:ascii="Arial" w:cs="Arial" w:eastAsia="Arial" w:hAnsi="Arial"/>
          <w:sz w:val="9"/>
          <w:szCs w:val="9"/>
          <w:i w:val="1"/>
          <w:iCs w:val="1"/>
          <w:color w:val="auto"/>
        </w:rPr>
        <w:t xml:space="preserve"> </w:t>
      </w:r>
      <w:r>
        <w:rPr>
          <w:rFonts w:ascii="Arial" w:cs="Arial" w:eastAsia="Arial" w:hAnsi="Arial"/>
          <w:sz w:val="18"/>
          <w:szCs w:val="18"/>
          <w:i w:val="1"/>
          <w:iCs w:val="1"/>
          <w:color w:val="auto"/>
        </w:rPr>
        <w:t>Treatment Landscape and Associated Limitations</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93"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Surgery—for debulking the tumor prior to irradiation and chemotherapy and to reduce edema and hemorrhage;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44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60" w:hanging="329"/>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uniformly poor outcomes associated with these different regimens highlight the significant unmet medical need for treatment of CNS/LM from NB:</w:t>
      </w:r>
    </w:p>
    <w:p>
      <w:pPr>
        <w:spacing w:after="0" w:line="170" w:lineRule="exact"/>
        <w:rPr>
          <w:sz w:val="20"/>
          <w:szCs w:val="20"/>
          <w:color w:val="auto"/>
        </w:rPr>
      </w:pPr>
    </w:p>
    <w:p>
      <w:pPr>
        <w:ind w:left="1300" w:hanging="649"/>
        <w:spacing w:after="0" w:line="25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recent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89" w:lineRule="exact"/>
        <w:rPr>
          <w:rFonts w:ascii="Arial" w:cs="Arial" w:eastAsia="Arial" w:hAnsi="Arial"/>
          <w:sz w:val="18"/>
          <w:szCs w:val="18"/>
          <w:color w:val="auto"/>
        </w:rPr>
      </w:pPr>
    </w:p>
    <w:p>
      <w:pPr>
        <w:ind w:left="1300" w:hanging="649"/>
        <w:spacing w:after="0" w:line="31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146" w:lineRule="exact"/>
        <w:rPr>
          <w:rFonts w:ascii="Arial" w:cs="Arial" w:eastAsia="Arial" w:hAnsi="Arial"/>
          <w:sz w:val="16"/>
          <w:szCs w:val="16"/>
          <w:color w:val="auto"/>
        </w:rPr>
      </w:pPr>
    </w:p>
    <w:p>
      <w:pPr>
        <w:ind w:left="1300" w:right="600" w:hanging="649"/>
        <w:spacing w:after="0" w:line="223" w:lineRule="exact"/>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was first introduced in 2004, demonstrated a median OS of 5.5 months.</w:t>
      </w:r>
    </w:p>
    <w:p>
      <w:pPr>
        <w:spacing w:after="0" w:line="203" w:lineRule="exact"/>
        <w:rPr>
          <w:sz w:val="20"/>
          <w:szCs w:val="20"/>
          <w:color w:val="auto"/>
        </w:rPr>
      </w:pPr>
    </w:p>
    <w:p>
      <w:pPr>
        <w:ind w:left="980" w:right="160" w:hanging="323"/>
        <w:spacing w:after="0" w:line="223" w:lineRule="exact"/>
        <w:rPr>
          <w:sz w:val="20"/>
          <w:szCs w:val="20"/>
          <w:color w:val="auto"/>
        </w:rPr>
      </w:pPr>
      <w:r>
        <w:rPr>
          <w:rFonts w:ascii="Arial" w:cs="Arial" w:eastAsia="Arial" w:hAnsi="Arial"/>
          <w:sz w:val="9"/>
          <w:szCs w:val="9"/>
          <w:i w:val="1"/>
          <w:iCs w:val="1"/>
          <w:color w:val="auto"/>
        </w:rPr>
        <w:t>131</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Pediatric Central Nervous System/Leptomeningeal Metastases from Neuroblastoma—Clinical</w:t>
      </w:r>
      <w:r>
        <w:rPr>
          <w:rFonts w:ascii="Arial" w:cs="Arial" w:eastAsia="Arial" w:hAnsi="Arial"/>
          <w:sz w:val="9"/>
          <w:szCs w:val="9"/>
          <w:i w:val="1"/>
          <w:iCs w:val="1"/>
          <w:color w:val="auto"/>
        </w:rPr>
        <w:t xml:space="preserve"> </w:t>
      </w:r>
      <w:r>
        <w:rPr>
          <w:rFonts w:ascii="Arial" w:cs="Arial" w:eastAsia="Arial" w:hAnsi="Arial"/>
          <w:sz w:val="18"/>
          <w:szCs w:val="18"/>
          <w:i w:val="1"/>
          <w:iCs w:val="1"/>
          <w:color w:val="auto"/>
        </w:rPr>
        <w:t>Development Program</w:t>
      </w:r>
    </w:p>
    <w:p>
      <w:pPr>
        <w:spacing w:after="0" w:line="20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 xml:space="preserve">Currently,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is in pivotal stage development for the treatment of pediatric CNS/LM from NB as a monotherapy after patients have completed standard of care treatment. At our meeting with the FDA in June 2017, we proposed to the FDA that data from Study 03</w:t>
      </w:r>
      <w:r>
        <w:rPr>
          <w:rFonts w:ascii="MS PGothic" w:cs="MS PGothic" w:eastAsia="MS PGothic" w:hAnsi="MS PGothic"/>
          <w:sz w:val="17"/>
          <w:szCs w:val="17"/>
          <w:color w:val="auto"/>
        </w:rPr>
        <w:t>‑</w:t>
      </w:r>
      <w:r>
        <w:rPr>
          <w:rFonts w:ascii="Arial" w:cs="Arial" w:eastAsia="Arial" w:hAnsi="Arial"/>
          <w:sz w:val="17"/>
          <w:szCs w:val="17"/>
          <w:color w:val="auto"/>
        </w:rPr>
        <w:t xml:space="preserve">133 may be pooled with data from Study 101 and utilized for our planned BLA submission. As of January 2019, 106 patients with pediatric CNS/LM from NB had been treated with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in Study 03</w:t>
      </w:r>
      <w:r>
        <w:rPr>
          <w:rFonts w:ascii="MS PGothic" w:cs="MS PGothic" w:eastAsia="MS PGothic" w:hAnsi="MS PGothic"/>
          <w:sz w:val="17"/>
          <w:szCs w:val="17"/>
          <w:color w:val="auto"/>
        </w:rPr>
        <w:t>‑</w:t>
      </w:r>
      <w:r>
        <w:rPr>
          <w:rFonts w:ascii="Arial" w:cs="Arial" w:eastAsia="Arial" w:hAnsi="Arial"/>
          <w:sz w:val="17"/>
          <w:szCs w:val="17"/>
          <w:color w:val="auto"/>
        </w:rPr>
        <w:t>133. We are planning to treat an additional 32 patients in a multi</w:t>
      </w:r>
      <w:r>
        <w:rPr>
          <w:rFonts w:ascii="MS PGothic" w:cs="MS PGothic" w:eastAsia="MS PGothic" w:hAnsi="MS PGothic"/>
          <w:sz w:val="17"/>
          <w:szCs w:val="17"/>
          <w:color w:val="auto"/>
        </w:rPr>
        <w:t>‑</w:t>
      </w:r>
      <w:r>
        <w:rPr>
          <w:rFonts w:ascii="Arial" w:cs="Arial" w:eastAsia="Arial" w:hAnsi="Arial"/>
          <w:sz w:val="17"/>
          <w:szCs w:val="17"/>
          <w:color w:val="auto"/>
        </w:rPr>
        <w:t xml:space="preserve">center pivotal Phase 2 trial (Study 101) with an interim pre-planned after the first 18 patients enrolled for the purposes of pharmacokinetic and dosimetry comparability between study sites using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from our cGMP commercial manufacturer, versus drug product previously produced by MSK. Study 101 has also been designed to satisfy the confirmatory study and post</w:t>
      </w:r>
      <w:r>
        <w:rPr>
          <w:rFonts w:ascii="MS PGothic" w:cs="MS PGothic" w:eastAsia="MS PGothic" w:hAnsi="MS PGothic"/>
          <w:sz w:val="17"/>
          <w:szCs w:val="17"/>
          <w:color w:val="auto"/>
        </w:rPr>
        <w:t>‑</w:t>
      </w:r>
      <w:r>
        <w:rPr>
          <w:rFonts w:ascii="Arial" w:cs="Arial" w:eastAsia="Arial" w:hAnsi="Arial"/>
          <w:sz w:val="17"/>
          <w:szCs w:val="17"/>
          <w:color w:val="auto"/>
        </w:rPr>
        <w:t xml:space="preserve">marketing requirement by the FDA, and, as a result, we will continue to recruit 14 more patients in addition to the initial 18 patients required for the BLA submission for a total of 32 patients exposed. We expect to submit the BLA for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for treatment of patients with CNS/LM from NB in 2019.</w:t>
      </w:r>
    </w:p>
    <w:p>
      <w:pPr>
        <w:spacing w:after="0" w:line="210" w:lineRule="exact"/>
        <w:rPr>
          <w:sz w:val="20"/>
          <w:szCs w:val="20"/>
          <w:color w:val="auto"/>
        </w:rPr>
      </w:pPr>
    </w:p>
    <w:p>
      <w:pPr>
        <w:ind w:left="980" w:right="400" w:hanging="323"/>
        <w:spacing w:after="0" w:line="223" w:lineRule="exact"/>
        <w:rPr>
          <w:sz w:val="20"/>
          <w:szCs w:val="20"/>
          <w:color w:val="auto"/>
        </w:rPr>
      </w:pPr>
      <w:r>
        <w:rPr>
          <w:rFonts w:ascii="Arial" w:cs="Arial" w:eastAsia="Arial" w:hAnsi="Arial"/>
          <w:sz w:val="18"/>
          <w:szCs w:val="18"/>
          <w:i w:val="1"/>
          <w:iCs w:val="1"/>
          <w:color w:val="auto"/>
        </w:rPr>
        <w:t>Study 03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133: Phase 1/2 Study of Intrathecal Radioimmunotherapy using </w:t>
      </w:r>
      <w:r>
        <w:rPr>
          <w:rFonts w:ascii="Arial" w:cs="Arial" w:eastAsia="Arial" w:hAnsi="Arial"/>
          <w:sz w:val="8"/>
          <w:szCs w:val="8"/>
          <w:i w:val="1"/>
          <w:iCs w:val="1"/>
          <w:color w:val="auto"/>
        </w:rPr>
        <w:t>131</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Central Nervous System/Leptomeningeal Neoplasms</w:t>
      </w:r>
    </w:p>
    <w:p>
      <w:pPr>
        <w:spacing w:after="0" w:line="203"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as outpatients. Based on treatment result of the 50 mCi dose to treat neuroblastoma with CNS/LM metastasis and since no DLTs were experienced in the dose escalation part; the 50 mCi dose has been expanded as implemented by a protocol amendment. At our meeting with the FDA in June 2017, we proposed to the FDA that data from Study 03</w:t>
      </w:r>
      <w:r>
        <w:rPr>
          <w:rFonts w:ascii="MS PGothic" w:cs="MS PGothic" w:eastAsia="MS PGothic" w:hAnsi="MS PGothic"/>
          <w:sz w:val="17"/>
          <w:szCs w:val="17"/>
          <w:color w:val="auto"/>
        </w:rPr>
        <w:t>‑</w:t>
      </w:r>
      <w:r>
        <w:rPr>
          <w:rFonts w:ascii="Arial" w:cs="Arial" w:eastAsia="Arial" w:hAnsi="Arial"/>
          <w:sz w:val="17"/>
          <w:szCs w:val="17"/>
          <w:color w:val="auto"/>
        </w:rPr>
        <w:t xml:space="preserve">133 may be pooled with data from Study 101 and utilized for our planned BLA. As of January 2019, 106 patients with pediatric CNS/LM from NB had been treated with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in Study 03</w:t>
      </w:r>
      <w:r>
        <w:rPr>
          <w:rFonts w:ascii="MS PGothic" w:cs="MS PGothic" w:eastAsia="MS PGothic" w:hAnsi="MS PGothic"/>
          <w:sz w:val="17"/>
          <w:szCs w:val="17"/>
          <w:color w:val="auto"/>
        </w:rPr>
        <w:t>‑</w:t>
      </w:r>
      <w:r>
        <w:rPr>
          <w:rFonts w:ascii="Arial" w:cs="Arial" w:eastAsia="Arial" w:hAnsi="Arial"/>
          <w:sz w:val="17"/>
          <w:szCs w:val="17"/>
          <w:color w:val="auto"/>
        </w:rPr>
        <w:t xml:space="preserve">133. Of these 106 patients, 94 had been treated with 50 mCi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We expect that the safety portion of the BLA will be comprised of data from more than 200 patients treated with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or </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across multiple indications. Study 03</w:t>
      </w:r>
      <w:r>
        <w:rPr>
          <w:rFonts w:ascii="MS PGothic" w:cs="MS PGothic" w:eastAsia="MS PGothic" w:hAnsi="MS PGothic"/>
          <w:sz w:val="17"/>
          <w:szCs w:val="17"/>
          <w:color w:val="auto"/>
        </w:rPr>
        <w:t>‑</w:t>
      </w:r>
      <w:r>
        <w:rPr>
          <w:rFonts w:ascii="Arial" w:cs="Arial" w:eastAsia="Arial" w:hAnsi="Arial"/>
          <w:sz w:val="17"/>
          <w:szCs w:val="17"/>
          <w:color w:val="auto"/>
        </w:rPr>
        <w:t>133 is held open for recruitment (although enrollment into the NB cohort is put on hold after opening of clinical study 101). Hence, we plan to be able to continue to offer this experimental treatment to patients.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39" w:firstLine="648"/>
        <w:spacing w:after="0" w:line="224" w:lineRule="exact"/>
        <w:rPr>
          <w:sz w:val="20"/>
          <w:szCs w:val="20"/>
          <w:color w:val="auto"/>
        </w:rPr>
      </w:pPr>
      <w:r>
        <w:rPr>
          <w:rFonts w:ascii="Arial" w:cs="Arial" w:eastAsia="Arial" w:hAnsi="Arial"/>
          <w:sz w:val="16"/>
          <w:szCs w:val="16"/>
          <w:color w:val="auto"/>
        </w:rPr>
        <w:t>The table below presents a general clinical overview, including safety data, from Study 03</w:t>
      </w:r>
      <w:r>
        <w:rPr>
          <w:rFonts w:ascii="MS PGothic" w:cs="MS PGothic" w:eastAsia="MS PGothic" w:hAnsi="MS PGothic"/>
          <w:sz w:val="16"/>
          <w:szCs w:val="16"/>
          <w:color w:val="auto"/>
        </w:rPr>
        <w:t>‑</w:t>
      </w:r>
      <w:r>
        <w:rPr>
          <w:rFonts w:ascii="Arial" w:cs="Arial" w:eastAsia="Arial" w:hAnsi="Arial"/>
          <w:sz w:val="16"/>
          <w:szCs w:val="16"/>
          <w:color w:val="auto"/>
        </w:rPr>
        <w:t>133 conducted from January 2004 through August 2017. The outlined information in the below table refers to patients treated in Study 03</w:t>
      </w:r>
      <w:r>
        <w:rPr>
          <w:rFonts w:ascii="MS PGothic" w:cs="MS PGothic" w:eastAsia="MS PGothic" w:hAnsi="MS PGothic"/>
          <w:sz w:val="16"/>
          <w:szCs w:val="16"/>
          <w:color w:val="auto"/>
        </w:rPr>
        <w:t>‑</w:t>
      </w:r>
      <w:r>
        <w:rPr>
          <w:rFonts w:ascii="Arial" w:cs="Arial" w:eastAsia="Arial" w:hAnsi="Arial"/>
          <w:sz w:val="16"/>
          <w:szCs w:val="16"/>
          <w:color w:val="auto"/>
        </w:rPr>
        <w:t>133.</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Omburtamab—Clinical Overview</w:t>
      </w:r>
    </w:p>
    <w:p>
      <w:pPr>
        <w:spacing w:after="0" w:line="27" w:lineRule="exact"/>
        <w:rPr>
          <w:sz w:val="20"/>
          <w:szCs w:val="20"/>
          <w:color w:val="auto"/>
        </w:rPr>
      </w:pPr>
    </w:p>
    <w:p>
      <w:pPr>
        <w:jc w:val="center"/>
        <w:ind w:right="-20"/>
        <w:spacing w:after="0" w:line="207" w:lineRule="exact"/>
        <w:rPr>
          <w:sz w:val="20"/>
          <w:szCs w:val="20"/>
          <w:color w:val="auto"/>
        </w:rPr>
      </w:pPr>
      <w:r>
        <w:rPr>
          <w:rFonts w:ascii="Arial" w:cs="Arial" w:eastAsia="Arial" w:hAnsi="Arial"/>
          <w:sz w:val="18"/>
          <w:szCs w:val="18"/>
          <w:b w:val="1"/>
          <w:bCs w:val="1"/>
          <w:color w:val="auto"/>
        </w:rPr>
        <w:t>Study 03</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133—Patient Profile and AEs (January 2004 -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539740" cy="3670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3974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9" w:firstLine="648"/>
        <w:spacing w:after="0" w:line="220" w:lineRule="exact"/>
        <w:rPr>
          <w:sz w:val="20"/>
          <w:szCs w:val="20"/>
          <w:color w:val="auto"/>
        </w:rPr>
      </w:pPr>
      <w:r>
        <w:rPr>
          <w:rFonts w:ascii="Arial" w:cs="Arial" w:eastAsia="Arial" w:hAnsi="Arial"/>
          <w:sz w:val="16"/>
          <w:szCs w:val="16"/>
          <w:color w:val="auto"/>
        </w:rPr>
        <w:t>In addition to satisfying certain other criteria, patients must have a histologically confirmed diagnosis of a malignancy known to be reactive to omburtamab, a B7</w:t>
      </w:r>
      <w:r>
        <w:rPr>
          <w:rFonts w:ascii="MS PGothic" w:cs="MS PGothic" w:eastAsia="MS PGothic" w:hAnsi="MS PGothic"/>
          <w:sz w:val="16"/>
          <w:szCs w:val="16"/>
          <w:color w:val="auto"/>
        </w:rPr>
        <w:t>‑</w:t>
      </w:r>
      <w:r>
        <w:rPr>
          <w:rFonts w:ascii="Arial" w:cs="Arial" w:eastAsia="Arial" w:hAnsi="Arial"/>
          <w:sz w:val="16"/>
          <w:szCs w:val="16"/>
          <w:color w:val="auto"/>
        </w:rPr>
        <w:t>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203" w:lineRule="exact"/>
        <w:rPr>
          <w:sz w:val="20"/>
          <w:szCs w:val="20"/>
          <w:color w:val="auto"/>
        </w:rPr>
      </w:pPr>
    </w:p>
    <w:p>
      <w:pPr>
        <w:ind w:right="19" w:firstLine="648"/>
        <w:spacing w:after="0" w:line="220" w:lineRule="exact"/>
        <w:rPr>
          <w:sz w:val="20"/>
          <w:szCs w:val="20"/>
          <w:color w:val="auto"/>
        </w:rPr>
      </w:pPr>
      <w:r>
        <w:rPr>
          <w:rFonts w:ascii="Arial" w:cs="Arial" w:eastAsia="Arial" w:hAnsi="Arial"/>
          <w:sz w:val="16"/>
          <w:szCs w:val="16"/>
          <w:color w:val="auto"/>
        </w:rPr>
        <w:t>Before enrollment in Study 03</w:t>
      </w:r>
      <w:r>
        <w:rPr>
          <w:rFonts w:ascii="MS PGothic" w:cs="MS PGothic" w:eastAsia="MS PGothic" w:hAnsi="MS PGothic"/>
          <w:sz w:val="16"/>
          <w:szCs w:val="16"/>
          <w:color w:val="auto"/>
        </w:rPr>
        <w:t>‑</w:t>
      </w:r>
      <w:r>
        <w:rPr>
          <w:rFonts w:ascii="Arial" w:cs="Arial" w:eastAsia="Arial" w:hAnsi="Arial"/>
          <w:sz w:val="16"/>
          <w:szCs w:val="16"/>
          <w:color w:val="auto"/>
        </w:rPr>
        <w:t>133, most patients underwent biopsy or debulking surgery to remove brain metastases as much as possible, followed by radiation therapy and chemotherapy. A majority of the patients were also treated with an anti</w:t>
      </w:r>
      <w:r>
        <w:rPr>
          <w:rFonts w:ascii="MS PGothic" w:cs="MS PGothic" w:eastAsia="MS PGothic" w:hAnsi="MS PGothic"/>
          <w:sz w:val="16"/>
          <w:szCs w:val="16"/>
          <w:color w:val="auto"/>
        </w:rPr>
        <w:t>‑</w:t>
      </w:r>
      <w:r>
        <w:rPr>
          <w:rFonts w:ascii="Arial" w:cs="Arial" w:eastAsia="Arial" w:hAnsi="Arial"/>
          <w:sz w:val="16"/>
          <w:szCs w:val="16"/>
          <w:color w:val="auto"/>
        </w:rPr>
        <w:t xml:space="preserve">GD2 immunotherapy such as naxitamab to control systemic disease after completing the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treatment under Study 03</w:t>
      </w:r>
      <w:r>
        <w:rPr>
          <w:rFonts w:ascii="MS PGothic" w:cs="MS PGothic" w:eastAsia="MS PGothic" w:hAnsi="MS PGothic"/>
          <w:sz w:val="16"/>
          <w:szCs w:val="16"/>
          <w:color w:val="auto"/>
        </w:rPr>
        <w:t>‑</w:t>
      </w:r>
      <w:r>
        <w:rPr>
          <w:rFonts w:ascii="Arial" w:cs="Arial" w:eastAsia="Arial" w:hAnsi="Arial"/>
          <w:sz w:val="16"/>
          <w:szCs w:val="16"/>
          <w:color w:val="auto"/>
        </w:rPr>
        <w:t>133. All patients had an intraventricular device implanted before enrollment in the study.</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the maximum dose of previous radiotherapy to CNS, or had progressive systemic disease.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under Study 03</w:t>
      </w:r>
      <w:r>
        <w:rPr>
          <w:rFonts w:ascii="MS PGothic" w:cs="MS PGothic" w:eastAsia="MS PGothic" w:hAnsi="MS PGothic"/>
          <w:sz w:val="18"/>
          <w:szCs w:val="18"/>
          <w:color w:val="auto"/>
        </w:rPr>
        <w:t>‑</w:t>
      </w:r>
      <w:r>
        <w:rPr>
          <w:rFonts w:ascii="Arial" w:cs="Arial" w:eastAsia="Arial" w:hAnsi="Arial"/>
          <w:sz w:val="18"/>
          <w:szCs w:val="18"/>
          <w:color w:val="auto"/>
        </w:rPr>
        <w:t>133 proceeds as follows:</w:t>
      </w:r>
    </w:p>
    <w:p>
      <w:pPr>
        <w:spacing w:after="0" w:line="204" w:lineRule="exact"/>
        <w:rPr>
          <w:sz w:val="20"/>
          <w:szCs w:val="20"/>
          <w:color w:val="auto"/>
        </w:rPr>
      </w:pPr>
    </w:p>
    <w:p>
      <w:pPr>
        <w:ind w:left="980" w:hanging="329"/>
        <w:spacing w:after="0" w:line="207"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Week 1: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(dosimetry dose: 2</w:t>
      </w:r>
      <w:r>
        <w:rPr>
          <w:rFonts w:ascii="MS PGothic" w:cs="MS PGothic" w:eastAsia="MS PGothic" w:hAnsi="MS PGothic"/>
          <w:sz w:val="18"/>
          <w:szCs w:val="18"/>
          <w:color w:val="auto"/>
        </w:rPr>
        <w:t>‑</w:t>
      </w:r>
      <w:r>
        <w:rPr>
          <w:rFonts w:ascii="Arial" w:cs="Arial" w:eastAsia="Arial" w:hAnsi="Arial"/>
          <w:sz w:val="18"/>
          <w:szCs w:val="18"/>
          <w:color w:val="auto"/>
        </w:rPr>
        <w:t>mCi imaging test dose);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Week 2: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(treatment dose: 30</w:t>
      </w:r>
      <w:r>
        <w:rPr>
          <w:rFonts w:ascii="MS PGothic" w:cs="MS PGothic" w:eastAsia="MS PGothic" w:hAnsi="MS PGothic"/>
          <w:sz w:val="18"/>
          <w:szCs w:val="18"/>
          <w:color w:val="auto"/>
        </w:rPr>
        <w:t>‑</w:t>
      </w:r>
      <w:r>
        <w:rPr>
          <w:rFonts w:ascii="Arial" w:cs="Arial" w:eastAsia="Arial" w:hAnsi="Arial"/>
          <w:sz w:val="18"/>
          <w:szCs w:val="18"/>
          <w:color w:val="auto"/>
        </w:rPr>
        <w:t>50 mCi depending on 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25" w:lineRule="exact"/>
        <w:rPr>
          <w:rFonts w:ascii="Arial" w:cs="Arial" w:eastAsia="Arial" w:hAnsi="Arial"/>
          <w:sz w:val="18"/>
          <w:szCs w:val="18"/>
          <w:color w:val="auto"/>
        </w:rPr>
      </w:pPr>
    </w:p>
    <w:p>
      <w:pPr>
        <w:ind w:left="980" w:right="240" w:hanging="329"/>
        <w:spacing w:after="0" w:line="223"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Week 5: post</w:t>
      </w:r>
      <w:r>
        <w:rPr>
          <w:rFonts w:ascii="MS PGothic" w:cs="MS PGothic" w:eastAsia="MS PGothic" w:hAnsi="MS PGothic"/>
          <w:sz w:val="18"/>
          <w:szCs w:val="18"/>
          <w:color w:val="auto"/>
        </w:rPr>
        <w:t>‑</w:t>
      </w:r>
      <w:r>
        <w:rPr>
          <w:rFonts w:ascii="Arial" w:cs="Arial" w:eastAsia="Arial" w:hAnsi="Arial"/>
          <w:sz w:val="18"/>
          <w:szCs w:val="18"/>
          <w:color w:val="auto"/>
        </w:rPr>
        <w:t>treatment evaluation comprised of magnetic resonance imaging, or MRI, of the head and spine, CSF cytology.</w:t>
      </w:r>
    </w:p>
    <w:p>
      <w:pPr>
        <w:sectPr>
          <w:pgSz w:w="11900" w:h="16838" w:orient="portrait"/>
          <w:cols w:equalWidth="0" w:num="1">
            <w:col w:w="9060"/>
          </w:cols>
          <w:pgMar w:left="1420" w:top="125" w:right="1419" w:bottom="1440" w:gutter="0" w:footer="0" w:header="0"/>
        </w:sectPr>
      </w:pPr>
    </w:p>
    <w:p>
      <w:pPr>
        <w:spacing w:after="0" w:line="213"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Administration of our radiolabeled omburtamab via 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-22225</wp:posOffset>
            </wp:positionV>
            <wp:extent cx="2298065" cy="2263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98065" cy="2263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PET scan of distribution of our radiolabeled omburtamab 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-22225</wp:posOffset>
            </wp:positionV>
            <wp:extent cx="1346200" cy="2255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200" cy="2255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300"/>
            <w:col w:w="4480"/>
          </w:cols>
          <w:pgMar w:left="1420" w:top="125"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w:t>
      </w:r>
    </w:p>
    <w:p>
      <w:pPr>
        <w:ind w:right="40"/>
        <w:spacing w:after="0" w:line="216" w:lineRule="exact"/>
        <w:rPr>
          <w:sz w:val="20"/>
          <w:szCs w:val="20"/>
          <w:color w:val="auto"/>
        </w:rPr>
      </w:pPr>
      <w:r>
        <w:rPr>
          <w:rFonts w:ascii="Arial" w:cs="Arial" w:eastAsia="Arial" w:hAnsi="Arial"/>
          <w:sz w:val="18"/>
          <w:szCs w:val="18"/>
          <w:color w:val="auto"/>
        </w:rPr>
        <w:t>B7</w:t>
      </w:r>
      <w:r>
        <w:rPr>
          <w:rFonts w:ascii="MS PGothic" w:cs="MS PGothic" w:eastAsia="MS PGothic" w:hAnsi="MS PGothic"/>
          <w:sz w:val="18"/>
          <w:szCs w:val="18"/>
          <w:color w:val="auto"/>
        </w:rPr>
        <w:t>‑</w:t>
      </w:r>
      <w:r>
        <w:rPr>
          <w:rFonts w:ascii="Arial" w:cs="Arial" w:eastAsia="Arial" w:hAnsi="Arial"/>
          <w:sz w:val="18"/>
          <w:szCs w:val="18"/>
          <w:color w:val="auto"/>
        </w:rPr>
        <w:t>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define the clinical toxicities of intrathecal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right="4020" w:firstLine="651"/>
        <w:spacing w:after="0" w:line="332" w:lineRule="exact"/>
        <w:tabs>
          <w:tab w:leader="none" w:pos="9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collect neurocognitive and long</w:t>
      </w:r>
      <w:r>
        <w:rPr>
          <w:rFonts w:ascii="MS PGothic" w:cs="MS PGothic" w:eastAsia="MS PGothic" w:hAnsi="MS PGothic"/>
          <w:sz w:val="18"/>
          <w:szCs w:val="18"/>
          <w:color w:val="auto"/>
        </w:rPr>
        <w:t>‑</w:t>
      </w:r>
      <w:r>
        <w:rPr>
          <w:rFonts w:ascii="Arial" w:cs="Arial" w:eastAsia="Arial" w:hAnsi="Arial"/>
          <w:sz w:val="18"/>
          <w:szCs w:val="18"/>
          <w:color w:val="auto"/>
        </w:rPr>
        <w:t>term follow</w:t>
      </w:r>
      <w:r>
        <w:rPr>
          <w:rFonts w:ascii="MS PGothic" w:cs="MS PGothic" w:eastAsia="MS PGothic" w:hAnsi="MS PGothic"/>
          <w:sz w:val="18"/>
          <w:szCs w:val="18"/>
          <w:color w:val="auto"/>
        </w:rPr>
        <w:t>‑</w:t>
      </w:r>
      <w:r>
        <w:rPr>
          <w:rFonts w:ascii="Arial" w:cs="Arial" w:eastAsia="Arial" w:hAnsi="Arial"/>
          <w:sz w:val="18"/>
          <w:szCs w:val="18"/>
          <w:color w:val="auto"/>
        </w:rPr>
        <w:t xml:space="preserve">up data. </w:t>
      </w:r>
      <w:r>
        <w:rPr>
          <w:rFonts w:ascii="Arial" w:cs="Arial" w:eastAsia="Arial" w:hAnsi="Arial"/>
          <w:sz w:val="18"/>
          <w:szCs w:val="18"/>
          <w:u w:val="single" w:color="auto"/>
          <w:color w:val="auto"/>
        </w:rPr>
        <w:t>Safety Results</w:t>
      </w:r>
    </w:p>
    <w:p>
      <w:pPr>
        <w:spacing w:after="0" w:line="202"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8"/>
          <w:szCs w:val="18"/>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at dose levels six and seven (60 and 70 mCi, respectively). As a result, a dose of 50 mCi was chosen for the expansion cohort. Among the 93 patients treated with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a total of 293 injections were administered and myelosuppression was observed in approximately</w:t>
      </w:r>
      <w:r>
        <w:rPr>
          <w:rFonts w:ascii="Arial" w:cs="Arial" w:eastAsia="Arial" w:hAnsi="Arial"/>
          <w:sz w:val="8"/>
          <w:szCs w:val="8"/>
          <w:color w:val="auto"/>
        </w:rPr>
        <w:t xml:space="preserve"> </w:t>
      </w:r>
      <w:r>
        <w:rPr>
          <w:rFonts w:ascii="Arial" w:cs="Arial" w:eastAsia="Arial" w:hAnsi="Arial"/>
          <w:sz w:val="18"/>
          <w:szCs w:val="18"/>
          <w:color w:val="auto"/>
        </w:rPr>
        <w:t>83 patients.</w:t>
      </w:r>
    </w:p>
    <w:p>
      <w:pPr>
        <w:spacing w:after="0" w:line="206"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i w:val="1"/>
          <w:iCs w:val="1"/>
          <w:color w:val="auto"/>
        </w:rPr>
        <w:t>Long</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term toxicities: </w:t>
      </w:r>
      <w:r>
        <w:rPr>
          <w:rFonts w:ascii="Arial" w:cs="Arial" w:eastAsia="Arial" w:hAnsi="Arial"/>
          <w:sz w:val="17"/>
          <w:szCs w:val="17"/>
          <w:color w:val="auto"/>
        </w:rPr>
        <w:t>There were no significant long</w:t>
      </w:r>
      <w:r>
        <w:rPr>
          <w:rFonts w:ascii="MS PGothic" w:cs="MS PGothic" w:eastAsia="MS PGothic" w:hAnsi="MS PGothic"/>
          <w:sz w:val="17"/>
          <w:szCs w:val="17"/>
          <w:color w:val="auto"/>
        </w:rPr>
        <w:t>‑</w:t>
      </w:r>
      <w:r>
        <w:rPr>
          <w:rFonts w:ascii="Arial" w:cs="Arial" w:eastAsia="Arial" w:hAnsi="Arial"/>
          <w:sz w:val="17"/>
          <w:szCs w:val="17"/>
          <w:color w:val="auto"/>
        </w:rPr>
        <w:t>term toxicities directly attributed to</w:t>
      </w:r>
      <w:r>
        <w:rPr>
          <w:rFonts w:ascii="Arial" w:cs="Arial" w:eastAsia="Arial" w:hAnsi="Arial"/>
          <w:sz w:val="17"/>
          <w:szCs w:val="17"/>
          <w:i w:val="1"/>
          <w:iCs w:val="1"/>
          <w:color w:val="auto"/>
        </w:rPr>
        <w:t xml:space="preserve">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There</w:t>
      </w:r>
      <w:r>
        <w:rPr>
          <w:rFonts w:ascii="Arial" w:cs="Arial" w:eastAsia="Arial" w:hAnsi="Arial"/>
          <w:sz w:val="17"/>
          <w:szCs w:val="17"/>
          <w:i w:val="1"/>
          <w:iCs w:val="1"/>
          <w:color w:val="auto"/>
        </w:rPr>
        <w:t xml:space="preserve"> </w:t>
      </w:r>
      <w:r>
        <w:rPr>
          <w:rFonts w:ascii="Arial" w:cs="Arial" w:eastAsia="Arial" w:hAnsi="Arial"/>
          <w:sz w:val="17"/>
          <w:szCs w:val="17"/>
          <w:color w:val="auto"/>
        </w:rPr>
        <w:t>was no increased risk of radionecrosis; specifically, neurologic deficits secondary to radionecrosis have not been observed in long</w:t>
      </w:r>
      <w:r>
        <w:rPr>
          <w:rFonts w:ascii="MS PGothic" w:cs="MS PGothic" w:eastAsia="MS PGothic" w:hAnsi="MS PGothic"/>
          <w:sz w:val="17"/>
          <w:szCs w:val="17"/>
          <w:color w:val="auto"/>
        </w:rPr>
        <w:t>‑</w:t>
      </w:r>
      <w:r>
        <w:rPr>
          <w:rFonts w:ascii="Arial" w:cs="Arial" w:eastAsia="Arial" w:hAnsi="Arial"/>
          <w:sz w:val="17"/>
          <w:szCs w:val="17"/>
          <w:color w:val="auto"/>
        </w:rPr>
        <w:t>term survivors. However, among long</w:t>
      </w:r>
      <w:r>
        <w:rPr>
          <w:rFonts w:ascii="MS PGothic" w:cs="MS PGothic" w:eastAsia="MS PGothic" w:hAnsi="MS PGothic"/>
          <w:sz w:val="17"/>
          <w:szCs w:val="17"/>
          <w:color w:val="auto"/>
        </w:rPr>
        <w:t>‑</w:t>
      </w:r>
      <w:r>
        <w:rPr>
          <w:rFonts w:ascii="Arial" w:cs="Arial" w:eastAsia="Arial" w:hAnsi="Arial"/>
          <w:sz w:val="17"/>
          <w:szCs w:val="17"/>
          <w:color w:val="auto"/>
        </w:rPr>
        <w:t xml:space="preserve">term survivors with a history of prior high dose induction chemotherapy, myeloablative regimens, craniospinal radiation therapy and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w:t>
      </w:r>
      <w:r>
        <w:rPr>
          <w:rFonts w:ascii="MS PGothic" w:cs="MS PGothic" w:eastAsia="MS PGothic" w:hAnsi="MS PGothic"/>
          <w:sz w:val="17"/>
          <w:szCs w:val="17"/>
          <w:color w:val="auto"/>
        </w:rPr>
        <w:t>‑</w:t>
      </w:r>
      <w:r>
        <w:rPr>
          <w:rFonts w:ascii="Arial" w:cs="Arial" w:eastAsia="Arial" w:hAnsi="Arial"/>
          <w:sz w:val="17"/>
          <w:szCs w:val="17"/>
          <w:color w:val="auto"/>
        </w:rPr>
        <w:t>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As of September 2018, 29 % of the patients had an SAE that was considered related to treatment by the investigator. The SAEs considered related by investigator were mainly in the System organ Class: investigations reflecting </w:t>
      </w:r>
      <w:r>
        <w:rPr>
          <w:rFonts w:ascii="Arial" w:cs="Arial" w:eastAsia="Arial" w:hAnsi="Arial"/>
          <w:sz w:val="8"/>
          <w:szCs w:val="8"/>
          <w:color w:val="auto"/>
        </w:rPr>
        <w:t>131</w:t>
      </w:r>
      <w:r>
        <w:rPr>
          <w:rFonts w:ascii="Arial" w:cs="Arial" w:eastAsia="Arial" w:hAnsi="Arial"/>
          <w:sz w:val="17"/>
          <w:szCs w:val="17"/>
          <w:color w:val="auto"/>
        </w:rPr>
        <w:t>I-mediated myelosuppression, which were considered related for the majority of the events. Related SAEs of vomiting were reported in five patients (3.4%), headache and meningitis chemical by four patients (2.7%) each.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firstLine="648"/>
        <w:spacing w:after="0" w:line="220" w:lineRule="exact"/>
        <w:rPr>
          <w:sz w:val="20"/>
          <w:szCs w:val="20"/>
          <w:color w:val="auto"/>
        </w:rPr>
      </w:pPr>
      <w:r>
        <w:rPr>
          <w:rFonts w:ascii="Arial" w:cs="Arial" w:eastAsia="Arial" w:hAnsi="Arial"/>
          <w:sz w:val="17"/>
          <w:szCs w:val="17"/>
          <w:color w:val="auto"/>
        </w:rPr>
        <w:t>Data reported as of August 2017 indicates that the median OS for the 93 patients with R/R NB who have CNS/LM from NB at relapse treated under Study 03</w:t>
      </w:r>
      <w:r>
        <w:rPr>
          <w:rFonts w:ascii="MS PGothic" w:cs="MS PGothic" w:eastAsia="MS PGothic" w:hAnsi="MS PGothic"/>
          <w:sz w:val="17"/>
          <w:szCs w:val="17"/>
          <w:color w:val="auto"/>
        </w:rPr>
        <w:t>‑</w:t>
      </w:r>
      <w:r>
        <w:rPr>
          <w:rFonts w:ascii="Arial" w:cs="Arial" w:eastAsia="Arial" w:hAnsi="Arial"/>
          <w:sz w:val="17"/>
          <w:szCs w:val="17"/>
          <w:color w:val="auto"/>
        </w:rPr>
        <w:t>133 was 47 months. As of August 2017, of these 93 patients, 51, or approximately 55%, were alive. We believe that the median OS may continue to increase. Based on calculations per the Kaplan</w:t>
      </w:r>
      <w:r>
        <w:rPr>
          <w:rFonts w:ascii="MS PGothic" w:cs="MS PGothic" w:eastAsia="MS PGothic" w:hAnsi="MS PGothic"/>
          <w:sz w:val="17"/>
          <w:szCs w:val="17"/>
          <w:color w:val="auto"/>
        </w:rPr>
        <w:t>‑</w:t>
      </w:r>
      <w:r>
        <w:rPr>
          <w:rFonts w:ascii="Arial" w:cs="Arial" w:eastAsia="Arial" w:hAnsi="Arial"/>
          <w:sz w:val="17"/>
          <w:szCs w:val="17"/>
          <w:color w:val="auto"/>
        </w:rPr>
        <w:t>Meier Plot, the estimated three</w:t>
      </w:r>
      <w:r>
        <w:rPr>
          <w:rFonts w:ascii="MS PGothic" w:cs="MS PGothic" w:eastAsia="MS PGothic" w:hAnsi="MS PGothic"/>
          <w:sz w:val="17"/>
          <w:szCs w:val="17"/>
          <w:color w:val="auto"/>
        </w:rPr>
        <w:t>‑</w:t>
      </w:r>
      <w:r>
        <w:rPr>
          <w:rFonts w:ascii="Arial" w:cs="Arial" w:eastAsia="Arial" w:hAnsi="Arial"/>
          <w:sz w:val="17"/>
          <w:szCs w:val="17"/>
          <w:color w:val="auto"/>
        </w:rPr>
        <w:t>year OS is 56% and the estimated five</w:t>
      </w:r>
      <w:r>
        <w:rPr>
          <w:rFonts w:ascii="MS PGothic" w:cs="MS PGothic" w:eastAsia="MS PGothic" w:hAnsi="MS PGothic"/>
          <w:sz w:val="17"/>
          <w:szCs w:val="17"/>
          <w:color w:val="auto"/>
        </w:rPr>
        <w:t>‑</w:t>
      </w:r>
      <w:r>
        <w:rPr>
          <w:rFonts w:ascii="Arial" w:cs="Arial" w:eastAsia="Arial" w:hAnsi="Arial"/>
          <w:sz w:val="17"/>
          <w:szCs w:val="17"/>
          <w:color w:val="auto"/>
        </w:rPr>
        <w:t>year OS is 43%.</w:t>
      </w:r>
    </w:p>
    <w:p>
      <w:pPr>
        <w:spacing w:after="0" w:line="204" w:lineRule="exact"/>
        <w:rPr>
          <w:sz w:val="20"/>
          <w:szCs w:val="20"/>
          <w:color w:val="auto"/>
        </w:rPr>
      </w:pPr>
    </w:p>
    <w:p>
      <w:pPr>
        <w:ind w:right="240" w:firstLine="648"/>
        <w:spacing w:after="0" w:line="221" w:lineRule="exact"/>
        <w:rPr>
          <w:sz w:val="20"/>
          <w:szCs w:val="20"/>
          <w:color w:val="auto"/>
        </w:rPr>
      </w:pPr>
      <w:r>
        <w:rPr>
          <w:rFonts w:ascii="Arial" w:cs="Arial" w:eastAsia="Arial" w:hAnsi="Arial"/>
          <w:sz w:val="16"/>
          <w:szCs w:val="16"/>
          <w:color w:val="auto"/>
        </w:rPr>
        <w:t xml:space="preserve">In a previous presentation of ASCO, an analysis of 80 patients showed that 38 patients died. Twenty, or approximately 53%, of these patients were attributed to reasons unrelated to any recurrence of CNS/LM from NB disease. We believe this is further indication of the potential effectiveness of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 treating CNS/LM from NB.</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5111115" cy="2881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1111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21" w:lineRule="exact"/>
        <w:rPr>
          <w:rFonts w:ascii="Arial" w:cs="Arial" w:eastAsia="Arial" w:hAnsi="Arial"/>
          <w:sz w:val="14"/>
          <w:szCs w:val="14"/>
          <w:color w:val="auto"/>
        </w:rPr>
      </w:pPr>
    </w:p>
    <w:p>
      <w:pPr>
        <w:ind w:left="320" w:hanging="317"/>
        <w:spacing w:after="0" w:line="371" w:lineRule="exact"/>
        <w:tabs>
          <w:tab w:leader="none" w:pos="320" w:val="left"/>
        </w:tabs>
        <w:numPr>
          <w:ilvl w:val="0"/>
          <w:numId w:val="27"/>
        </w:numPr>
        <w:rPr>
          <w:rFonts w:ascii="Arial" w:cs="Arial" w:eastAsia="Arial" w:hAnsi="Arial"/>
          <w:sz w:val="36"/>
          <w:szCs w:val="36"/>
          <w:color w:val="auto"/>
          <w:vertAlign w:val="subscript"/>
        </w:rPr>
      </w:pPr>
      <w:r>
        <w:rPr>
          <w:rFonts w:ascii="Arial" w:cs="Arial" w:eastAsia="Arial" w:hAnsi="Arial"/>
          <w:sz w:val="14"/>
          <w:szCs w:val="14"/>
          <w:color w:val="auto"/>
          <w:vertAlign w:val="superscript"/>
        </w:rPr>
        <w:t>131</w:t>
      </w:r>
      <w:r>
        <w:rPr>
          <w:rFonts w:ascii="Arial" w:cs="Arial" w:eastAsia="Arial" w:hAnsi="Arial"/>
          <w:sz w:val="14"/>
          <w:szCs w:val="14"/>
          <w:color w:val="auto"/>
        </w:rPr>
        <w:t>I</w:t>
      </w:r>
      <w:r>
        <w:rPr>
          <w:rFonts w:ascii="MS PGothic" w:cs="MS PGothic" w:eastAsia="MS PGothic" w:hAnsi="MS PGothic"/>
          <w:sz w:val="14"/>
          <w:szCs w:val="14"/>
          <w:color w:val="auto"/>
        </w:rPr>
        <w:t>‑</w:t>
      </w:r>
      <w:r>
        <w:rPr>
          <w:rFonts w:ascii="Arial" w:cs="Arial" w:eastAsia="Arial" w:hAnsi="Arial"/>
          <w:sz w:val="14"/>
          <w:szCs w:val="14"/>
          <w:color w:val="auto"/>
        </w:rPr>
        <w:t>omburtamab = Patients with CNS / LM treated under Study 03</w:t>
      </w:r>
      <w:r>
        <w:rPr>
          <w:rFonts w:ascii="MS PGothic" w:cs="MS PGothic" w:eastAsia="MS PGothic" w:hAnsi="MS PGothic"/>
          <w:sz w:val="14"/>
          <w:szCs w:val="14"/>
          <w:color w:val="auto"/>
        </w:rPr>
        <w:t>‑</w:t>
      </w:r>
      <w:r>
        <w:rPr>
          <w:rFonts w:ascii="Arial" w:cs="Arial" w:eastAsia="Arial" w:hAnsi="Arial"/>
          <w:sz w:val="14"/>
          <w:szCs w:val="14"/>
          <w:color w:val="auto"/>
        </w:rPr>
        <w:t>133.</w:t>
      </w:r>
    </w:p>
    <w:p>
      <w:pPr>
        <w:spacing w:after="0" w:line="248"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The figure above compares median OS data from Study 03</w:t>
      </w:r>
      <w:r>
        <w:rPr>
          <w:rFonts w:ascii="MS PGothic" w:cs="MS PGothic" w:eastAsia="MS PGothic" w:hAnsi="MS PGothic"/>
          <w:sz w:val="18"/>
          <w:szCs w:val="18"/>
          <w:color w:val="auto"/>
        </w:rPr>
        <w:t>‑</w:t>
      </w:r>
      <w:r>
        <w:rPr>
          <w:rFonts w:ascii="Arial" w:cs="Arial" w:eastAsia="Arial" w:hAnsi="Arial"/>
          <w:sz w:val="18"/>
          <w:szCs w:val="18"/>
          <w:color w:val="auto"/>
        </w:rPr>
        <w:t xml:space="preserve">133 with historical controls (described previously). Historical patient data extracted from three sources revealed median OS of 8.7 months in the literature, 4.7 months in the German NB Trials, and 5.5 months in the MSK historical cohort prior to the introduction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treatment. These results further demonstrate the lack of an established, effective therapy for these patients that we believe can potentially be addressed by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p>
      <w:pPr>
        <w:spacing w:after="0" w:line="206" w:lineRule="exact"/>
        <w:rPr>
          <w:sz w:val="20"/>
          <w:szCs w:val="20"/>
          <w:color w:val="auto"/>
        </w:rPr>
      </w:pPr>
    </w:p>
    <w:p>
      <w:pPr>
        <w:jc w:val="both"/>
        <w:ind w:right="20" w:firstLine="648"/>
        <w:spacing w:after="0" w:line="219" w:lineRule="exact"/>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treatment. This represents 93 treated patients from Study 03</w:t>
      </w:r>
      <w:r>
        <w:rPr>
          <w:rFonts w:ascii="MS PGothic" w:cs="MS PGothic" w:eastAsia="MS PGothic" w:hAnsi="MS PGothic"/>
          <w:sz w:val="18"/>
          <w:szCs w:val="18"/>
          <w:color w:val="auto"/>
        </w:rPr>
        <w:t>‑</w:t>
      </w:r>
      <w:r>
        <w:rPr>
          <w:rFonts w:ascii="Arial" w:cs="Arial" w:eastAsia="Arial" w:hAnsi="Arial"/>
          <w:sz w:val="18"/>
          <w:szCs w:val="18"/>
          <w:color w:val="auto"/>
        </w:rPr>
        <w:t>133 as at August 2017. The estimated three</w:t>
      </w:r>
      <w:r>
        <w:rPr>
          <w:rFonts w:ascii="MS PGothic" w:cs="MS PGothic" w:eastAsia="MS PGothic" w:hAnsi="MS PGothic"/>
          <w:sz w:val="18"/>
          <w:szCs w:val="18"/>
          <w:color w:val="auto"/>
        </w:rPr>
        <w:t>‑</w:t>
      </w:r>
      <w:r>
        <w:rPr>
          <w:rFonts w:ascii="Arial" w:cs="Arial" w:eastAsia="Arial" w:hAnsi="Arial"/>
          <w:sz w:val="18"/>
          <w:szCs w:val="18"/>
          <w:color w:val="auto"/>
        </w:rPr>
        <w:t>year median OS was 56% and the five</w:t>
      </w:r>
      <w:r>
        <w:rPr>
          <w:rFonts w:ascii="MS PGothic" w:cs="MS PGothic" w:eastAsia="MS PGothic" w:hAnsi="MS PGothic"/>
          <w:sz w:val="18"/>
          <w:szCs w:val="18"/>
          <w:color w:val="auto"/>
        </w:rPr>
        <w:t>‑</w:t>
      </w:r>
      <w:r>
        <w:rPr>
          <w:rFonts w:ascii="Arial" w:cs="Arial" w:eastAsia="Arial" w:hAnsi="Arial"/>
          <w:sz w:val="18"/>
          <w:szCs w:val="18"/>
          <w:color w:val="auto"/>
        </w:rPr>
        <w:t>year median OS was 43%. Survivors have been followed for up to 11.1 years, with a current mean duration of follow up of 2.6 years. Fifty</w:t>
      </w:r>
      <w:r>
        <w:rPr>
          <w:rFonts w:ascii="MS PGothic" w:cs="MS PGothic" w:eastAsia="MS PGothic" w:hAnsi="MS PGothic"/>
          <w:sz w:val="18"/>
          <w:szCs w:val="18"/>
          <w:color w:val="auto"/>
        </w:rPr>
        <w:t>‑</w:t>
      </w:r>
      <w:r>
        <w:rPr>
          <w:rFonts w:ascii="Arial" w:cs="Arial" w:eastAsia="Arial" w:hAnsi="Arial"/>
          <w:sz w:val="18"/>
          <w:szCs w:val="18"/>
          <w:color w:val="auto"/>
        </w:rPr>
        <w:t xml:space="preserve">one, or approximately 55%, of the 93 patients treated with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remained alive at their last follow up.</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368290" cy="352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6829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Salvage regimen (Kramer et al. J Neurooncology 97:409, 2012).</w:t>
      </w:r>
    </w:p>
    <w:p>
      <w:pPr>
        <w:spacing w:after="0" w:line="208" w:lineRule="exact"/>
        <w:rPr>
          <w:sz w:val="20"/>
          <w:szCs w:val="20"/>
          <w:color w:val="auto"/>
        </w:rPr>
      </w:pPr>
    </w:p>
    <w:p>
      <w:pPr>
        <w:ind w:left="980" w:right="20" w:hanging="323"/>
        <w:spacing w:after="0" w:line="224" w:lineRule="exact"/>
        <w:rPr>
          <w:sz w:val="20"/>
          <w:szCs w:val="20"/>
          <w:color w:val="auto"/>
        </w:rPr>
      </w:pPr>
      <w:r>
        <w:rPr>
          <w:rFonts w:ascii="Arial" w:cs="Arial" w:eastAsia="Arial" w:hAnsi="Arial"/>
          <w:sz w:val="16"/>
          <w:szCs w:val="16"/>
          <w:i w:val="1"/>
          <w:iCs w:val="1"/>
          <w:color w:val="auto"/>
        </w:rPr>
        <w:t xml:space="preserve">Study 101: A Multicenter Phase 2/3 Trial of the Efficacy and Safety of Intracerebroventricular Radioimmunotherapy using </w:t>
      </w:r>
      <w:r>
        <w:rPr>
          <w:rFonts w:ascii="Arial" w:cs="Arial" w:eastAsia="Arial" w:hAnsi="Arial"/>
          <w:sz w:val="7"/>
          <w:szCs w:val="7"/>
          <w:i w:val="1"/>
          <w:iCs w:val="1"/>
          <w:color w:val="auto"/>
        </w:rPr>
        <w:t>131</w:t>
      </w:r>
      <w:r>
        <w:rPr>
          <w:rFonts w:ascii="Arial" w:cs="Arial" w:eastAsia="Arial" w:hAnsi="Arial"/>
          <w:sz w:val="16"/>
          <w:szCs w:val="16"/>
          <w:i w:val="1"/>
          <w:iCs w:val="1"/>
          <w:color w:val="auto"/>
        </w:rPr>
        <w:t>I</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omburtamab for Neuroblastoma Central Nervous System/Leptomeningeal Metastases</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Study 101 is a pivotal Phase 2/3 single</w:t>
      </w:r>
      <w:r>
        <w:rPr>
          <w:rFonts w:ascii="MS PGothic" w:cs="MS PGothic" w:eastAsia="MS PGothic" w:hAnsi="MS PGothic"/>
          <w:sz w:val="17"/>
          <w:szCs w:val="17"/>
          <w:color w:val="auto"/>
        </w:rPr>
        <w:t>‑</w:t>
      </w:r>
      <w:r>
        <w:rPr>
          <w:rFonts w:ascii="Arial" w:cs="Arial" w:eastAsia="Arial" w:hAnsi="Arial"/>
          <w:sz w:val="17"/>
          <w:szCs w:val="17"/>
          <w:color w:val="auto"/>
        </w:rPr>
        <w:t>arm, open</w:t>
      </w:r>
      <w:r>
        <w:rPr>
          <w:rFonts w:ascii="MS PGothic" w:cs="MS PGothic" w:eastAsia="MS PGothic" w:hAnsi="MS PGothic"/>
          <w:sz w:val="17"/>
          <w:szCs w:val="17"/>
          <w:color w:val="auto"/>
        </w:rPr>
        <w:t>‑</w:t>
      </w:r>
      <w:r>
        <w:rPr>
          <w:rFonts w:ascii="Arial" w:cs="Arial" w:eastAsia="Arial" w:hAnsi="Arial"/>
          <w:sz w:val="17"/>
          <w:szCs w:val="17"/>
          <w:color w:val="auto"/>
        </w:rPr>
        <w:t>label, non</w:t>
      </w:r>
      <w:r>
        <w:rPr>
          <w:rFonts w:ascii="MS PGothic" w:cs="MS PGothic" w:eastAsia="MS PGothic" w:hAnsi="MS PGothic"/>
          <w:sz w:val="17"/>
          <w:szCs w:val="17"/>
          <w:color w:val="auto"/>
        </w:rPr>
        <w:t>‑</w:t>
      </w:r>
      <w:r>
        <w:rPr>
          <w:rFonts w:ascii="Arial" w:cs="Arial" w:eastAsia="Arial" w:hAnsi="Arial"/>
          <w:sz w:val="17"/>
          <w:szCs w:val="17"/>
          <w:color w:val="auto"/>
        </w:rPr>
        <w:t>randomized, multi</w:t>
      </w:r>
      <w:r>
        <w:rPr>
          <w:rFonts w:ascii="MS PGothic" w:cs="MS PGothic" w:eastAsia="MS PGothic" w:hAnsi="MS PGothic"/>
          <w:sz w:val="17"/>
          <w:szCs w:val="17"/>
          <w:color w:val="auto"/>
        </w:rPr>
        <w:t>‑</w:t>
      </w:r>
      <w:r>
        <w:rPr>
          <w:rFonts w:ascii="Arial" w:cs="Arial" w:eastAsia="Arial" w:hAnsi="Arial"/>
          <w:sz w:val="17"/>
          <w:szCs w:val="17"/>
          <w:color w:val="auto"/>
        </w:rPr>
        <w:t xml:space="preserve">center efficacy, safety, pharmacokinetics and dosimetry trial of intracerebroventricular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in pediatric patients with R/R NB who have CNS/LM from NB. Patients will receive up to two cycles of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This study commenced in the second quarter of 2018, and we plan to treat an initial 18 patients for an interim analysis for BLA submission purposes. The purpose of this part of the study is to demonstrate pharmacokinetic and dosimetry comparability between study sites using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from our cGMP commercial manufacturer and drug product previously produced by MSK. Study 101 has also been designed to satisfy the confirmatory study and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 by the FDA, and as a result, we will continue to recruit at least 14 more patients in addition to the initial 18 patients. We expect to submit the BLA for CNS/LM from NB in pediatric patients and expect to complete this submission in 2019.</w:t>
      </w:r>
    </w:p>
    <w:p>
      <w:pPr>
        <w:spacing w:after="0" w:line="204" w:lineRule="exact"/>
        <w:rPr>
          <w:sz w:val="20"/>
          <w:szCs w:val="20"/>
          <w:color w:val="auto"/>
        </w:rPr>
      </w:pPr>
    </w:p>
    <w:p>
      <w:pPr>
        <w:ind w:right="60" w:firstLine="648"/>
        <w:spacing w:after="0" w:line="220" w:lineRule="exact"/>
        <w:rPr>
          <w:sz w:val="20"/>
          <w:szCs w:val="20"/>
          <w:color w:val="auto"/>
        </w:rPr>
      </w:pPr>
      <w:r>
        <w:rPr>
          <w:rFonts w:ascii="Arial" w:cs="Arial" w:eastAsia="Arial" w:hAnsi="Arial"/>
          <w:sz w:val="17"/>
          <w:szCs w:val="17"/>
          <w:color w:val="auto"/>
        </w:rPr>
        <w:t>As described above an interim analysis will be performed when 18 patients have completed evaluations at week six, at which dosimetry and pharmacokinetics objective and available safety and efficacy data will be assessed. Data from this analysis will also be combined with the data from Study 03</w:t>
      </w:r>
      <w:r>
        <w:rPr>
          <w:rFonts w:ascii="MS PGothic" w:cs="MS PGothic" w:eastAsia="MS PGothic" w:hAnsi="MS PGothic"/>
          <w:sz w:val="17"/>
          <w:szCs w:val="17"/>
          <w:color w:val="auto"/>
        </w:rPr>
        <w:t>‑</w:t>
      </w:r>
      <w:r>
        <w:rPr>
          <w:rFonts w:ascii="Arial" w:cs="Arial" w:eastAsia="Arial" w:hAnsi="Arial"/>
          <w:sz w:val="17"/>
          <w:szCs w:val="17"/>
          <w:color w:val="auto"/>
        </w:rPr>
        <w:t xml:space="preserve">133 to support a potential accelerated approval for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for the treatment of pediatric patients with high-risk NB who have CNS/LM relapse.</w:t>
      </w:r>
    </w:p>
    <w:p>
      <w:pPr>
        <w:spacing w:after="0" w:line="204"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Safety and efficacy data will be investigated with short</w:t>
      </w:r>
      <w:r>
        <w:rPr>
          <w:rFonts w:ascii="MS PGothic" w:cs="MS PGothic" w:eastAsia="MS PGothic" w:hAnsi="MS PGothic"/>
          <w:sz w:val="17"/>
          <w:szCs w:val="17"/>
          <w:color w:val="auto"/>
        </w:rPr>
        <w:t>‑</w:t>
      </w:r>
      <w:r>
        <w:rPr>
          <w:rFonts w:ascii="Arial" w:cs="Arial" w:eastAsia="Arial" w:hAnsi="Arial"/>
          <w:sz w:val="17"/>
          <w:szCs w:val="17"/>
          <w:color w:val="auto"/>
        </w:rPr>
        <w:t>term follow</w:t>
      </w:r>
      <w:r>
        <w:rPr>
          <w:rFonts w:ascii="MS PGothic" w:cs="MS PGothic" w:eastAsia="MS PGothic" w:hAnsi="MS PGothic"/>
          <w:sz w:val="17"/>
          <w:szCs w:val="17"/>
          <w:color w:val="auto"/>
        </w:rPr>
        <w:t>‑</w:t>
      </w:r>
      <w:r>
        <w:rPr>
          <w:rFonts w:ascii="Arial" w:cs="Arial" w:eastAsia="Arial" w:hAnsi="Arial"/>
          <w:sz w:val="17"/>
          <w:szCs w:val="17"/>
          <w:color w:val="auto"/>
        </w:rPr>
        <w:t>up at 26 weeks after treatment and with</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term follow</w:t>
      </w:r>
      <w:r>
        <w:rPr>
          <w:rFonts w:ascii="MS PGothic" w:cs="MS PGothic" w:eastAsia="MS PGothic" w:hAnsi="MS PGothic"/>
          <w:sz w:val="16"/>
          <w:szCs w:val="16"/>
          <w:color w:val="auto"/>
        </w:rPr>
        <w:t>‑</w:t>
      </w:r>
      <w:r>
        <w:rPr>
          <w:rFonts w:ascii="Arial" w:cs="Arial" w:eastAsia="Arial" w:hAnsi="Arial"/>
          <w:sz w:val="16"/>
          <w:szCs w:val="16"/>
          <w:color w:val="auto"/>
        </w:rPr>
        <w:t>up for up to three years following treatment. Final analysis will be performed when all 32 treated patients</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have completed long</w:t>
      </w:r>
      <w:r>
        <w:rPr>
          <w:rFonts w:ascii="MS PGothic" w:cs="MS PGothic" w:eastAsia="MS PGothic" w:hAnsi="MS PGothic"/>
          <w:sz w:val="18"/>
          <w:szCs w:val="18"/>
          <w:color w:val="auto"/>
        </w:rPr>
        <w:t>‑</w:t>
      </w:r>
      <w:r>
        <w:rPr>
          <w:rFonts w:ascii="Arial" w:cs="Arial" w:eastAsia="Arial" w:hAnsi="Arial"/>
          <w:sz w:val="18"/>
          <w:szCs w:val="18"/>
          <w:color w:val="auto"/>
        </w:rPr>
        <w:t>term follow</w:t>
      </w:r>
      <w:r>
        <w:rPr>
          <w:rFonts w:ascii="MS PGothic" w:cs="MS PGothic" w:eastAsia="MS PGothic" w:hAnsi="MS PGothic"/>
          <w:sz w:val="18"/>
          <w:szCs w:val="18"/>
          <w:color w:val="auto"/>
        </w:rPr>
        <w:t>‑</w:t>
      </w:r>
      <w:r>
        <w:rPr>
          <w:rFonts w:ascii="Arial" w:cs="Arial" w:eastAsia="Arial" w:hAnsi="Arial"/>
          <w:sz w:val="18"/>
          <w:szCs w:val="18"/>
          <w:color w:val="auto"/>
        </w:rPr>
        <w:t>up (three years or until death).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9" w:firstLine="648"/>
        <w:spacing w:after="0" w:line="221" w:lineRule="exact"/>
        <w:rPr>
          <w:sz w:val="20"/>
          <w:szCs w:val="20"/>
          <w:color w:val="auto"/>
        </w:rPr>
      </w:pPr>
      <w:r>
        <w:rPr>
          <w:rFonts w:ascii="Arial" w:cs="Arial" w:eastAsia="Arial" w:hAnsi="Arial"/>
          <w:sz w:val="18"/>
          <w:szCs w:val="18"/>
          <w:color w:val="auto"/>
        </w:rPr>
        <w:t>Median OS at three years and its 95% CI will be estimated using Kaplan</w:t>
      </w:r>
      <w:r>
        <w:rPr>
          <w:rFonts w:ascii="MS PGothic" w:cs="MS PGothic" w:eastAsia="MS PGothic" w:hAnsi="MS PGothic"/>
          <w:sz w:val="18"/>
          <w:szCs w:val="18"/>
          <w:color w:val="auto"/>
        </w:rPr>
        <w:t>‑</w:t>
      </w:r>
      <w:r>
        <w:rPr>
          <w:rFonts w:ascii="Arial" w:cs="Arial" w:eastAsia="Arial" w:hAnsi="Arial"/>
          <w:sz w:val="18"/>
          <w:szCs w:val="18"/>
          <w:color w:val="auto"/>
        </w:rPr>
        <w:t>Meier methods. Efficacy will be achieved if the lower limit of the 95% CI of three</w:t>
      </w:r>
      <w:r>
        <w:rPr>
          <w:rFonts w:ascii="MS PGothic" w:cs="MS PGothic" w:eastAsia="MS PGothic" w:hAnsi="MS PGothic"/>
          <w:sz w:val="18"/>
          <w:szCs w:val="18"/>
          <w:color w:val="auto"/>
        </w:rPr>
        <w:t>‑</w:t>
      </w:r>
      <w:r>
        <w:rPr>
          <w:rFonts w:ascii="Arial" w:cs="Arial" w:eastAsia="Arial" w:hAnsi="Arial"/>
          <w:sz w:val="18"/>
          <w:szCs w:val="18"/>
          <w:color w:val="auto"/>
        </w:rPr>
        <w:t>year median OS exceeds 10%. PFS will also be analyzed using Kaplan</w:t>
      </w:r>
      <w:r>
        <w:rPr>
          <w:rFonts w:ascii="MS PGothic" w:cs="MS PGothic" w:eastAsia="MS PGothic" w:hAnsi="MS PGothic"/>
          <w:sz w:val="18"/>
          <w:szCs w:val="18"/>
          <w:color w:val="auto"/>
        </w:rPr>
        <w:t>‑</w:t>
      </w:r>
      <w:r>
        <w:rPr>
          <w:rFonts w:ascii="Arial" w:cs="Arial" w:eastAsia="Arial" w:hAnsi="Arial"/>
          <w:sz w:val="18"/>
          <w:szCs w:val="18"/>
          <w:color w:val="auto"/>
        </w:rPr>
        <w:t>Meier methods.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satisfying certain other criteria, patients must be less than 18 years of age at the time of screening.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Patients must have a histologically confirmed diagnosis of CNS/LM from NB with relapse.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single treatment cycle will last five weeks and will include premedication, intracerebroventricular</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8"/>
          <w:szCs w:val="8"/>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administration (one dosimetry dose and one treatment dose), an observation period, and post</w:t>
      </w:r>
      <w:r>
        <w:rPr>
          <w:rFonts w:ascii="MS PGothic" w:cs="MS PGothic" w:eastAsia="MS PGothic" w:hAnsi="MS PGothic"/>
          <w:sz w:val="16"/>
          <w:szCs w:val="16"/>
          <w:color w:val="auto"/>
        </w:rPr>
        <w:t>‑</w:t>
      </w:r>
      <w:r>
        <w:rPr>
          <w:rFonts w:ascii="Arial" w:cs="Arial" w:eastAsia="Arial" w:hAnsi="Arial"/>
          <w:sz w:val="16"/>
          <w:szCs w:val="16"/>
          <w:color w:val="auto"/>
        </w:rPr>
        <w:t>treatment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evaluations (see figure below).</w:t>
      </w:r>
    </w:p>
    <w:p>
      <w:pPr>
        <w:spacing w:after="0" w:line="21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One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treatment cycle for Study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63260" cy="960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326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determine OS rate at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25" w:lineRule="exact"/>
        <w:rPr>
          <w:rFonts w:ascii="Arial" w:cs="Arial" w:eastAsia="Arial" w:hAnsi="Arial"/>
          <w:sz w:val="18"/>
          <w:szCs w:val="18"/>
          <w:color w:val="auto"/>
        </w:rPr>
      </w:pPr>
    </w:p>
    <w:p>
      <w:pPr>
        <w:ind w:left="980" w:right="619" w:hanging="329"/>
        <w:spacing w:after="0" w:line="223"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w:t>
      </w:r>
      <w:r>
        <w:rPr>
          <w:rFonts w:ascii="MS PGothic" w:cs="MS PGothic" w:eastAsia="MS PGothic" w:hAnsi="MS PGothic"/>
          <w:sz w:val="18"/>
          <w:szCs w:val="18"/>
          <w:color w:val="auto"/>
        </w:rPr>
        <w:t>‑</w:t>
      </w:r>
      <w:r>
        <w:rPr>
          <w:rFonts w:ascii="Arial" w:cs="Arial" w:eastAsia="Arial" w:hAnsi="Arial"/>
          <w:sz w:val="18"/>
          <w:szCs w:val="18"/>
          <w:color w:val="auto"/>
        </w:rPr>
        <w:t>mouse antibodies, or HAMA, response formation.</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right="119" w:firstLine="648"/>
        <w:spacing w:after="0" w:line="219" w:lineRule="exact"/>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w:t>
      </w:r>
      <w:r>
        <w:rPr>
          <w:rFonts w:ascii="MS PGothic" w:cs="MS PGothic" w:eastAsia="MS PGothic" w:hAnsi="MS PGothic"/>
          <w:sz w:val="18"/>
          <w:szCs w:val="18"/>
          <w:color w:val="auto"/>
        </w:rPr>
        <w:t>‑</w:t>
      </w:r>
      <w:r>
        <w:rPr>
          <w:rFonts w:ascii="Arial" w:cs="Arial" w:eastAsia="Arial" w:hAnsi="Arial"/>
          <w:sz w:val="18"/>
          <w:szCs w:val="18"/>
          <w:color w:val="auto"/>
        </w:rPr>
        <w:t>133 and to satisfy the confirmatory study and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the BLA.</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9"/>
          <w:szCs w:val="9"/>
          <w:b w:val="1"/>
          <w:bCs w:val="1"/>
          <w:i w:val="1"/>
          <w:iCs w:val="1"/>
          <w:color w:val="auto"/>
        </w:rPr>
        <w:t>124</w:t>
      </w:r>
      <w:r>
        <w:rPr>
          <w:rFonts w:ascii="Arial" w:cs="Arial" w:eastAsia="Arial" w:hAnsi="Arial"/>
          <w:sz w:val="18"/>
          <w:szCs w:val="18"/>
          <w:b w:val="1"/>
          <w:bCs w:val="1"/>
          <w:i w:val="1"/>
          <w:iCs w:val="1"/>
          <w:color w:val="auto"/>
        </w:rPr>
        <w: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omburtamab for the Treatment of Diffuse Intrinsic Pontine Glioma</w:t>
      </w:r>
    </w:p>
    <w:p>
      <w:pPr>
        <w:spacing w:after="0" w:line="225" w:lineRule="exact"/>
        <w:rPr>
          <w:sz w:val="20"/>
          <w:szCs w:val="20"/>
          <w:color w:val="auto"/>
        </w:rPr>
      </w:pPr>
    </w:p>
    <w:p>
      <w:pPr>
        <w:ind w:right="40" w:firstLine="648"/>
        <w:spacing w:after="0" w:line="217" w:lineRule="exact"/>
        <w:rPr>
          <w:sz w:val="20"/>
          <w:szCs w:val="20"/>
          <w:color w:val="auto"/>
        </w:rPr>
      </w:pPr>
      <w:r>
        <w:rPr>
          <w:rFonts w:ascii="Arial" w:cs="Arial" w:eastAsia="Arial" w:hAnsi="Arial"/>
          <w:sz w:val="8"/>
          <w:szCs w:val="8"/>
          <w:color w:val="auto"/>
        </w:rPr>
        <w:t>124</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is currently being evaluated in an ongoing Phase 1/2 clinical trial (Study 11</w:t>
      </w:r>
      <w:r>
        <w:rPr>
          <w:rFonts w:ascii="MS PGothic" w:cs="MS PGothic" w:eastAsia="MS PGothic" w:hAnsi="MS PGothic"/>
          <w:sz w:val="16"/>
          <w:szCs w:val="16"/>
          <w:color w:val="auto"/>
        </w:rPr>
        <w:t>‑</w:t>
      </w:r>
      <w:r>
        <w:rPr>
          <w:rFonts w:ascii="Arial" w:cs="Arial" w:eastAsia="Arial" w:hAnsi="Arial"/>
          <w:sz w:val="16"/>
          <w:szCs w:val="16"/>
          <w:color w:val="auto"/>
        </w:rPr>
        <w:t>011) for the treatment</w:t>
      </w:r>
      <w:r>
        <w:rPr>
          <w:rFonts w:ascii="Arial" w:cs="Arial" w:eastAsia="Arial" w:hAnsi="Arial"/>
          <w:sz w:val="8"/>
          <w:szCs w:val="8"/>
          <w:color w:val="auto"/>
        </w:rPr>
        <w:t xml:space="preserve"> </w:t>
      </w:r>
      <w:r>
        <w:rPr>
          <w:rFonts w:ascii="Arial" w:cs="Arial" w:eastAsia="Arial" w:hAnsi="Arial"/>
          <w:sz w:val="16"/>
          <w:szCs w:val="16"/>
          <w:color w:val="auto"/>
        </w:rPr>
        <w:t>of DIPG. In contrast to Iodine</w:t>
      </w:r>
      <w:r>
        <w:rPr>
          <w:rFonts w:ascii="MS PGothic" w:cs="MS PGothic" w:eastAsia="MS PGothic" w:hAnsi="MS PGothic"/>
          <w:sz w:val="16"/>
          <w:szCs w:val="16"/>
          <w:color w:val="auto"/>
        </w:rPr>
        <w:t>‑</w:t>
      </w:r>
      <w:r>
        <w:rPr>
          <w:rFonts w:ascii="Arial" w:cs="Arial" w:eastAsia="Arial" w:hAnsi="Arial"/>
          <w:sz w:val="16"/>
          <w:szCs w:val="16"/>
          <w:color w:val="auto"/>
        </w:rPr>
        <w:t>131, which emits electrons, Iodine</w:t>
      </w:r>
      <w:r>
        <w:rPr>
          <w:rFonts w:ascii="MS PGothic" w:cs="MS PGothic" w:eastAsia="MS PGothic" w:hAnsi="MS PGothic"/>
          <w:sz w:val="16"/>
          <w:szCs w:val="16"/>
          <w:color w:val="auto"/>
        </w:rPr>
        <w:t>‑</w:t>
      </w:r>
      <w:r>
        <w:rPr>
          <w:rFonts w:ascii="Arial" w:cs="Arial" w:eastAsia="Arial" w:hAnsi="Arial"/>
          <w:sz w:val="16"/>
          <w:szCs w:val="16"/>
          <w:color w:val="auto"/>
        </w:rPr>
        <w:t>124 is a positron</w:t>
      </w:r>
      <w:r>
        <w:rPr>
          <w:rFonts w:ascii="MS PGothic" w:cs="MS PGothic" w:eastAsia="MS PGothic" w:hAnsi="MS PGothic"/>
          <w:sz w:val="16"/>
          <w:szCs w:val="16"/>
          <w:color w:val="auto"/>
        </w:rPr>
        <w:t>‑</w:t>
      </w:r>
      <w:r>
        <w:rPr>
          <w:rFonts w:ascii="Arial" w:cs="Arial" w:eastAsia="Arial" w:hAnsi="Arial"/>
          <w:sz w:val="16"/>
          <w:szCs w:val="16"/>
          <w:color w:val="auto"/>
        </w:rPr>
        <w:t xml:space="preserve">emitting iodine isotope. This enables measurement of iodine uptake using PET scans, which we believe is important when using radiotherapy in a critical organ such as pons, where overdosing may have serious consequences. In 2016, </w:t>
      </w:r>
      <w:r>
        <w:rPr>
          <w:rFonts w:ascii="Arial" w:cs="Arial" w:eastAsia="Arial" w:hAnsi="Arial"/>
          <w:sz w:val="7"/>
          <w:szCs w:val="7"/>
          <w:color w:val="auto"/>
        </w:rPr>
        <w:t>124</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 xml:space="preserve">omburtamab received RPDD from the FDA for the treatment of DIPG. As of October 2017, we have treated 33 patients with DIPG with </w:t>
      </w:r>
      <w:r>
        <w:rPr>
          <w:rFonts w:ascii="Arial" w:cs="Arial" w:eastAsia="Arial" w:hAnsi="Arial"/>
          <w:sz w:val="7"/>
          <w:szCs w:val="7"/>
          <w:color w:val="auto"/>
        </w:rPr>
        <w:t>124</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Interim clinical results from the dose escalation portion of the study, which were reported at the American Society of Clinical Oncology, or ASCO, in June 2017, demonstrated that convection</w:t>
      </w:r>
      <w:r>
        <w:rPr>
          <w:rFonts w:ascii="MS PGothic" w:cs="MS PGothic" w:eastAsia="MS PGothic" w:hAnsi="MS PGothic"/>
          <w:sz w:val="16"/>
          <w:szCs w:val="16"/>
          <w:color w:val="auto"/>
        </w:rPr>
        <w:t>‑</w:t>
      </w:r>
      <w:r>
        <w:rPr>
          <w:rFonts w:ascii="Arial" w:cs="Arial" w:eastAsia="Arial" w:hAnsi="Arial"/>
          <w:sz w:val="16"/>
          <w:szCs w:val="16"/>
          <w:color w:val="auto"/>
        </w:rPr>
        <w:t xml:space="preserve">enhanced delivery, or CED, of </w:t>
      </w:r>
      <w:r>
        <w:rPr>
          <w:rFonts w:ascii="Arial" w:cs="Arial" w:eastAsia="Arial" w:hAnsi="Arial"/>
          <w:sz w:val="7"/>
          <w:szCs w:val="7"/>
          <w:color w:val="auto"/>
        </w:rPr>
        <w:t>124</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 the brainstem of children with DIPG appears to be a generally feasible approach for drug delivery, based on an evaluation using distribution and pharmacokinetics. We believe that we may qualify for a sBLA, assuming positive pivotal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the brain and the spinal cord.</w:t>
      </w:r>
    </w:p>
    <w:p>
      <w:pPr>
        <w:spacing w:after="0" w:line="173"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w:t>
      </w:r>
      <w:r>
        <w:rPr>
          <w:rFonts w:ascii="MS PGothic" w:cs="MS PGothic" w:eastAsia="MS PGothic" w:hAnsi="MS PGothic"/>
          <w:sz w:val="17"/>
          <w:szCs w:val="17"/>
          <w:color w:val="auto"/>
        </w:rPr>
        <w:t>‑</w:t>
      </w:r>
      <w:r>
        <w:rPr>
          <w:rFonts w:ascii="Arial" w:cs="Arial" w:eastAsia="Arial" w:hAnsi="Arial"/>
          <w:sz w:val="17"/>
          <w:szCs w:val="17"/>
          <w:color w:val="auto"/>
        </w:rPr>
        <w:t>H3 positive. While DIPG accounts for approximately 10% to 15% of brain tumors in the pediatric population, it constitutes approximately 80% of brain tumor</w:t>
      </w:r>
      <w:r>
        <w:rPr>
          <w:rFonts w:ascii="MS PGothic" w:cs="MS PGothic" w:eastAsia="MS PGothic" w:hAnsi="MS PGothic"/>
          <w:sz w:val="17"/>
          <w:szCs w:val="17"/>
          <w:color w:val="auto"/>
        </w:rPr>
        <w:t>‑</w:t>
      </w:r>
      <w:r>
        <w:rPr>
          <w:rFonts w:ascii="Arial" w:cs="Arial" w:eastAsia="Arial" w:hAnsi="Arial"/>
          <w:sz w:val="17"/>
          <w:szCs w:val="17"/>
          <w:color w:val="auto"/>
        </w:rPr>
        <w:t>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205" w:lineRule="exact"/>
        <w:rPr>
          <w:sz w:val="20"/>
          <w:szCs w:val="20"/>
          <w:color w:val="auto"/>
        </w:rPr>
      </w:pPr>
    </w:p>
    <w:p>
      <w:pPr>
        <w:ind w:left="660"/>
        <w:spacing w:after="0" w:line="196" w:lineRule="exact"/>
        <w:rPr>
          <w:sz w:val="20"/>
          <w:szCs w:val="20"/>
          <w:color w:val="auto"/>
        </w:rPr>
      </w:pPr>
      <w:r>
        <w:rPr>
          <w:rFonts w:ascii="Arial" w:cs="Arial" w:eastAsia="Arial" w:hAnsi="Arial"/>
          <w:sz w:val="9"/>
          <w:szCs w:val="9"/>
          <w:i w:val="1"/>
          <w:iCs w:val="1"/>
          <w:color w:val="auto"/>
        </w:rPr>
        <w:t>124</w:t>
      </w:r>
      <w:r>
        <w:rPr>
          <w:rFonts w:ascii="Arial" w:cs="Arial" w:eastAsia="Arial" w:hAnsi="Arial"/>
          <w:sz w:val="17"/>
          <w:szCs w:val="17"/>
          <w:i w:val="1"/>
          <w:iCs w:val="1"/>
          <w:color w:val="auto"/>
        </w:rPr>
        <w:t>I</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omburtamab for Diffuse Intrinsic Pontine Glioma—Current Treatment Landscape and Associated Limitations</w:t>
      </w:r>
    </w:p>
    <w:p>
      <w:pPr>
        <w:spacing w:after="0" w:line="237"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w:t>
      </w:r>
      <w:r>
        <w:rPr>
          <w:rFonts w:ascii="MS PGothic" w:cs="MS PGothic" w:eastAsia="MS PGothic" w:hAnsi="MS PGothic"/>
          <w:sz w:val="16"/>
          <w:szCs w:val="16"/>
          <w:color w:val="auto"/>
        </w:rPr>
        <w:t>‑</w:t>
      </w:r>
      <w:r>
        <w:rPr>
          <w:rFonts w:ascii="Arial" w:cs="Arial" w:eastAsia="Arial" w:hAnsi="Arial"/>
          <w:sz w:val="16"/>
          <w:szCs w:val="16"/>
          <w:color w:val="auto"/>
        </w:rPr>
        <w:t>dose chemotherapy, the limited survival of patients with DIPG remains unchanged.</w:t>
      </w:r>
    </w:p>
    <w:p>
      <w:pPr>
        <w:spacing w:after="0" w:line="203"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81" w:lineRule="exact"/>
        <w:rPr>
          <w:sz w:val="20"/>
          <w:szCs w:val="20"/>
          <w:color w:val="auto"/>
        </w:rPr>
      </w:pPr>
    </w:p>
    <w:p>
      <w:pPr>
        <w:ind w:left="660"/>
        <w:spacing w:after="0" w:line="207" w:lineRule="exact"/>
        <w:rPr>
          <w:sz w:val="20"/>
          <w:szCs w:val="20"/>
          <w:color w:val="auto"/>
        </w:rPr>
      </w:pPr>
      <w:r>
        <w:rPr>
          <w:rFonts w:ascii="Arial" w:cs="Arial" w:eastAsia="Arial" w:hAnsi="Arial"/>
          <w:sz w:val="9"/>
          <w:szCs w:val="9"/>
          <w:i w:val="1"/>
          <w:iCs w:val="1"/>
          <w:color w:val="auto"/>
        </w:rPr>
        <w:t>124</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Diffuse Intrinsic Pontine Glioma—Clinical Development Program</w:t>
      </w:r>
    </w:p>
    <w:p>
      <w:pPr>
        <w:spacing w:after="0" w:line="225" w:lineRule="exact"/>
        <w:rPr>
          <w:sz w:val="20"/>
          <w:szCs w:val="20"/>
          <w:color w:val="auto"/>
        </w:rPr>
      </w:pPr>
    </w:p>
    <w:p>
      <w:pPr>
        <w:ind w:left="660"/>
        <w:spacing w:after="0" w:line="184" w:lineRule="exact"/>
        <w:rPr>
          <w:sz w:val="20"/>
          <w:szCs w:val="20"/>
          <w:color w:val="auto"/>
        </w:rPr>
      </w:pPr>
      <w:r>
        <w:rPr>
          <w:rFonts w:ascii="Arial" w:cs="Arial" w:eastAsia="Arial" w:hAnsi="Arial"/>
          <w:sz w:val="8"/>
          <w:szCs w:val="8"/>
          <w:color w:val="auto"/>
        </w:rPr>
        <w:t>124</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is currently being evaluated in an ongoing Phase 1 clinical study (Study 11</w:t>
      </w:r>
      <w:r>
        <w:rPr>
          <w:rFonts w:ascii="MS PGothic" w:cs="MS PGothic" w:eastAsia="MS PGothic" w:hAnsi="MS PGothic"/>
          <w:sz w:val="16"/>
          <w:szCs w:val="16"/>
          <w:color w:val="auto"/>
        </w:rPr>
        <w:t>‑</w:t>
      </w:r>
      <w:r>
        <w:rPr>
          <w:rFonts w:ascii="Arial" w:cs="Arial" w:eastAsia="Arial" w:hAnsi="Arial"/>
          <w:sz w:val="16"/>
          <w:szCs w:val="16"/>
          <w:color w:val="auto"/>
        </w:rPr>
        <w:t>011) for the treatment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DIPG.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759" w:hanging="323"/>
        <w:spacing w:after="0" w:line="224" w:lineRule="exact"/>
        <w:rPr>
          <w:sz w:val="20"/>
          <w:szCs w:val="20"/>
          <w:color w:val="auto"/>
        </w:rPr>
      </w:pPr>
      <w:r>
        <w:rPr>
          <w:rFonts w:ascii="Arial" w:cs="Arial" w:eastAsia="Arial" w:hAnsi="Arial"/>
          <w:sz w:val="16"/>
          <w:szCs w:val="16"/>
          <w:i w:val="1"/>
          <w:iCs w:val="1"/>
          <w:color w:val="auto"/>
        </w:rPr>
        <w:t>Study 11</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011: A Phase 1 Study of Convection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Enhanced Delivery of </w:t>
      </w:r>
      <w:r>
        <w:rPr>
          <w:rFonts w:ascii="Arial" w:cs="Arial" w:eastAsia="Arial" w:hAnsi="Arial"/>
          <w:sz w:val="7"/>
          <w:szCs w:val="7"/>
          <w:i w:val="1"/>
          <w:iCs w:val="1"/>
          <w:color w:val="auto"/>
        </w:rPr>
        <w:t>124</w:t>
      </w:r>
      <w:r>
        <w:rPr>
          <w:rFonts w:ascii="Arial" w:cs="Arial" w:eastAsia="Arial" w:hAnsi="Arial"/>
          <w:sz w:val="16"/>
          <w:szCs w:val="16"/>
          <w:i w:val="1"/>
          <w:iCs w:val="1"/>
          <w:color w:val="auto"/>
        </w:rPr>
        <w:t>I</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omburtamab for Patients with Non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Progressive Diffuse Pontine Gliomas Previously Treated with External Beam Radiation Therapy</w:t>
      </w:r>
    </w:p>
    <w:p>
      <w:pPr>
        <w:spacing w:after="0" w:line="202" w:lineRule="exact"/>
        <w:rPr>
          <w:sz w:val="20"/>
          <w:szCs w:val="20"/>
          <w:color w:val="auto"/>
        </w:rPr>
      </w:pPr>
    </w:p>
    <w:p>
      <w:pPr>
        <w:ind w:right="259" w:firstLine="648"/>
        <w:spacing w:after="0" w:line="221" w:lineRule="exact"/>
        <w:rPr>
          <w:sz w:val="20"/>
          <w:szCs w:val="20"/>
          <w:color w:val="auto"/>
        </w:rPr>
      </w:pPr>
      <w:r>
        <w:rPr>
          <w:rFonts w:ascii="Arial" w:cs="Arial" w:eastAsia="Arial" w:hAnsi="Arial"/>
          <w:sz w:val="17"/>
          <w:szCs w:val="17"/>
          <w:color w:val="auto"/>
        </w:rPr>
        <w:t xml:space="preserve">MSK is conducting a Phase 1, dose escalation study of CED of </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in children with non</w:t>
      </w:r>
      <w:r>
        <w:rPr>
          <w:rFonts w:ascii="MS PGothic" w:cs="MS PGothic" w:eastAsia="MS PGothic" w:hAnsi="MS PGothic"/>
          <w:sz w:val="17"/>
          <w:szCs w:val="17"/>
          <w:color w:val="auto"/>
        </w:rPr>
        <w:t>‑</w:t>
      </w:r>
      <w:r>
        <w:rPr>
          <w:rFonts w:ascii="Arial" w:cs="Arial" w:eastAsia="Arial" w:hAnsi="Arial"/>
          <w:sz w:val="17"/>
          <w:szCs w:val="17"/>
          <w:color w:val="auto"/>
        </w:rPr>
        <w:t>progressive DIPG previously treated with external beam radiation therapy. The study commenced in December 2011 and as of January 2019, 37 patients had been enrolled. We expect to enroll a total of 64 patients.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59" w:firstLine="648"/>
        <w:spacing w:after="0" w:line="221" w:lineRule="exact"/>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w:t>
      </w:r>
      <w:r>
        <w:rPr>
          <w:rFonts w:ascii="MS PGothic" w:cs="MS PGothic" w:eastAsia="MS PGothic" w:hAnsi="MS PGothic"/>
          <w:sz w:val="18"/>
          <w:szCs w:val="18"/>
          <w:color w:val="auto"/>
        </w:rPr>
        <w:t>‑</w:t>
      </w:r>
      <w:r>
        <w:rPr>
          <w:rFonts w:ascii="Arial" w:cs="Arial" w:eastAsia="Arial" w:hAnsi="Arial"/>
          <w:sz w:val="18"/>
          <w:szCs w:val="18"/>
          <w:color w:val="auto"/>
        </w:rPr>
        <w:t>PD DIPG previously treated with external beam radiation therapy. At least four weeks but not more than 14 weeks must have elapsed from the completion of radiotherapy.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99" w:firstLine="648"/>
        <w:spacing w:after="0" w:line="220" w:lineRule="exact"/>
        <w:rPr>
          <w:sz w:val="20"/>
          <w:szCs w:val="20"/>
          <w:color w:val="auto"/>
        </w:rPr>
      </w:pPr>
      <w:r>
        <w:rPr>
          <w:rFonts w:ascii="Arial" w:cs="Arial" w:eastAsia="Arial" w:hAnsi="Arial"/>
          <w:sz w:val="17"/>
          <w:szCs w:val="17"/>
          <w:color w:val="auto"/>
        </w:rPr>
        <w:t xml:space="preserve">The intervention is a surgical procedure using interstitial infusion of </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 xml:space="preserve">omburtamab into the brainstem tumor. It is performed by stereotactic placement of a small caliber infusion cannula into the tumor followed by a slow infusion CED of </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which was initially administered at doses ranging from 0.25 mCi to 4.0 mCi. Study 11</w:t>
      </w:r>
      <w:r>
        <w:rPr>
          <w:rFonts w:ascii="MS PGothic" w:cs="MS PGothic" w:eastAsia="MS PGothic" w:hAnsi="MS PGothic"/>
          <w:sz w:val="17"/>
          <w:szCs w:val="17"/>
          <w:color w:val="auto"/>
        </w:rPr>
        <w:t>‑</w:t>
      </w:r>
      <w:r>
        <w:rPr>
          <w:rFonts w:ascii="Arial" w:cs="Arial" w:eastAsia="Arial" w:hAnsi="Arial"/>
          <w:sz w:val="17"/>
          <w:szCs w:val="17"/>
          <w:color w:val="auto"/>
        </w:rPr>
        <w:t>011 was</w:t>
      </w:r>
      <w:r>
        <w:rPr>
          <w:rFonts w:ascii="Arial" w:cs="Arial" w:eastAsia="Arial" w:hAnsi="Arial"/>
          <w:sz w:val="8"/>
          <w:szCs w:val="8"/>
          <w:color w:val="auto"/>
        </w:rPr>
        <w:t xml:space="preserve"> </w:t>
      </w:r>
      <w:r>
        <w:rPr>
          <w:rFonts w:ascii="Arial" w:cs="Arial" w:eastAsia="Arial" w:hAnsi="Arial"/>
          <w:sz w:val="17"/>
          <w:szCs w:val="17"/>
          <w:color w:val="auto"/>
        </w:rPr>
        <w:t>subsequently amended for further dose escalation cohorts (using 6, 8, 10 and 12 mCi/injection,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determine the MTD of </w:t>
      </w:r>
      <w:r>
        <w:rPr>
          <w:rFonts w:ascii="Arial" w:cs="Arial" w:eastAsia="Arial" w:hAnsi="Arial"/>
          <w:sz w:val="8"/>
          <w:szCs w:val="8"/>
          <w:color w:val="auto"/>
        </w:rPr>
        <w:t>124</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administered via interstitial infusion in patients with DIPG.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right="39" w:hanging="329"/>
        <w:spacing w:after="0" w:line="223" w:lineRule="exact"/>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estimate tissue radiation doses and volumes of therapeutic distribution following </w:t>
      </w:r>
      <w:r>
        <w:rPr>
          <w:rFonts w:ascii="Arial" w:cs="Arial" w:eastAsia="Arial" w:hAnsi="Arial"/>
          <w:sz w:val="8"/>
          <w:szCs w:val="8"/>
          <w:color w:val="auto"/>
        </w:rPr>
        <w:t>124</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interstitial infusion in the brainstem.</w:t>
      </w:r>
    </w:p>
    <w:p>
      <w:pPr>
        <w:spacing w:after="0" w:line="203"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To assess the toxicity profile associated with </w:t>
      </w:r>
      <w:r>
        <w:rPr>
          <w:rFonts w:ascii="Arial" w:cs="Arial" w:eastAsia="Arial" w:hAnsi="Arial"/>
          <w:sz w:val="8"/>
          <w:szCs w:val="8"/>
          <w:color w:val="auto"/>
        </w:rPr>
        <w:t>124</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administered via CED to the brainstem.</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25" w:lineRule="exact"/>
        <w:rPr>
          <w:rFonts w:ascii="Arial" w:cs="Arial" w:eastAsia="Arial" w:hAnsi="Arial"/>
          <w:sz w:val="18"/>
          <w:szCs w:val="18"/>
          <w:color w:val="auto"/>
        </w:rPr>
      </w:pPr>
    </w:p>
    <w:p>
      <w:pPr>
        <w:ind w:left="980" w:right="99"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explore radiological parameters such as magnetic resonance, or MR, spectroscopy and delta T2 as potential indicators of response.</w:t>
      </w:r>
    </w:p>
    <w:p>
      <w:pPr>
        <w:spacing w:after="0" w:line="170" w:lineRule="exact"/>
        <w:rPr>
          <w:rFonts w:ascii="Arial" w:cs="Arial" w:eastAsia="Arial" w:hAnsi="Arial"/>
          <w:sz w:val="18"/>
          <w:szCs w:val="18"/>
          <w:color w:val="auto"/>
        </w:rPr>
      </w:pPr>
    </w:p>
    <w:p>
      <w:pPr>
        <w:ind w:left="980" w:right="799" w:hanging="329"/>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explore lesion dosimetry estimates obtained from serial PET/CT or PET/MR with clinical profile, performance status score and 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139" w:firstLine="648"/>
        <w:spacing w:after="0" w:line="297" w:lineRule="auto"/>
        <w:rPr>
          <w:sz w:val="20"/>
          <w:szCs w:val="20"/>
          <w:color w:val="auto"/>
        </w:rPr>
      </w:pPr>
      <w:r>
        <w:rPr>
          <w:rFonts w:ascii="Arial" w:cs="Arial" w:eastAsia="Arial" w:hAnsi="Arial"/>
          <w:sz w:val="16"/>
          <w:szCs w:val="16"/>
          <w:color w:val="auto"/>
        </w:rPr>
        <w:t>As noted above, interim data was presented at the June 2017 annual meeting of ASCO, which demonstrated that CED appears to be a feasible approach for drug delivery in the brainstem of children with DIPG as evaluated using distribution and pharmacokinetics. As of June 2017, 28 patients had been enrolled, of which 25 patients were evaluable. Three patients were not evaluable due to partial dose delivery. Of the 25 evaluable patients, one patient experienced alanine transaminase and aspartate transaminase elevation and one patient experienced Grade 3 hemiparesis.</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Multi</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Center Pediatric Brain Tumor Consortium Study</w:t>
      </w:r>
    </w:p>
    <w:p>
      <w:pPr>
        <w:spacing w:after="0" w:line="225" w:lineRule="exact"/>
        <w:rPr>
          <w:sz w:val="20"/>
          <w:szCs w:val="20"/>
          <w:color w:val="auto"/>
        </w:rPr>
      </w:pPr>
    </w:p>
    <w:p>
      <w:pPr>
        <w:ind w:right="359" w:firstLine="648"/>
        <w:spacing w:after="0" w:line="220" w:lineRule="exact"/>
        <w:rPr>
          <w:sz w:val="20"/>
          <w:szCs w:val="20"/>
          <w:color w:val="auto"/>
        </w:rPr>
      </w:pPr>
      <w:r>
        <w:rPr>
          <w:rFonts w:ascii="Arial" w:cs="Arial" w:eastAsia="Arial" w:hAnsi="Arial"/>
          <w:sz w:val="16"/>
          <w:szCs w:val="16"/>
          <w:color w:val="auto"/>
        </w:rPr>
        <w:t>The principal investigator for Study 11</w:t>
      </w:r>
      <w:r>
        <w:rPr>
          <w:rFonts w:ascii="MS PGothic" w:cs="MS PGothic" w:eastAsia="MS PGothic" w:hAnsi="MS PGothic"/>
          <w:sz w:val="16"/>
          <w:szCs w:val="16"/>
          <w:color w:val="auto"/>
        </w:rPr>
        <w:t>‑</w:t>
      </w:r>
      <w:r>
        <w:rPr>
          <w:rFonts w:ascii="Arial" w:cs="Arial" w:eastAsia="Arial" w:hAnsi="Arial"/>
          <w:sz w:val="16"/>
          <w:szCs w:val="16"/>
          <w:color w:val="auto"/>
        </w:rPr>
        <w:t>011, in collaboration with the Pediatric Brain Tumor Consortium, is currently drafting a feasibility study to expand the experiences from Study 11</w:t>
      </w:r>
      <w:r>
        <w:rPr>
          <w:rFonts w:ascii="MS PGothic" w:cs="MS PGothic" w:eastAsia="MS PGothic" w:hAnsi="MS PGothic"/>
          <w:sz w:val="16"/>
          <w:szCs w:val="16"/>
          <w:color w:val="auto"/>
        </w:rPr>
        <w:t>‑</w:t>
      </w:r>
      <w:r>
        <w:rPr>
          <w:rFonts w:ascii="Arial" w:cs="Arial" w:eastAsia="Arial" w:hAnsi="Arial"/>
          <w:sz w:val="16"/>
          <w:szCs w:val="16"/>
          <w:color w:val="auto"/>
        </w:rPr>
        <w:t>011 to other sites. This study will be a non</w:t>
      </w:r>
      <w:r>
        <w:rPr>
          <w:rFonts w:ascii="MS PGothic" w:cs="MS PGothic" w:eastAsia="MS PGothic" w:hAnsi="MS PGothic"/>
          <w:sz w:val="16"/>
          <w:szCs w:val="16"/>
          <w:color w:val="auto"/>
        </w:rPr>
        <w:t>‑</w:t>
      </w:r>
      <w:r>
        <w:rPr>
          <w:rFonts w:ascii="Arial" w:cs="Arial" w:eastAsia="Arial" w:hAnsi="Arial"/>
          <w:sz w:val="16"/>
          <w:szCs w:val="16"/>
          <w:color w:val="auto"/>
        </w:rPr>
        <w:t>randomized, multi</w:t>
      </w:r>
      <w:r>
        <w:rPr>
          <w:rFonts w:ascii="MS PGothic" w:cs="MS PGothic" w:eastAsia="MS PGothic" w:hAnsi="MS PGothic"/>
          <w:sz w:val="16"/>
          <w:szCs w:val="16"/>
          <w:color w:val="auto"/>
        </w:rPr>
        <w:t>‑</w:t>
      </w:r>
      <w:r>
        <w:rPr>
          <w:rFonts w:ascii="Arial" w:cs="Arial" w:eastAsia="Arial" w:hAnsi="Arial"/>
          <w:sz w:val="16"/>
          <w:szCs w:val="16"/>
          <w:color w:val="auto"/>
        </w:rPr>
        <w:t>center, feasibility trial using CED in the brainstem of children with DIPG. Each patient will have previously received external beam radiotherapy to the brainstem and will not have shown clear evidence of tumor</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progression following this therapy. Diagnostic and eligibility decisions for patients entering the study will be made by a multidisciplinary pediatric neuro</w:t>
      </w:r>
      <w:r>
        <w:rPr>
          <w:rFonts w:ascii="MS PGothic" w:cs="MS PGothic" w:eastAsia="MS PGothic" w:hAnsi="MS PGothic"/>
          <w:sz w:val="18"/>
          <w:szCs w:val="18"/>
          <w:color w:val="auto"/>
        </w:rPr>
        <w:t>‑</w:t>
      </w:r>
      <w:r>
        <w:rPr>
          <w:rFonts w:ascii="Arial" w:cs="Arial" w:eastAsia="Arial" w:hAnsi="Arial"/>
          <w:sz w:val="18"/>
          <w:szCs w:val="18"/>
          <w:color w:val="auto"/>
        </w:rPr>
        <w:t xml:space="preserve">oncology team at the treating site. Eligibility and surgical planning will be centrally reviewed. Patients will undergo a single treatment using CED of </w:t>
      </w:r>
      <w:r>
        <w:rPr>
          <w:rFonts w:ascii="Arial" w:cs="Arial" w:eastAsia="Arial" w:hAnsi="Arial"/>
          <w:sz w:val="8"/>
          <w:szCs w:val="8"/>
          <w:color w:val="auto"/>
        </w:rPr>
        <w:t>124</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w:t>
      </w:r>
      <w:r>
        <w:rPr>
          <w:rFonts w:ascii="MS PGothic" w:cs="MS PGothic" w:eastAsia="MS PGothic" w:hAnsi="MS PGothic"/>
          <w:sz w:val="18"/>
          <w:szCs w:val="18"/>
          <w:color w:val="auto"/>
        </w:rPr>
        <w:t>‑</w:t>
      </w:r>
      <w:r>
        <w:rPr>
          <w:rFonts w:ascii="Arial" w:cs="Arial" w:eastAsia="Arial" w:hAnsi="Arial"/>
          <w:sz w:val="18"/>
          <w:szCs w:val="18"/>
          <w:color w:val="auto"/>
        </w:rPr>
        <w:t>based algorithms will be used to monitor for geometric response. Serial liquid biopsies (serum, urine, CSF) will be explored as a correlate of tumor response.</w:t>
      </w:r>
    </w:p>
    <w:p>
      <w:pPr>
        <w:spacing w:after="0" w:line="207" w:lineRule="exact"/>
        <w:rPr>
          <w:sz w:val="20"/>
          <w:szCs w:val="20"/>
          <w:color w:val="auto"/>
        </w:rPr>
      </w:pPr>
    </w:p>
    <w:p>
      <w:pPr>
        <w:spacing w:after="0" w:line="207" w:lineRule="exact"/>
        <w:rPr>
          <w:sz w:val="20"/>
          <w:szCs w:val="20"/>
          <w:color w:val="auto"/>
        </w:rPr>
      </w:pPr>
      <w:r>
        <w:rPr>
          <w:rFonts w:ascii="Arial" w:cs="Arial" w:eastAsia="Arial" w:hAnsi="Arial"/>
          <w:sz w:val="9"/>
          <w:szCs w:val="9"/>
          <w:b w:val="1"/>
          <w:bCs w:val="1"/>
          <w:i w:val="1"/>
          <w:iCs w:val="1"/>
          <w:color w:val="auto"/>
        </w:rPr>
        <w:t>131</w:t>
      </w:r>
      <w:r>
        <w:rPr>
          <w:rFonts w:ascii="Arial" w:cs="Arial" w:eastAsia="Arial" w:hAnsi="Arial"/>
          <w:sz w:val="18"/>
          <w:szCs w:val="18"/>
          <w:b w:val="1"/>
          <w:bCs w:val="1"/>
          <w:i w:val="1"/>
          <w:iCs w:val="1"/>
          <w:color w:val="auto"/>
        </w:rPr>
        <w: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omburtamab for Treatment of Desmoplastic Small Round Cell Tumor</w:t>
      </w:r>
    </w:p>
    <w:p>
      <w:pPr>
        <w:spacing w:after="0" w:line="225" w:lineRule="exact"/>
        <w:rPr>
          <w:sz w:val="20"/>
          <w:szCs w:val="20"/>
          <w:color w:val="auto"/>
        </w:rPr>
      </w:pPr>
    </w:p>
    <w:p>
      <w:pPr>
        <w:ind w:firstLine="648"/>
        <w:spacing w:after="0" w:line="220" w:lineRule="exact"/>
        <w:rPr>
          <w:sz w:val="20"/>
          <w:szCs w:val="20"/>
          <w:color w:val="auto"/>
        </w:rPr>
      </w:pPr>
      <w:r>
        <w:rPr>
          <w:rFonts w:ascii="Arial" w:cs="Arial" w:eastAsia="Arial" w:hAnsi="Arial"/>
          <w:sz w:val="9"/>
          <w:szCs w:val="9"/>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is currently being evaluated in an ongoing Phase 1 clinical study (Study 09</w:t>
      </w:r>
      <w:r>
        <w:rPr>
          <w:rFonts w:ascii="MS PGothic" w:cs="MS PGothic" w:eastAsia="MS PGothic" w:hAnsi="MS PGothic"/>
          <w:sz w:val="18"/>
          <w:szCs w:val="18"/>
          <w:color w:val="auto"/>
        </w:rPr>
        <w:t>‑</w:t>
      </w:r>
      <w:r>
        <w:rPr>
          <w:rFonts w:ascii="Arial" w:cs="Arial" w:eastAsia="Arial" w:hAnsi="Arial"/>
          <w:sz w:val="18"/>
          <w:szCs w:val="18"/>
          <w:color w:val="auto"/>
        </w:rPr>
        <w:t>090) for the treatment</w:t>
      </w:r>
      <w:r>
        <w:rPr>
          <w:rFonts w:ascii="Arial" w:cs="Arial" w:eastAsia="Arial" w:hAnsi="Arial"/>
          <w:sz w:val="9"/>
          <w:szCs w:val="9"/>
          <w:color w:val="auto"/>
        </w:rPr>
        <w:t xml:space="preserve"> </w:t>
      </w:r>
      <w:r>
        <w:rPr>
          <w:rFonts w:ascii="Arial" w:cs="Arial" w:eastAsia="Arial" w:hAnsi="Arial"/>
          <w:sz w:val="18"/>
          <w:szCs w:val="18"/>
          <w:color w:val="auto"/>
        </w:rPr>
        <w:t>of DSRCT. In the data from 39 out of 41 patients that was presented in April 2018, no DLTs were observed and a MTD was not reached. In addition, there was no significant myelosuppression and stem cell rescue was not required. We believe that we may qualify for a sBLA, assuming positive pivotal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DSRCT is a rare and aggressive type of a soft tissue cancer (sarcoma) that primarily affects children and young adults and is more common in males. It is formed by small, round cancer cells surrounded by scar</w:t>
      </w:r>
      <w:r>
        <w:rPr>
          <w:rFonts w:ascii="MS PGothic" w:cs="MS PGothic" w:eastAsia="MS PGothic" w:hAnsi="MS PGothic"/>
          <w:sz w:val="17"/>
          <w:szCs w:val="17"/>
          <w:color w:val="auto"/>
        </w:rPr>
        <w:t>‑</w:t>
      </w:r>
      <w:r>
        <w:rPr>
          <w:rFonts w:ascii="Arial" w:cs="Arial" w:eastAsia="Arial" w:hAnsi="Arial"/>
          <w:sz w:val="17"/>
          <w:szCs w:val="17"/>
          <w:color w:val="auto"/>
        </w:rPr>
        <w:t>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w:t>
      </w:r>
      <w:r>
        <w:rPr>
          <w:rFonts w:ascii="MS PGothic" w:cs="MS PGothic" w:eastAsia="MS PGothic" w:hAnsi="MS PGothic"/>
          <w:sz w:val="17"/>
          <w:szCs w:val="17"/>
          <w:color w:val="auto"/>
        </w:rPr>
        <w:t>‑</w:t>
      </w:r>
      <w:r>
        <w:rPr>
          <w:rFonts w:ascii="Arial" w:cs="Arial" w:eastAsia="Arial" w:hAnsi="Arial"/>
          <w:sz w:val="17"/>
          <w:szCs w:val="17"/>
          <w:color w:val="auto"/>
        </w:rPr>
        <w:t>H3 positive. We believe the current addressable market for DSRCT consists of approximately 160 new DSRCT patients each year, representing approximately 65% of all new patients diagnosed with DSRCT in the United States and Europe, combined.</w:t>
      </w:r>
    </w:p>
    <w:p>
      <w:pPr>
        <w:spacing w:after="0" w:line="202" w:lineRule="exact"/>
        <w:rPr>
          <w:sz w:val="20"/>
          <w:szCs w:val="20"/>
          <w:color w:val="auto"/>
        </w:rPr>
      </w:pPr>
    </w:p>
    <w:p>
      <w:pPr>
        <w:ind w:left="980" w:right="660" w:hanging="323"/>
        <w:spacing w:after="0" w:line="223" w:lineRule="exact"/>
        <w:rPr>
          <w:sz w:val="20"/>
          <w:szCs w:val="20"/>
          <w:color w:val="auto"/>
        </w:rPr>
      </w:pPr>
      <w:r>
        <w:rPr>
          <w:rFonts w:ascii="Arial" w:cs="Arial" w:eastAsia="Arial" w:hAnsi="Arial"/>
          <w:sz w:val="9"/>
          <w:szCs w:val="9"/>
          <w:i w:val="1"/>
          <w:iCs w:val="1"/>
          <w:color w:val="auto"/>
        </w:rPr>
        <w:t>131</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Desmoplastic Small Round Cell Tumor—Current Treatment Landscape and Associated</w:t>
      </w:r>
      <w:r>
        <w:rPr>
          <w:rFonts w:ascii="Arial" w:cs="Arial" w:eastAsia="Arial" w:hAnsi="Arial"/>
          <w:sz w:val="9"/>
          <w:szCs w:val="9"/>
          <w:i w:val="1"/>
          <w:iCs w:val="1"/>
          <w:color w:val="auto"/>
        </w:rPr>
        <w:t xml:space="preserve"> </w:t>
      </w:r>
      <w:r>
        <w:rPr>
          <w:rFonts w:ascii="Arial" w:cs="Arial" w:eastAsia="Arial" w:hAnsi="Arial"/>
          <w:sz w:val="18"/>
          <w:szCs w:val="18"/>
          <w:i w:val="1"/>
          <w:iCs w:val="1"/>
          <w:color w:val="auto"/>
        </w:rPr>
        <w:t>Limitations</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w:t>
      </w:r>
      <w:r>
        <w:rPr>
          <w:rFonts w:ascii="MS PGothic" w:cs="MS PGothic" w:eastAsia="MS PGothic" w:hAnsi="MS PGothic"/>
          <w:sz w:val="18"/>
          <w:szCs w:val="18"/>
          <w:color w:val="auto"/>
        </w:rPr>
        <w:t>‑</w:t>
      </w:r>
      <w:r>
        <w:rPr>
          <w:rFonts w:ascii="Arial" w:cs="Arial" w:eastAsia="Arial" w:hAnsi="Arial"/>
          <w:sz w:val="18"/>
          <w:szCs w:val="18"/>
          <w:color w:val="auto"/>
        </w:rPr>
        <w:t>year OS rate of less than 15%, patients almost invariably relapse.</w:t>
      </w:r>
    </w:p>
    <w:p>
      <w:pPr>
        <w:spacing w:after="0" w:line="20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81" w:lineRule="exact"/>
        <w:rPr>
          <w:sz w:val="20"/>
          <w:szCs w:val="20"/>
          <w:color w:val="auto"/>
        </w:rPr>
      </w:pPr>
    </w:p>
    <w:p>
      <w:pPr>
        <w:ind w:left="660"/>
        <w:spacing w:after="0" w:line="207" w:lineRule="exact"/>
        <w:rPr>
          <w:sz w:val="20"/>
          <w:szCs w:val="20"/>
          <w:color w:val="auto"/>
        </w:rPr>
      </w:pPr>
      <w:r>
        <w:rPr>
          <w:rFonts w:ascii="Arial" w:cs="Arial" w:eastAsia="Arial" w:hAnsi="Arial"/>
          <w:sz w:val="9"/>
          <w:szCs w:val="9"/>
          <w:i w:val="1"/>
          <w:iCs w:val="1"/>
          <w:color w:val="auto"/>
        </w:rPr>
        <w:t>131</w:t>
      </w:r>
      <w:r>
        <w:rPr>
          <w:rFonts w:ascii="Arial" w:cs="Arial" w:eastAsia="Arial" w:hAnsi="Arial"/>
          <w:sz w:val="18"/>
          <w:szCs w:val="18"/>
          <w:i w:val="1"/>
          <w:iCs w:val="1"/>
          <w:color w:val="auto"/>
        </w:rPr>
        <w: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 for Desmoplastic Small Round Cell Tumor—Clinical Development Program</w:t>
      </w:r>
    </w:p>
    <w:p>
      <w:pPr>
        <w:spacing w:after="0" w:line="225"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 xml:space="preserve">Currently,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is being evaluated in an ongoing clinical study (Study 09</w:t>
      </w:r>
      <w:r>
        <w:rPr>
          <w:rFonts w:ascii="MS PGothic" w:cs="MS PGothic" w:eastAsia="MS PGothic" w:hAnsi="MS PGothic"/>
          <w:sz w:val="18"/>
          <w:szCs w:val="18"/>
          <w:color w:val="auto"/>
        </w:rPr>
        <w:t>‑</w:t>
      </w:r>
      <w:r>
        <w:rPr>
          <w:rFonts w:ascii="Arial" w:cs="Arial" w:eastAsia="Arial" w:hAnsi="Arial"/>
          <w:sz w:val="18"/>
          <w:szCs w:val="18"/>
          <w:color w:val="auto"/>
        </w:rPr>
        <w:t>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580" w:hanging="323"/>
        <w:spacing w:after="0" w:line="224" w:lineRule="exact"/>
        <w:rPr>
          <w:sz w:val="20"/>
          <w:szCs w:val="20"/>
          <w:color w:val="auto"/>
        </w:rPr>
      </w:pPr>
      <w:r>
        <w:rPr>
          <w:rFonts w:ascii="Arial" w:cs="Arial" w:eastAsia="Arial" w:hAnsi="Arial"/>
          <w:sz w:val="17"/>
          <w:szCs w:val="17"/>
          <w:i w:val="1"/>
          <w:iCs w:val="1"/>
          <w:color w:val="auto"/>
        </w:rPr>
        <w:t>Study 09</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090: Phase 1 Study of Intraperitoneal Radioimmunotherapy with </w:t>
      </w:r>
      <w:r>
        <w:rPr>
          <w:rFonts w:ascii="Arial" w:cs="Arial" w:eastAsia="Arial" w:hAnsi="Arial"/>
          <w:sz w:val="8"/>
          <w:szCs w:val="8"/>
          <w:i w:val="1"/>
          <w:iCs w:val="1"/>
          <w:color w:val="auto"/>
        </w:rPr>
        <w:t>131</w:t>
      </w:r>
      <w:r>
        <w:rPr>
          <w:rFonts w:ascii="Arial" w:cs="Arial" w:eastAsia="Arial" w:hAnsi="Arial"/>
          <w:sz w:val="17"/>
          <w:szCs w:val="17"/>
          <w:i w:val="1"/>
          <w:iCs w:val="1"/>
          <w:color w:val="auto"/>
        </w:rPr>
        <w:t>I</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omburtamab for Patients with Desmoplastic Small Round Cell Tumors and Other Solid Tumors Involving the Peritoneum</w:t>
      </w:r>
    </w:p>
    <w:p>
      <w:pPr>
        <w:spacing w:after="0" w:line="202"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for treatment of patients with DSRCT and other B7</w:t>
      </w:r>
      <w:r>
        <w:rPr>
          <w:rFonts w:ascii="MS PGothic" w:cs="MS PGothic" w:eastAsia="MS PGothic" w:hAnsi="MS PGothic"/>
          <w:sz w:val="18"/>
          <w:szCs w:val="18"/>
          <w:color w:val="auto"/>
        </w:rPr>
        <w:t>‑</w:t>
      </w:r>
      <w:r>
        <w:rPr>
          <w:rFonts w:ascii="Arial" w:cs="Arial" w:eastAsia="Arial" w:hAnsi="Arial"/>
          <w:sz w:val="18"/>
          <w:szCs w:val="18"/>
          <w:color w:val="auto"/>
        </w:rPr>
        <w:t>H3 positive solid tumors metastatic to the peritoneum. The primary purpose of the study is to define the toxicity and the MTD, assess the pharmacokinetics, and assess response of DSRCT and other solid tumors. The study commenced in April 2010 and as of May 2018, 50 patients had been enrolled.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reactive DSCRT or solid tumors that involve the peritoneum.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48"/>
        <w:spacing w:after="0" w:line="221" w:lineRule="exact"/>
        <w:rPr>
          <w:sz w:val="20"/>
          <w:szCs w:val="20"/>
          <w:color w:val="auto"/>
        </w:rPr>
      </w:pPr>
      <w:r>
        <w:rPr>
          <w:rFonts w:ascii="Arial" w:cs="Arial" w:eastAsia="Arial" w:hAnsi="Arial"/>
          <w:sz w:val="18"/>
          <w:szCs w:val="18"/>
          <w:color w:val="auto"/>
        </w:rPr>
        <w:t>The study was designed as an open</w:t>
      </w:r>
      <w:r>
        <w:rPr>
          <w:rFonts w:ascii="MS PGothic" w:cs="MS PGothic" w:eastAsia="MS PGothic" w:hAnsi="MS PGothic"/>
          <w:sz w:val="18"/>
          <w:szCs w:val="18"/>
          <w:color w:val="auto"/>
        </w:rPr>
        <w:t>‑</w:t>
      </w:r>
      <w:r>
        <w:rPr>
          <w:rFonts w:ascii="Arial" w:cs="Arial" w:eastAsia="Arial" w:hAnsi="Arial"/>
          <w:sz w:val="18"/>
          <w:szCs w:val="18"/>
          <w:color w:val="auto"/>
        </w:rPr>
        <w:t>label single</w:t>
      </w:r>
      <w:r>
        <w:rPr>
          <w:rFonts w:ascii="MS PGothic" w:cs="MS PGothic" w:eastAsia="MS PGothic" w:hAnsi="MS PGothic"/>
          <w:sz w:val="18"/>
          <w:szCs w:val="18"/>
          <w:color w:val="auto"/>
        </w:rPr>
        <w:t>‑</w:t>
      </w:r>
      <w:r>
        <w:rPr>
          <w:rFonts w:ascii="Arial" w:cs="Arial" w:eastAsia="Arial" w:hAnsi="Arial"/>
          <w:sz w:val="18"/>
          <w:szCs w:val="18"/>
          <w:color w:val="auto"/>
        </w:rPr>
        <w:t xml:space="preserve">arm dose escalation study to evaluate IP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which was administered at doses ranging from 30 mCi/m</w:t>
      </w:r>
      <w:r>
        <w:rPr>
          <w:rFonts w:ascii="Arial" w:cs="Arial" w:eastAsia="Arial" w:hAnsi="Arial"/>
          <w:sz w:val="8"/>
          <w:szCs w:val="8"/>
          <w:color w:val="auto"/>
        </w:rPr>
        <w:t>2</w:t>
      </w:r>
      <w:r>
        <w:rPr>
          <w:rFonts w:ascii="Arial" w:cs="Arial" w:eastAsia="Arial" w:hAnsi="Arial"/>
          <w:sz w:val="18"/>
          <w:szCs w:val="18"/>
          <w:color w:val="auto"/>
        </w:rPr>
        <w:t xml:space="preserve"> to 90 mCi/m</w:t>
      </w:r>
      <w:r>
        <w:rPr>
          <w:rFonts w:ascii="Arial" w:cs="Arial" w:eastAsia="Arial" w:hAnsi="Arial"/>
          <w:sz w:val="8"/>
          <w:szCs w:val="8"/>
          <w:color w:val="auto"/>
        </w:rPr>
        <w:t>2</w:t>
      </w:r>
      <w:r>
        <w:rPr>
          <w:rFonts w:ascii="Arial" w:cs="Arial" w:eastAsia="Arial" w:hAnsi="Arial"/>
          <w:sz w:val="18"/>
          <w:szCs w:val="18"/>
          <w:color w:val="auto"/>
        </w:rPr>
        <w:t>. The expansion cohort comprised an additional 10 patients who were dosed at 80 mCi/m</w:t>
      </w:r>
      <w:r>
        <w:rPr>
          <w:rFonts w:ascii="Arial" w:cs="Arial" w:eastAsia="Arial" w:hAnsi="Arial"/>
          <w:sz w:val="8"/>
          <w:szCs w:val="8"/>
          <w:color w:val="auto"/>
        </w:rPr>
        <w:t>2</w:t>
      </w:r>
      <w:r>
        <w:rPr>
          <w:rFonts w:ascii="Arial" w:cs="Arial" w:eastAsia="Arial" w:hAnsi="Arial"/>
          <w:sz w:val="18"/>
          <w:szCs w:val="18"/>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980" w:hanging="329"/>
        <w:spacing w:after="0" w:line="207"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define the toxicity and the MTD of IP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980" w:hanging="329"/>
        <w:spacing w:after="0" w:line="207"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To assess pharmacokinetics for IP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w:t>
      </w:r>
    </w:p>
    <w:p>
      <w:pPr>
        <w:spacing w:after="0" w:line="225" w:lineRule="exact"/>
        <w:rPr>
          <w:rFonts w:ascii="Arial" w:cs="Arial" w:eastAsia="Arial" w:hAnsi="Arial"/>
          <w:sz w:val="18"/>
          <w:szCs w:val="18"/>
          <w:color w:val="auto"/>
        </w:rPr>
      </w:pPr>
    </w:p>
    <w:p>
      <w:pPr>
        <w:ind w:right="2620" w:firstLine="651"/>
        <w:spacing w:after="0" w:line="332" w:lineRule="exact"/>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To assess response of DSRCT and other solid tumors to IP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 xml:space="preserve">omburtamab. </w:t>
      </w:r>
      <w:r>
        <w:rPr>
          <w:rFonts w:ascii="Arial" w:cs="Arial" w:eastAsia="Arial" w:hAnsi="Arial"/>
          <w:sz w:val="18"/>
          <w:szCs w:val="18"/>
          <w:u w:val="single" w:color="auto"/>
          <w:color w:val="auto"/>
        </w:rPr>
        <w:t>Safety Results</w:t>
      </w:r>
    </w:p>
    <w:p>
      <w:pPr>
        <w:spacing w:after="0" w:line="202" w:lineRule="exact"/>
        <w:rPr>
          <w:sz w:val="20"/>
          <w:szCs w:val="20"/>
          <w:color w:val="auto"/>
        </w:rPr>
      </w:pPr>
    </w:p>
    <w:p>
      <w:pPr>
        <w:ind w:right="240" w:firstLine="648"/>
        <w:spacing w:after="0" w:line="219" w:lineRule="exact"/>
        <w:rPr>
          <w:sz w:val="20"/>
          <w:szCs w:val="20"/>
          <w:color w:val="auto"/>
        </w:rPr>
      </w:pPr>
      <w:r>
        <w:rPr>
          <w:rFonts w:ascii="Arial" w:cs="Arial" w:eastAsia="Arial" w:hAnsi="Arial"/>
          <w:sz w:val="18"/>
          <w:szCs w:val="18"/>
          <w:color w:val="auto"/>
        </w:rPr>
        <w:t xml:space="preserve">In the data from 41 patients with DSRCT presented in April 2018, no DLTs were observed and a MTD was not reached. In addition, there was no significant myelosuppression and stem cell rescue was not required. Three patients experienced Grade 3 neutropenia, three patients experienced Grade 4 neutropenia, six patients experienced Grade 3 thrombocytopenia, one patient experienced Grade 3 AST elevation and four patients experienced Grade 2 abdominal pain. We believe that the initial data from the first group of patients supports continued investigation of the benefit of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 this patient population.</w:t>
      </w: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Clinical Safety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non-clinical studies evaluating the pharmacology and toxicology of omburtamab, no significant toxicity was observed in different species, including rats and non-human primates. Omburtamab has preferential affinity for a spectrum of cancerous tissues that express B7-H3, with minimal binding to normal tissues. Omburtamab specifically targets the B7-H3 protein on the surface of cancer cells. B7-H3 expression is restricted to the liver and adrenal glands, and absent in most other human tissues, notably the brain. We believe that the lack of cross reactivity with most normal human tissues, specifically within the brain, and the localized binding of omburtamab to the surface of cancer cells that express B7-H3, makes omburtamab a viable candidate for compartmental targeted radiotherapy.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intend to leverage our expertise with omburtamab to develop product candidates for the treatment of indications associated with pediatric and large adult patient populations. We believe that our clinical experience 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7" w:lineRule="exact"/>
        <w:rPr>
          <w:sz w:val="20"/>
          <w:szCs w:val="20"/>
          <w:color w:val="auto"/>
        </w:rPr>
      </w:pPr>
      <w:r>
        <w:rPr>
          <w:rFonts w:ascii="Arial" w:cs="Arial" w:eastAsia="Arial" w:hAnsi="Arial"/>
          <w:sz w:val="8"/>
          <w:szCs w:val="8"/>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 41 patients with tumors such as sarcoma, melanoma and medulloblastoma supports this objective. Our</w:t>
      </w:r>
      <w:r>
        <w:rPr>
          <w:rFonts w:ascii="Arial" w:cs="Arial" w:eastAsia="Arial" w:hAnsi="Arial"/>
          <w:sz w:val="8"/>
          <w:szCs w:val="8"/>
          <w:color w:val="auto"/>
        </w:rPr>
        <w:t xml:space="preserve"> </w:t>
      </w:r>
      <w:r>
        <w:rPr>
          <w:rFonts w:ascii="Arial" w:cs="Arial" w:eastAsia="Arial" w:hAnsi="Arial"/>
          <w:sz w:val="16"/>
          <w:szCs w:val="16"/>
          <w:color w:val="auto"/>
        </w:rPr>
        <w:t>first such product candidate targeted towards larger patient populations is DTPA</w:t>
      </w:r>
      <w:r>
        <w:rPr>
          <w:rFonts w:ascii="MS PGothic" w:cs="MS PGothic" w:eastAsia="MS PGothic" w:hAnsi="MS PGothic"/>
          <w:sz w:val="16"/>
          <w:szCs w:val="16"/>
          <w:color w:val="auto"/>
        </w:rPr>
        <w:t>‑</w:t>
      </w:r>
      <w:r>
        <w:rPr>
          <w:rFonts w:ascii="Arial" w:cs="Arial" w:eastAsia="Arial" w:hAnsi="Arial"/>
          <w:sz w:val="16"/>
          <w:szCs w:val="16"/>
          <w:color w:val="auto"/>
        </w:rPr>
        <w:t>conjugated omburtamab radiolabeled with Lutetium</w:t>
      </w:r>
      <w:r>
        <w:rPr>
          <w:rFonts w:ascii="MS PGothic" w:cs="MS PGothic" w:eastAsia="MS PGothic" w:hAnsi="MS PGothic"/>
          <w:sz w:val="16"/>
          <w:szCs w:val="16"/>
          <w:color w:val="auto"/>
        </w:rPr>
        <w:t>‑</w:t>
      </w:r>
      <w:r>
        <w:rPr>
          <w:rFonts w:ascii="Arial" w:cs="Arial" w:eastAsia="Arial" w:hAnsi="Arial"/>
          <w:sz w:val="16"/>
          <w:szCs w:val="16"/>
          <w:color w:val="auto"/>
        </w:rPr>
        <w:t>177, which is currently in pre</w:t>
      </w:r>
      <w:r>
        <w:rPr>
          <w:rFonts w:ascii="MS PGothic" w:cs="MS PGothic" w:eastAsia="MS PGothic" w:hAnsi="MS PGothic"/>
          <w:sz w:val="16"/>
          <w:szCs w:val="16"/>
          <w:color w:val="auto"/>
        </w:rPr>
        <w:t>‑</w:t>
      </w:r>
      <w:r>
        <w:rPr>
          <w:rFonts w:ascii="Arial" w:cs="Arial" w:eastAsia="Arial" w:hAnsi="Arial"/>
          <w:sz w:val="16"/>
          <w:szCs w:val="16"/>
          <w:color w:val="auto"/>
        </w:rPr>
        <w:t>clinical development for the treatment of B7</w:t>
      </w:r>
      <w:r>
        <w:rPr>
          <w:rFonts w:ascii="MS PGothic" w:cs="MS PGothic" w:eastAsia="MS PGothic" w:hAnsi="MS PGothic"/>
          <w:sz w:val="16"/>
          <w:szCs w:val="16"/>
          <w:color w:val="auto"/>
        </w:rPr>
        <w:t>‑</w:t>
      </w:r>
      <w:r>
        <w:rPr>
          <w:rFonts w:ascii="Arial" w:cs="Arial" w:eastAsia="Arial" w:hAnsi="Arial"/>
          <w:sz w:val="16"/>
          <w:szCs w:val="16"/>
          <w:color w:val="auto"/>
        </w:rPr>
        <w:t xml:space="preserve">H3 positive LM from solid tumors. Animal toxicity studies of </w:t>
      </w:r>
      <w:r>
        <w:rPr>
          <w:rFonts w:ascii="Arial" w:cs="Arial" w:eastAsia="Arial" w:hAnsi="Arial"/>
          <w:sz w:val="7"/>
          <w:szCs w:val="7"/>
          <w:color w:val="auto"/>
        </w:rPr>
        <w:t>177</w:t>
      </w:r>
      <w:r>
        <w:rPr>
          <w:rFonts w:ascii="Arial" w:cs="Arial" w:eastAsia="Arial" w:hAnsi="Arial"/>
          <w:sz w:val="16"/>
          <w:szCs w:val="16"/>
          <w:color w:val="auto"/>
        </w:rPr>
        <w:t>Lu</w:t>
      </w:r>
      <w:r>
        <w:rPr>
          <w:rFonts w:ascii="MS PGothic" w:cs="MS PGothic" w:eastAsia="MS PGothic" w:hAnsi="MS PGothic"/>
          <w:sz w:val="16"/>
          <w:szCs w:val="16"/>
          <w:color w:val="auto"/>
        </w:rPr>
        <w:t>‑</w:t>
      </w:r>
      <w:r>
        <w:rPr>
          <w:rFonts w:ascii="Arial" w:cs="Arial" w:eastAsia="Arial" w:hAnsi="Arial"/>
          <w:sz w:val="16"/>
          <w:szCs w:val="16"/>
          <w:color w:val="auto"/>
        </w:rPr>
        <w:t>omburtamab</w:t>
      </w:r>
      <w:r>
        <w:rPr>
          <w:rFonts w:ascii="MS PGothic" w:cs="MS PGothic" w:eastAsia="MS PGothic" w:hAnsi="MS PGothic"/>
          <w:sz w:val="16"/>
          <w:szCs w:val="16"/>
          <w:color w:val="auto"/>
        </w:rPr>
        <w:t>‑</w:t>
      </w:r>
      <w:r>
        <w:rPr>
          <w:rFonts w:ascii="Arial" w:cs="Arial" w:eastAsia="Arial" w:hAnsi="Arial"/>
          <w:sz w:val="16"/>
          <w:szCs w:val="16"/>
          <w:color w:val="auto"/>
        </w:rPr>
        <w:t>DTPA have been completed on current Good Laboratory Practices, or GLP, material and cGMP production has been established. DTPA (diethylenetriamine pentaacetate) is an organic molecule that acts as a chelator of metals such as Lutetium. DTPA can bind to radioactive materials to decrease the amount of time it takes to flush the radioactive material from the body. The resulting product candidate, omburtamab</w:t>
      </w:r>
      <w:r>
        <w:rPr>
          <w:rFonts w:ascii="MS PGothic" w:cs="MS PGothic" w:eastAsia="MS PGothic" w:hAnsi="MS PGothic"/>
          <w:sz w:val="16"/>
          <w:szCs w:val="16"/>
          <w:color w:val="auto"/>
        </w:rPr>
        <w:t>‑</w:t>
      </w:r>
      <w:r>
        <w:rPr>
          <w:rFonts w:ascii="Arial" w:cs="Arial" w:eastAsia="Arial" w:hAnsi="Arial"/>
          <w:sz w:val="16"/>
          <w:szCs w:val="16"/>
          <w:color w:val="auto"/>
        </w:rPr>
        <w:t>DTPA</w:t>
      </w:r>
      <w:r>
        <w:rPr>
          <w:rFonts w:ascii="MS PGothic" w:cs="MS PGothic" w:eastAsia="MS PGothic" w:hAnsi="MS PGothic"/>
          <w:sz w:val="16"/>
          <w:szCs w:val="16"/>
          <w:color w:val="auto"/>
        </w:rPr>
        <w:t>‑</w:t>
      </w:r>
      <w:r>
        <w:rPr>
          <w:rFonts w:ascii="Arial" w:cs="Arial" w:eastAsia="Arial" w:hAnsi="Arial"/>
          <w:sz w:val="16"/>
          <w:szCs w:val="16"/>
          <w:color w:val="auto"/>
        </w:rPr>
        <w:t>Lutetium</w:t>
      </w:r>
      <w:r>
        <w:rPr>
          <w:rFonts w:ascii="MS PGothic" w:cs="MS PGothic" w:eastAsia="MS PGothic" w:hAnsi="MS PGothic"/>
          <w:sz w:val="16"/>
          <w:szCs w:val="16"/>
          <w:color w:val="auto"/>
        </w:rPr>
        <w:t>‑</w:t>
      </w:r>
      <w:r>
        <w:rPr>
          <w:rFonts w:ascii="Arial" w:cs="Arial" w:eastAsia="Arial" w:hAnsi="Arial"/>
          <w:sz w:val="16"/>
          <w:szCs w:val="16"/>
          <w:color w:val="auto"/>
        </w:rPr>
        <w:t xml:space="preserve">177 conjugate, or </w:t>
      </w:r>
      <w:r>
        <w:rPr>
          <w:rFonts w:ascii="Arial" w:cs="Arial" w:eastAsia="Arial" w:hAnsi="Arial"/>
          <w:sz w:val="7"/>
          <w:szCs w:val="7"/>
          <w:color w:val="auto"/>
        </w:rPr>
        <w:t>177</w:t>
      </w:r>
      <w:r>
        <w:rPr>
          <w:rFonts w:ascii="Arial" w:cs="Arial" w:eastAsia="Arial" w:hAnsi="Arial"/>
          <w:sz w:val="16"/>
          <w:szCs w:val="16"/>
          <w:color w:val="auto"/>
        </w:rPr>
        <w:t>Lu</w:t>
      </w:r>
      <w:r>
        <w:rPr>
          <w:rFonts w:ascii="MS PGothic" w:cs="MS PGothic" w:eastAsia="MS PGothic" w:hAnsi="MS PGothic"/>
          <w:sz w:val="16"/>
          <w:szCs w:val="16"/>
          <w:color w:val="auto"/>
        </w:rPr>
        <w:t>‑</w:t>
      </w:r>
      <w:r>
        <w:rPr>
          <w:rFonts w:ascii="Arial" w:cs="Arial" w:eastAsia="Arial" w:hAnsi="Arial"/>
          <w:sz w:val="16"/>
          <w:szCs w:val="16"/>
          <w:color w:val="auto"/>
        </w:rPr>
        <w:t>omburtamab</w:t>
      </w:r>
      <w:r>
        <w:rPr>
          <w:rFonts w:ascii="MS PGothic" w:cs="MS PGothic" w:eastAsia="MS PGothic" w:hAnsi="MS PGothic"/>
          <w:sz w:val="16"/>
          <w:szCs w:val="16"/>
          <w:color w:val="auto"/>
        </w:rPr>
        <w:t>‑</w:t>
      </w:r>
      <w:r>
        <w:rPr>
          <w:rFonts w:ascii="Arial" w:cs="Arial" w:eastAsia="Arial" w:hAnsi="Arial"/>
          <w:sz w:val="16"/>
          <w:szCs w:val="16"/>
          <w:color w:val="auto"/>
        </w:rPr>
        <w:t>DTPA, can be distributed directly to hospitals, already conjugated and ready to use. It may then be administered to patients as a single</w:t>
      </w:r>
      <w:r>
        <w:rPr>
          <w:rFonts w:ascii="MS PGothic" w:cs="MS PGothic" w:eastAsia="MS PGothic" w:hAnsi="MS PGothic"/>
          <w:sz w:val="16"/>
          <w:szCs w:val="16"/>
          <w:color w:val="auto"/>
        </w:rPr>
        <w:t>‑</w:t>
      </w:r>
      <w:r>
        <w:rPr>
          <w:rFonts w:ascii="Arial" w:cs="Arial" w:eastAsia="Arial" w:hAnsi="Arial"/>
          <w:sz w:val="16"/>
          <w:szCs w:val="16"/>
          <w:color w:val="auto"/>
        </w:rPr>
        <w:t xml:space="preserve">step push dose via an Ommaya reservoir, similar to the administration of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 CNS/LM from NB. We believe this is an important advantage because radiopharmacies within hospitals have limited capacity for radiolabeling. Therefore, we believe that a more easily available ready to use radiolabeled antibody such</w:t>
      </w:r>
    </w:p>
    <w:p>
      <w:pPr>
        <w:spacing w:after="0" w:line="5" w:lineRule="exact"/>
        <w:rPr>
          <w:sz w:val="20"/>
          <w:szCs w:val="20"/>
          <w:color w:val="auto"/>
        </w:rPr>
      </w:pPr>
    </w:p>
    <w:p>
      <w:pPr>
        <w:jc w:val="both"/>
        <w:ind w:right="220"/>
        <w:spacing w:after="0" w:line="216" w:lineRule="exact"/>
        <w:rPr>
          <w:sz w:val="20"/>
          <w:szCs w:val="20"/>
          <w:color w:val="auto"/>
        </w:rPr>
      </w:pPr>
      <w:r>
        <w:rPr>
          <w:rFonts w:ascii="Arial" w:cs="Arial" w:eastAsia="Arial" w:hAnsi="Arial"/>
          <w:sz w:val="18"/>
          <w:szCs w:val="18"/>
          <w:color w:val="auto"/>
        </w:rPr>
        <w:t xml:space="preserve">as </w:t>
      </w:r>
      <w:r>
        <w:rPr>
          <w:rFonts w:ascii="Arial" w:cs="Arial" w:eastAsia="Arial" w:hAnsi="Arial"/>
          <w:sz w:val="8"/>
          <w:szCs w:val="8"/>
          <w:color w:val="auto"/>
        </w:rPr>
        <w:t>177</w:t>
      </w:r>
      <w:r>
        <w:rPr>
          <w:rFonts w:ascii="Arial" w:cs="Arial" w:eastAsia="Arial" w:hAnsi="Arial"/>
          <w:sz w:val="18"/>
          <w:szCs w:val="18"/>
          <w:color w:val="auto"/>
        </w:rPr>
        <w:t>Lu</w:t>
      </w:r>
      <w:r>
        <w:rPr>
          <w:rFonts w:ascii="MS PGothic" w:cs="MS PGothic" w:eastAsia="MS PGothic" w:hAnsi="MS PGothic"/>
          <w:sz w:val="18"/>
          <w:szCs w:val="18"/>
          <w:color w:val="auto"/>
        </w:rPr>
        <w:t>‑</w:t>
      </w:r>
      <w:r>
        <w:rPr>
          <w:rFonts w:ascii="Arial" w:cs="Arial" w:eastAsia="Arial" w:hAnsi="Arial"/>
          <w:sz w:val="18"/>
          <w:szCs w:val="18"/>
          <w:color w:val="auto"/>
        </w:rPr>
        <w:t>omburtamab</w:t>
      </w:r>
      <w:r>
        <w:rPr>
          <w:rFonts w:ascii="MS PGothic" w:cs="MS PGothic" w:eastAsia="MS PGothic" w:hAnsi="MS PGothic"/>
          <w:sz w:val="18"/>
          <w:szCs w:val="18"/>
          <w:color w:val="auto"/>
        </w:rPr>
        <w:t>‑</w:t>
      </w:r>
      <w:r>
        <w:rPr>
          <w:rFonts w:ascii="Arial" w:cs="Arial" w:eastAsia="Arial" w:hAnsi="Arial"/>
          <w:sz w:val="18"/>
          <w:szCs w:val="18"/>
          <w:color w:val="auto"/>
        </w:rPr>
        <w:t xml:space="preserve">DTPA could be used more frequently, thereby significantly expanding our patient population beyond children. We expect to file an IND for </w:t>
      </w:r>
      <w:r>
        <w:rPr>
          <w:rFonts w:ascii="Arial" w:cs="Arial" w:eastAsia="Arial" w:hAnsi="Arial"/>
          <w:sz w:val="8"/>
          <w:szCs w:val="8"/>
          <w:color w:val="auto"/>
        </w:rPr>
        <w:t>177</w:t>
      </w:r>
      <w:r>
        <w:rPr>
          <w:rFonts w:ascii="Arial" w:cs="Arial" w:eastAsia="Arial" w:hAnsi="Arial"/>
          <w:sz w:val="18"/>
          <w:szCs w:val="18"/>
          <w:color w:val="auto"/>
        </w:rPr>
        <w:t>Lu</w:t>
      </w:r>
      <w:r>
        <w:rPr>
          <w:rFonts w:ascii="MS PGothic" w:cs="MS PGothic" w:eastAsia="MS PGothic" w:hAnsi="MS PGothic"/>
          <w:sz w:val="18"/>
          <w:szCs w:val="18"/>
          <w:color w:val="auto"/>
        </w:rPr>
        <w:t>‑</w:t>
      </w:r>
      <w:r>
        <w:rPr>
          <w:rFonts w:ascii="Arial" w:cs="Arial" w:eastAsia="Arial" w:hAnsi="Arial"/>
          <w:sz w:val="18"/>
          <w:szCs w:val="18"/>
          <w:color w:val="auto"/>
        </w:rPr>
        <w:t>omburtamab</w:t>
      </w:r>
      <w:r>
        <w:rPr>
          <w:rFonts w:ascii="MS PGothic" w:cs="MS PGothic" w:eastAsia="MS PGothic" w:hAnsi="MS PGothic"/>
          <w:sz w:val="18"/>
          <w:szCs w:val="18"/>
          <w:color w:val="auto"/>
        </w:rPr>
        <w:t>‑</w:t>
      </w:r>
      <w:r>
        <w:rPr>
          <w:rFonts w:ascii="Arial" w:cs="Arial" w:eastAsia="Arial" w:hAnsi="Arial"/>
          <w:sz w:val="18"/>
          <w:szCs w:val="18"/>
          <w:color w:val="auto"/>
        </w:rPr>
        <w:t>DTPA for treatment of B7</w:t>
      </w:r>
      <w:r>
        <w:rPr>
          <w:rFonts w:ascii="MS PGothic" w:cs="MS PGothic" w:eastAsia="MS PGothic" w:hAnsi="MS PGothic"/>
          <w:sz w:val="18"/>
          <w:szCs w:val="18"/>
          <w:color w:val="auto"/>
        </w:rPr>
        <w:t>‑</w:t>
      </w:r>
      <w:r>
        <w:rPr>
          <w:rFonts w:ascii="Arial" w:cs="Arial" w:eastAsia="Arial" w:hAnsi="Arial"/>
          <w:sz w:val="18"/>
          <w:szCs w:val="18"/>
          <w:color w:val="auto"/>
        </w:rPr>
        <w:t>H3 positive LM from solid tumors in 2019.</w:t>
      </w:r>
    </w:p>
    <w:p>
      <w:pPr>
        <w:spacing w:after="0" w:line="203"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b w:val="1"/>
          <w:bCs w:val="1"/>
          <w:i w:val="1"/>
          <w:iCs w:val="1"/>
          <w:color w:val="auto"/>
        </w:rPr>
        <w:t>Overview of B7</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H3 Positive Central Nervous System/Leptomeningeal Metastases from Solid Tumors</w:t>
      </w:r>
    </w:p>
    <w:p>
      <w:pPr>
        <w:spacing w:after="0" w:line="237"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w:t>
      </w:r>
      <w:r>
        <w:rPr>
          <w:rFonts w:ascii="MS PGothic" w:cs="MS PGothic" w:eastAsia="MS PGothic" w:hAnsi="MS PGothic"/>
          <w:sz w:val="18"/>
          <w:szCs w:val="18"/>
          <w:color w:val="auto"/>
        </w:rPr>
        <w:t>‑</w:t>
      </w:r>
      <w:r>
        <w:rPr>
          <w:rFonts w:ascii="Arial" w:cs="Arial" w:eastAsia="Arial" w:hAnsi="Arial"/>
          <w:sz w:val="18"/>
          <w:szCs w:val="18"/>
          <w:color w:val="auto"/>
        </w:rPr>
        <w:t>H3.</w:t>
      </w:r>
    </w:p>
    <w:p>
      <w:pPr>
        <w:spacing w:after="0" w:line="204" w:lineRule="exact"/>
        <w:rPr>
          <w:sz w:val="20"/>
          <w:szCs w:val="20"/>
          <w:color w:val="auto"/>
        </w:rPr>
      </w:pPr>
    </w:p>
    <w:p>
      <w:pPr>
        <w:ind w:right="60" w:firstLine="648"/>
        <w:spacing w:after="0" w:line="220" w:lineRule="exact"/>
        <w:rPr>
          <w:sz w:val="20"/>
          <w:szCs w:val="20"/>
          <w:color w:val="auto"/>
        </w:rPr>
      </w:pPr>
      <w:r>
        <w:rPr>
          <w:rFonts w:ascii="Arial" w:cs="Arial" w:eastAsia="Arial" w:hAnsi="Arial"/>
          <w:sz w:val="17"/>
          <w:szCs w:val="17"/>
          <w:color w:val="auto"/>
        </w:rPr>
        <w:t>Although any cancer can metastasize to the leptomeninges, breast cancer (12% to 35%), lung cancer (10% to 26%), melanoma (5% to 25%), gastrointestinal malignancies (4% to 14%), and cancers of unknown primary (1% to 7%) are the most common causes of solid</w:t>
      </w:r>
      <w:r>
        <w:rPr>
          <w:rFonts w:ascii="MS PGothic" w:cs="MS PGothic" w:eastAsia="MS PGothic" w:hAnsi="MS PGothic"/>
          <w:sz w:val="17"/>
          <w:szCs w:val="17"/>
          <w:color w:val="auto"/>
        </w:rPr>
        <w:t>‑</w:t>
      </w:r>
      <w:r>
        <w:rPr>
          <w:rFonts w:ascii="Arial" w:cs="Arial" w:eastAsia="Arial" w:hAnsi="Arial"/>
          <w:sz w:val="17"/>
          <w:szCs w:val="17"/>
          <w:color w:val="auto"/>
        </w:rPr>
        <w:t>tumor</w:t>
      </w:r>
      <w:r>
        <w:rPr>
          <w:rFonts w:ascii="MS PGothic" w:cs="MS PGothic" w:eastAsia="MS PGothic" w:hAnsi="MS PGothic"/>
          <w:sz w:val="17"/>
          <w:szCs w:val="17"/>
          <w:color w:val="auto"/>
        </w:rPr>
        <w:t>‑</w:t>
      </w:r>
      <w:r>
        <w:rPr>
          <w:rFonts w:ascii="Arial" w:cs="Arial" w:eastAsia="Arial" w:hAnsi="Arial"/>
          <w:sz w:val="17"/>
          <w:szCs w:val="17"/>
          <w:color w:val="auto"/>
        </w:rPr>
        <w:t>related LM. We believe that the annual incidence of CNS/LM across all tumor types is at least 30,000 patients in the United States and Europe combined.</w:t>
      </w:r>
    </w:p>
    <w:p>
      <w:pPr>
        <w:spacing w:after="0" w:line="20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81" w:lineRule="exact"/>
        <w:rPr>
          <w:sz w:val="20"/>
          <w:szCs w:val="20"/>
          <w:color w:val="auto"/>
        </w:rPr>
      </w:pPr>
    </w:p>
    <w:p>
      <w:pPr>
        <w:ind w:left="980" w:right="220" w:hanging="323"/>
        <w:spacing w:after="0" w:line="223" w:lineRule="exact"/>
        <w:rPr>
          <w:sz w:val="20"/>
          <w:szCs w:val="20"/>
          <w:color w:val="auto"/>
        </w:rPr>
      </w:pPr>
      <w:r>
        <w:rPr>
          <w:rFonts w:ascii="Arial" w:cs="Arial" w:eastAsia="Arial" w:hAnsi="Arial"/>
          <w:sz w:val="9"/>
          <w:szCs w:val="9"/>
          <w:i w:val="1"/>
          <w:iCs w:val="1"/>
          <w:color w:val="auto"/>
        </w:rPr>
        <w:t>177</w:t>
      </w:r>
      <w:r>
        <w:rPr>
          <w:rFonts w:ascii="Arial" w:cs="Arial" w:eastAsia="Arial" w:hAnsi="Arial"/>
          <w:sz w:val="18"/>
          <w:szCs w:val="18"/>
          <w:i w:val="1"/>
          <w:iCs w:val="1"/>
          <w:color w:val="auto"/>
        </w:rPr>
        <w:t>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DTPA in Central Nervous System/Leptomeningeal Metastases—Current Treatment Landscape</w:t>
      </w:r>
      <w:r>
        <w:rPr>
          <w:rFonts w:ascii="Arial" w:cs="Arial" w:eastAsia="Arial" w:hAnsi="Arial"/>
          <w:sz w:val="9"/>
          <w:szCs w:val="9"/>
          <w:i w:val="1"/>
          <w:iCs w:val="1"/>
          <w:color w:val="auto"/>
        </w:rPr>
        <w:t xml:space="preserve"> </w:t>
      </w:r>
      <w:r>
        <w:rPr>
          <w:rFonts w:ascii="Arial" w:cs="Arial" w:eastAsia="Arial" w:hAnsi="Arial"/>
          <w:sz w:val="18"/>
          <w:szCs w:val="18"/>
          <w:i w:val="1"/>
          <w:iCs w:val="1"/>
          <w:color w:val="auto"/>
        </w:rPr>
        <w:t>and Associated Limitations</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w:t>
      </w:r>
      <w:r>
        <w:rPr>
          <w:rFonts w:ascii="MS PGothic" w:cs="MS PGothic" w:eastAsia="MS PGothic" w:hAnsi="MS PGothic"/>
          <w:sz w:val="17"/>
          <w:szCs w:val="17"/>
          <w:color w:val="auto"/>
        </w:rPr>
        <w:t>‑</w:t>
      </w:r>
      <w:r>
        <w:rPr>
          <w:rFonts w:ascii="Arial" w:cs="Arial" w:eastAsia="Arial" w:hAnsi="Arial"/>
          <w:sz w:val="17"/>
          <w:szCs w:val="17"/>
          <w:color w:val="auto"/>
        </w:rPr>
        <w:t>brain barrier, a membrane that selectively regulates molecules entering the brain from the blood, often inhibits drug delivery to the brain due to the inability of large molecules to cross the blood</w:t>
      </w:r>
      <w:r>
        <w:rPr>
          <w:rFonts w:ascii="MS PGothic" w:cs="MS PGothic" w:eastAsia="MS PGothic" w:hAnsi="MS PGothic"/>
          <w:sz w:val="17"/>
          <w:szCs w:val="17"/>
          <w:color w:val="auto"/>
        </w:rPr>
        <w:t>‑</w:t>
      </w:r>
      <w:r>
        <w:rPr>
          <w:rFonts w:ascii="Arial" w:cs="Arial" w:eastAsia="Arial" w:hAnsi="Arial"/>
          <w:sz w:val="17"/>
          <w:szCs w:val="17"/>
          <w:color w:val="auto"/>
        </w:rPr>
        <w:t>brain barrier. Because the most common tumors that metastasize to the brain express B7</w:t>
      </w:r>
      <w:r>
        <w:rPr>
          <w:rFonts w:ascii="MS PGothic" w:cs="MS PGothic" w:eastAsia="MS PGothic" w:hAnsi="MS PGothic"/>
          <w:sz w:val="17"/>
          <w:szCs w:val="17"/>
          <w:color w:val="auto"/>
        </w:rPr>
        <w:t>‑</w:t>
      </w:r>
      <w:r>
        <w:rPr>
          <w:rFonts w:ascii="Arial" w:cs="Arial" w:eastAsia="Arial" w:hAnsi="Arial"/>
          <w:sz w:val="17"/>
          <w:szCs w:val="17"/>
          <w:color w:val="auto"/>
        </w:rPr>
        <w:t>H3, in contrast with normal brain tissue that lacks B7</w:t>
      </w:r>
      <w:r>
        <w:rPr>
          <w:rFonts w:ascii="MS PGothic" w:cs="MS PGothic" w:eastAsia="MS PGothic" w:hAnsi="MS PGothic"/>
          <w:sz w:val="17"/>
          <w:szCs w:val="17"/>
          <w:color w:val="auto"/>
        </w:rPr>
        <w:t>‑</w:t>
      </w:r>
      <w:r>
        <w:rPr>
          <w:rFonts w:ascii="Arial" w:cs="Arial" w:eastAsia="Arial" w:hAnsi="Arial"/>
          <w:sz w:val="17"/>
          <w:szCs w:val="17"/>
          <w:color w:val="auto"/>
        </w:rPr>
        <w:t>H3 expression, we believe that the incidence of B7</w:t>
      </w:r>
      <w:r>
        <w:rPr>
          <w:rFonts w:ascii="MS PGothic" w:cs="MS PGothic" w:eastAsia="MS PGothic" w:hAnsi="MS PGothic"/>
          <w:sz w:val="17"/>
          <w:szCs w:val="17"/>
          <w:color w:val="auto"/>
        </w:rPr>
        <w:t>‑</w:t>
      </w:r>
      <w:r>
        <w:rPr>
          <w:rFonts w:ascii="Arial" w:cs="Arial" w:eastAsia="Arial" w:hAnsi="Arial"/>
          <w:sz w:val="17"/>
          <w:szCs w:val="17"/>
          <w:color w:val="auto"/>
        </w:rPr>
        <w:t>H3 expression makes omburtamab a viable antibody for targeting metastatic tumors in the CNS.</w:t>
      </w:r>
    </w:p>
    <w:p>
      <w:pPr>
        <w:spacing w:after="0" w:line="206" w:lineRule="exact"/>
        <w:rPr>
          <w:sz w:val="20"/>
          <w:szCs w:val="20"/>
          <w:color w:val="auto"/>
        </w:rPr>
      </w:pPr>
    </w:p>
    <w:p>
      <w:pPr>
        <w:ind w:left="660"/>
        <w:spacing w:after="0" w:line="207" w:lineRule="exact"/>
        <w:rPr>
          <w:sz w:val="20"/>
          <w:szCs w:val="20"/>
          <w:color w:val="auto"/>
        </w:rPr>
      </w:pPr>
      <w:r>
        <w:rPr>
          <w:rFonts w:ascii="Arial" w:cs="Arial" w:eastAsia="Arial" w:hAnsi="Arial"/>
          <w:sz w:val="9"/>
          <w:szCs w:val="9"/>
          <w:i w:val="1"/>
          <w:iCs w:val="1"/>
          <w:color w:val="auto"/>
        </w:rPr>
        <w:t>177</w:t>
      </w:r>
      <w:r>
        <w:rPr>
          <w:rFonts w:ascii="Arial" w:cs="Arial" w:eastAsia="Arial" w:hAnsi="Arial"/>
          <w:sz w:val="18"/>
          <w:szCs w:val="18"/>
          <w:i w:val="1"/>
          <w:iCs w:val="1"/>
          <w:color w:val="auto"/>
        </w:rPr>
        <w:t>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Omburtamab</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DTPA in Central Nervous System/Leptomeningeal Metastases—Mechanism of Action</w:t>
      </w:r>
    </w:p>
    <w:p>
      <w:pPr>
        <w:spacing w:after="0" w:line="225" w:lineRule="exact"/>
        <w:rPr>
          <w:sz w:val="20"/>
          <w:szCs w:val="20"/>
          <w:color w:val="auto"/>
        </w:rPr>
      </w:pPr>
    </w:p>
    <w:p>
      <w:pPr>
        <w:ind w:right="180" w:firstLine="648"/>
        <w:spacing w:after="0" w:line="219" w:lineRule="exact"/>
        <w:rPr>
          <w:sz w:val="20"/>
          <w:szCs w:val="20"/>
          <w:color w:val="auto"/>
        </w:rPr>
      </w:pPr>
      <w:r>
        <w:rPr>
          <w:rFonts w:ascii="Arial" w:cs="Arial" w:eastAsia="Arial" w:hAnsi="Arial"/>
          <w:sz w:val="17"/>
          <w:szCs w:val="17"/>
          <w:color w:val="auto"/>
        </w:rPr>
        <w:t>We are developing a Lutetium</w:t>
      </w:r>
      <w:r>
        <w:rPr>
          <w:rFonts w:ascii="MS PGothic" w:cs="MS PGothic" w:eastAsia="MS PGothic" w:hAnsi="MS PGothic"/>
          <w:sz w:val="17"/>
          <w:szCs w:val="17"/>
          <w:color w:val="auto"/>
        </w:rPr>
        <w:t>‑</w:t>
      </w:r>
      <w:r>
        <w:rPr>
          <w:rFonts w:ascii="Arial" w:cs="Arial" w:eastAsia="Arial" w:hAnsi="Arial"/>
          <w:sz w:val="17"/>
          <w:szCs w:val="17"/>
          <w:color w:val="auto"/>
        </w:rPr>
        <w:t xml:space="preserve">177 conjugated omburtamab with DTPA as chelator. </w:t>
      </w:r>
      <w:r>
        <w:rPr>
          <w:rFonts w:ascii="Arial" w:cs="Arial" w:eastAsia="Arial" w:hAnsi="Arial"/>
          <w:sz w:val="8"/>
          <w:szCs w:val="8"/>
          <w:color w:val="auto"/>
        </w:rPr>
        <w:t>177</w:t>
      </w:r>
      <w:r>
        <w:rPr>
          <w:rFonts w:ascii="Arial" w:cs="Arial" w:eastAsia="Arial" w:hAnsi="Arial"/>
          <w:sz w:val="17"/>
          <w:szCs w:val="17"/>
          <w:color w:val="auto"/>
        </w:rPr>
        <w:t>Lu</w:t>
      </w:r>
      <w:r>
        <w:rPr>
          <w:rFonts w:ascii="MS PGothic" w:cs="MS PGothic" w:eastAsia="MS PGothic" w:hAnsi="MS PGothic"/>
          <w:sz w:val="17"/>
          <w:szCs w:val="17"/>
          <w:color w:val="auto"/>
        </w:rPr>
        <w:t>‑</w:t>
      </w:r>
      <w:r>
        <w:rPr>
          <w:rFonts w:ascii="Arial" w:cs="Arial" w:eastAsia="Arial" w:hAnsi="Arial"/>
          <w:sz w:val="17"/>
          <w:szCs w:val="17"/>
          <w:color w:val="auto"/>
        </w:rPr>
        <w:t>omburtamab</w:t>
      </w:r>
      <w:r>
        <w:rPr>
          <w:rFonts w:ascii="MS PGothic" w:cs="MS PGothic" w:eastAsia="MS PGothic" w:hAnsi="MS PGothic"/>
          <w:sz w:val="17"/>
          <w:szCs w:val="17"/>
          <w:color w:val="auto"/>
        </w:rPr>
        <w:t>‑</w:t>
      </w:r>
      <w:r>
        <w:rPr>
          <w:rFonts w:ascii="Arial" w:cs="Arial" w:eastAsia="Arial" w:hAnsi="Arial"/>
          <w:sz w:val="17"/>
          <w:szCs w:val="17"/>
          <w:color w:val="auto"/>
        </w:rPr>
        <w:t>DTPA will be given as a single</w:t>
      </w:r>
      <w:r>
        <w:rPr>
          <w:rFonts w:ascii="MS PGothic" w:cs="MS PGothic" w:eastAsia="MS PGothic" w:hAnsi="MS PGothic"/>
          <w:sz w:val="17"/>
          <w:szCs w:val="17"/>
          <w:color w:val="auto"/>
        </w:rPr>
        <w:t>‑</w:t>
      </w:r>
      <w:r>
        <w:rPr>
          <w:rFonts w:ascii="Arial" w:cs="Arial" w:eastAsia="Arial" w:hAnsi="Arial"/>
          <w:sz w:val="17"/>
          <w:szCs w:val="17"/>
          <w:color w:val="auto"/>
        </w:rPr>
        <w:t xml:space="preserve">step push dose administration to patients. The administration for CNS/LM will be intrathecal via an Ommaya reservoir similar to the administration of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in CNS/LM from NB. This form of administration will allow us to bypass the blood brain barrier and gain direct access to the CNS/LM. Lutetium</w:t>
      </w:r>
      <w:r>
        <w:rPr>
          <w:rFonts w:ascii="MS PGothic" w:cs="MS PGothic" w:eastAsia="MS PGothic" w:hAnsi="MS PGothic"/>
          <w:sz w:val="17"/>
          <w:szCs w:val="17"/>
          <w:color w:val="auto"/>
        </w:rPr>
        <w:t>‑</w:t>
      </w:r>
      <w:r>
        <w:rPr>
          <w:rFonts w:ascii="Arial" w:cs="Arial" w:eastAsia="Arial" w:hAnsi="Arial"/>
          <w:sz w:val="17"/>
          <w:szCs w:val="17"/>
          <w:color w:val="auto"/>
        </w:rPr>
        <w:t>177 is a medium</w:t>
      </w:r>
      <w:r>
        <w:rPr>
          <w:rFonts w:ascii="MS PGothic" w:cs="MS PGothic" w:eastAsia="MS PGothic" w:hAnsi="MS PGothic"/>
          <w:sz w:val="17"/>
          <w:szCs w:val="17"/>
          <w:color w:val="auto"/>
        </w:rPr>
        <w:t>‑</w:t>
      </w:r>
      <w:r>
        <w:rPr>
          <w:rFonts w:ascii="Arial" w:cs="Arial" w:eastAsia="Arial" w:hAnsi="Arial"/>
          <w:sz w:val="17"/>
          <w:szCs w:val="17"/>
          <w:color w:val="auto"/>
        </w:rPr>
        <w:t>energy beta</w:t>
      </w:r>
      <w:r>
        <w:rPr>
          <w:rFonts w:ascii="MS PGothic" w:cs="MS PGothic" w:eastAsia="MS PGothic" w:hAnsi="MS PGothic"/>
          <w:sz w:val="17"/>
          <w:szCs w:val="17"/>
          <w:color w:val="auto"/>
        </w:rPr>
        <w:t>‑</w:t>
      </w:r>
      <w:r>
        <w:rPr>
          <w:rFonts w:ascii="Arial" w:cs="Arial" w:eastAsia="Arial" w:hAnsi="Arial"/>
          <w:sz w:val="17"/>
          <w:szCs w:val="17"/>
          <w:color w:val="auto"/>
        </w:rPr>
        <w:t>emitter with a maximal tissue penetration of 2 mm. Its half</w:t>
      </w:r>
      <w:r>
        <w:rPr>
          <w:rFonts w:ascii="MS PGothic" w:cs="MS PGothic" w:eastAsia="MS PGothic" w:hAnsi="MS PGothic"/>
          <w:sz w:val="17"/>
          <w:szCs w:val="17"/>
          <w:color w:val="auto"/>
        </w:rPr>
        <w:t>‑</w:t>
      </w:r>
      <w:r>
        <w:rPr>
          <w:rFonts w:ascii="Arial" w:cs="Arial" w:eastAsia="Arial" w:hAnsi="Arial"/>
          <w:sz w:val="17"/>
          <w:szCs w:val="17"/>
          <w:color w:val="auto"/>
        </w:rPr>
        <w:t>life is approximately 6.7 days.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Lutetium</w:t>
      </w:r>
      <w:r>
        <w:rPr>
          <w:rFonts w:ascii="MS PGothic" w:cs="MS PGothic" w:eastAsia="MS PGothic" w:hAnsi="MS PGothic"/>
          <w:sz w:val="16"/>
          <w:szCs w:val="16"/>
          <w:color w:val="auto"/>
        </w:rPr>
        <w:t>‑</w:t>
      </w:r>
      <w:r>
        <w:rPr>
          <w:rFonts w:ascii="Arial" w:cs="Arial" w:eastAsia="Arial" w:hAnsi="Arial"/>
          <w:sz w:val="16"/>
          <w:szCs w:val="16"/>
          <w:color w:val="auto"/>
        </w:rPr>
        <w:t>177 also emits low</w:t>
      </w:r>
      <w:r>
        <w:rPr>
          <w:rFonts w:ascii="MS PGothic" w:cs="MS PGothic" w:eastAsia="MS PGothic" w:hAnsi="MS PGothic"/>
          <w:sz w:val="16"/>
          <w:szCs w:val="16"/>
          <w:color w:val="auto"/>
        </w:rPr>
        <w:t>‑</w:t>
      </w:r>
      <w:r>
        <w:rPr>
          <w:rFonts w:ascii="Arial" w:cs="Arial" w:eastAsia="Arial" w:hAnsi="Arial"/>
          <w:sz w:val="16"/>
          <w:szCs w:val="16"/>
          <w:color w:val="auto"/>
        </w:rPr>
        <w:t>energy Gamma rays, which allows scintigraphy and subsequent dosimetry with the same therapeutic compound. Lutetium</w:t>
      </w:r>
      <w:r>
        <w:rPr>
          <w:rFonts w:ascii="MS PGothic" w:cs="MS PGothic" w:eastAsia="MS PGothic" w:hAnsi="MS PGothic"/>
          <w:sz w:val="16"/>
          <w:szCs w:val="16"/>
          <w:color w:val="auto"/>
        </w:rPr>
        <w:t>‑</w:t>
      </w:r>
      <w:r>
        <w:rPr>
          <w:rFonts w:ascii="Arial" w:cs="Arial" w:eastAsia="Arial" w:hAnsi="Arial"/>
          <w:sz w:val="16"/>
          <w:szCs w:val="16"/>
          <w:color w:val="auto"/>
        </w:rPr>
        <w:t xml:space="preserve">177 is bound to omburtamab by DTPA. The resulting product </w:t>
      </w:r>
      <w:r>
        <w:rPr>
          <w:rFonts w:ascii="Arial" w:cs="Arial" w:eastAsia="Arial" w:hAnsi="Arial"/>
          <w:sz w:val="7"/>
          <w:szCs w:val="7"/>
          <w:color w:val="auto"/>
        </w:rPr>
        <w:t>177</w:t>
      </w:r>
      <w:r>
        <w:rPr>
          <w:rFonts w:ascii="Arial" w:cs="Arial" w:eastAsia="Arial" w:hAnsi="Arial"/>
          <w:sz w:val="16"/>
          <w:szCs w:val="16"/>
          <w:color w:val="auto"/>
        </w:rPr>
        <w:t>Lu</w:t>
      </w:r>
      <w:r>
        <w:rPr>
          <w:rFonts w:ascii="MS PGothic" w:cs="MS PGothic" w:eastAsia="MS PGothic" w:hAnsi="MS PGothic"/>
          <w:sz w:val="16"/>
          <w:szCs w:val="16"/>
          <w:color w:val="auto"/>
        </w:rPr>
        <w:t>‑</w:t>
      </w:r>
      <w:r>
        <w:rPr>
          <w:rFonts w:ascii="Arial" w:cs="Arial" w:eastAsia="Arial" w:hAnsi="Arial"/>
          <w:sz w:val="16"/>
          <w:szCs w:val="16"/>
          <w:color w:val="auto"/>
        </w:rPr>
        <w:t>omburtamab</w:t>
      </w:r>
      <w:r>
        <w:rPr>
          <w:rFonts w:ascii="MS PGothic" w:cs="MS PGothic" w:eastAsia="MS PGothic" w:hAnsi="MS PGothic"/>
          <w:sz w:val="16"/>
          <w:szCs w:val="16"/>
          <w:color w:val="auto"/>
        </w:rPr>
        <w:t>‑</w:t>
      </w:r>
      <w:r>
        <w:rPr>
          <w:rFonts w:ascii="Arial" w:cs="Arial" w:eastAsia="Arial" w:hAnsi="Arial"/>
          <w:sz w:val="16"/>
          <w:szCs w:val="16"/>
          <w:color w:val="auto"/>
        </w:rPr>
        <w:t>DTPA conjugate can be distributed conjugated ready to use. Lutathera, a Lutetium</w:t>
      </w:r>
      <w:r>
        <w:rPr>
          <w:rFonts w:ascii="MS PGothic" w:cs="MS PGothic" w:eastAsia="MS PGothic" w:hAnsi="MS PGothic"/>
          <w:sz w:val="16"/>
          <w:szCs w:val="16"/>
          <w:color w:val="auto"/>
        </w:rPr>
        <w:t>‑</w:t>
      </w:r>
      <w:r>
        <w:rPr>
          <w:rFonts w:ascii="Arial" w:cs="Arial" w:eastAsia="Arial" w:hAnsi="Arial"/>
          <w:sz w:val="16"/>
          <w:szCs w:val="16"/>
          <w:color w:val="auto"/>
        </w:rPr>
        <w:t>177</w:t>
      </w:r>
      <w:r>
        <w:rPr>
          <w:rFonts w:ascii="MS PGothic" w:cs="MS PGothic" w:eastAsia="MS PGothic" w:hAnsi="MS PGothic"/>
          <w:sz w:val="16"/>
          <w:szCs w:val="16"/>
          <w:color w:val="auto"/>
        </w:rPr>
        <w:t>‑</w:t>
      </w:r>
      <w:r>
        <w:rPr>
          <w:rFonts w:ascii="Arial" w:cs="Arial" w:eastAsia="Arial" w:hAnsi="Arial"/>
          <w:sz w:val="16"/>
          <w:szCs w:val="16"/>
          <w:color w:val="auto"/>
        </w:rPr>
        <w:t>DOTA conjugated somatostatin analogue peptide, has already demonstrated significant clinical efficacy in patients with progressive neuro endocrine tumors, or NETs, and is approved by the EMA, and the FDA, in this orphan indication. In a multi</w:t>
      </w:r>
      <w:r>
        <w:rPr>
          <w:rFonts w:ascii="MS PGothic" w:cs="MS PGothic" w:eastAsia="MS PGothic" w:hAnsi="MS PGothic"/>
          <w:sz w:val="16"/>
          <w:szCs w:val="16"/>
          <w:color w:val="auto"/>
        </w:rPr>
        <w:t>‑</w:t>
      </w:r>
      <w:r>
        <w:rPr>
          <w:rFonts w:ascii="Arial" w:cs="Arial" w:eastAsia="Arial" w:hAnsi="Arial"/>
          <w:sz w:val="16"/>
          <w:szCs w:val="16"/>
          <w:color w:val="auto"/>
        </w:rPr>
        <w:t>center, randomized, comparator</w:t>
      </w:r>
      <w:r>
        <w:rPr>
          <w:rFonts w:ascii="MS PGothic" w:cs="MS PGothic" w:eastAsia="MS PGothic" w:hAnsi="MS PGothic"/>
          <w:sz w:val="16"/>
          <w:szCs w:val="16"/>
          <w:color w:val="auto"/>
        </w:rPr>
        <w:t>‑</w:t>
      </w:r>
      <w:r>
        <w:rPr>
          <w:rFonts w:ascii="Arial" w:cs="Arial" w:eastAsia="Arial" w:hAnsi="Arial"/>
          <w:sz w:val="16"/>
          <w:szCs w:val="16"/>
          <w:color w:val="auto"/>
        </w:rPr>
        <w:t>controlled, parallel</w:t>
      </w:r>
      <w:r>
        <w:rPr>
          <w:rFonts w:ascii="MS PGothic" w:cs="MS PGothic" w:eastAsia="MS PGothic" w:hAnsi="MS PGothic"/>
          <w:sz w:val="16"/>
          <w:szCs w:val="16"/>
          <w:color w:val="auto"/>
        </w:rPr>
        <w:t>‑</w:t>
      </w:r>
      <w:r>
        <w:rPr>
          <w:rFonts w:ascii="Arial" w:cs="Arial" w:eastAsia="Arial" w:hAnsi="Arial"/>
          <w:sz w:val="16"/>
          <w:szCs w:val="16"/>
          <w:color w:val="auto"/>
        </w:rPr>
        <w:t>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w:t>
      </w:r>
      <w:r>
        <w:rPr>
          <w:rFonts w:ascii="MS PGothic" w:cs="MS PGothic" w:eastAsia="MS PGothic" w:hAnsi="MS PGothic"/>
          <w:sz w:val="16"/>
          <w:szCs w:val="16"/>
          <w:color w:val="auto"/>
        </w:rPr>
        <w:t>‑</w:t>
      </w:r>
      <w:r>
        <w:rPr>
          <w:rFonts w:ascii="Arial" w:cs="Arial" w:eastAsia="Arial" w:hAnsi="Arial"/>
          <w:sz w:val="16"/>
          <w:szCs w:val="16"/>
          <w:color w:val="auto"/>
        </w:rPr>
        <w:t>177 is similar to the beta radiation emitted from radioactive iodine, which already has demonstrated efficacy in CNS/LM from NB when conjugated to omburtamab.</w:t>
      </w:r>
    </w:p>
    <w:p>
      <w:pPr>
        <w:spacing w:after="0" w:line="208" w:lineRule="exact"/>
        <w:rPr>
          <w:sz w:val="20"/>
          <w:szCs w:val="20"/>
          <w:color w:val="auto"/>
        </w:rPr>
      </w:pPr>
    </w:p>
    <w:p>
      <w:pPr>
        <w:ind w:right="240" w:firstLine="648"/>
        <w:spacing w:after="0" w:line="221" w:lineRule="exact"/>
        <w:rPr>
          <w:sz w:val="20"/>
          <w:szCs w:val="20"/>
          <w:color w:val="auto"/>
        </w:rPr>
      </w:pPr>
      <w:r>
        <w:rPr>
          <w:rFonts w:ascii="Arial" w:cs="Arial" w:eastAsia="Arial" w:hAnsi="Arial"/>
          <w:sz w:val="18"/>
          <w:szCs w:val="18"/>
          <w:color w:val="auto"/>
        </w:rPr>
        <w:t>We believe Lutetium</w:t>
      </w:r>
      <w:r>
        <w:rPr>
          <w:rFonts w:ascii="MS PGothic" w:cs="MS PGothic" w:eastAsia="MS PGothic" w:hAnsi="MS PGothic"/>
          <w:sz w:val="18"/>
          <w:szCs w:val="18"/>
          <w:color w:val="auto"/>
        </w:rPr>
        <w:t>‑</w:t>
      </w:r>
      <w:r>
        <w:rPr>
          <w:rFonts w:ascii="Arial" w:cs="Arial" w:eastAsia="Arial" w:hAnsi="Arial"/>
          <w:sz w:val="18"/>
          <w:szCs w:val="18"/>
          <w:color w:val="auto"/>
        </w:rPr>
        <w:t>177 may have a number of potential advantages over both Iodine</w:t>
      </w:r>
      <w:r>
        <w:rPr>
          <w:rFonts w:ascii="MS PGothic" w:cs="MS PGothic" w:eastAsia="MS PGothic" w:hAnsi="MS PGothic"/>
          <w:sz w:val="18"/>
          <w:szCs w:val="18"/>
          <w:color w:val="auto"/>
        </w:rPr>
        <w:t>‑</w:t>
      </w:r>
      <w:r>
        <w:rPr>
          <w:rFonts w:ascii="Arial" w:cs="Arial" w:eastAsia="Arial" w:hAnsi="Arial"/>
          <w:sz w:val="18"/>
          <w:szCs w:val="18"/>
          <w:color w:val="auto"/>
        </w:rPr>
        <w:t>131 and Iodine</w:t>
      </w:r>
      <w:r>
        <w:rPr>
          <w:rFonts w:ascii="MS PGothic" w:cs="MS PGothic" w:eastAsia="MS PGothic" w:hAnsi="MS PGothic"/>
          <w:sz w:val="18"/>
          <w:szCs w:val="18"/>
          <w:color w:val="auto"/>
        </w:rPr>
        <w:t>‑</w:t>
      </w:r>
      <w:r>
        <w:rPr>
          <w:rFonts w:ascii="Arial" w:cs="Arial" w:eastAsia="Arial" w:hAnsi="Arial"/>
          <w:sz w:val="18"/>
          <w:szCs w:val="18"/>
          <w:color w:val="auto"/>
        </w:rPr>
        <w:t>124. In particular, the radiolabeling of omburtamab</w:t>
      </w:r>
      <w:r>
        <w:rPr>
          <w:rFonts w:ascii="MS PGothic" w:cs="MS PGothic" w:eastAsia="MS PGothic" w:hAnsi="MS PGothic"/>
          <w:sz w:val="18"/>
          <w:szCs w:val="18"/>
          <w:color w:val="auto"/>
        </w:rPr>
        <w:t>‑</w:t>
      </w:r>
      <w:r>
        <w:rPr>
          <w:rFonts w:ascii="Arial" w:cs="Arial" w:eastAsia="Arial" w:hAnsi="Arial"/>
          <w:sz w:val="18"/>
          <w:szCs w:val="18"/>
          <w:color w:val="auto"/>
        </w:rPr>
        <w:t>DTPA with Lutetium</w:t>
      </w:r>
      <w:r>
        <w:rPr>
          <w:rFonts w:ascii="MS PGothic" w:cs="MS PGothic" w:eastAsia="MS PGothic" w:hAnsi="MS PGothic"/>
          <w:sz w:val="18"/>
          <w:szCs w:val="18"/>
          <w:color w:val="auto"/>
        </w:rPr>
        <w:t>‑</w:t>
      </w:r>
      <w:r>
        <w:rPr>
          <w:rFonts w:ascii="Arial" w:cs="Arial" w:eastAsia="Arial" w:hAnsi="Arial"/>
          <w:sz w:val="18"/>
          <w:szCs w:val="18"/>
          <w:color w:val="auto"/>
        </w:rPr>
        <w:t>177 involves a relatively simple one</w:t>
      </w:r>
      <w:r>
        <w:rPr>
          <w:rFonts w:ascii="MS PGothic" w:cs="MS PGothic" w:eastAsia="MS PGothic" w:hAnsi="MS PGothic"/>
          <w:sz w:val="18"/>
          <w:szCs w:val="18"/>
          <w:color w:val="auto"/>
        </w:rPr>
        <w:t>‑</w:t>
      </w:r>
      <w:r>
        <w:rPr>
          <w:rFonts w:ascii="Arial" w:cs="Arial" w:eastAsia="Arial" w:hAnsi="Arial"/>
          <w:sz w:val="18"/>
          <w:szCs w:val="18"/>
          <w:color w:val="auto"/>
        </w:rPr>
        <w:t>step procedure and can be distributed conjugated ready to 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We are also developing huB7</w:t>
      </w:r>
      <w:r>
        <w:rPr>
          <w:rFonts w:ascii="MS PGothic" w:cs="MS PGothic" w:eastAsia="MS PGothic" w:hAnsi="MS PGothic"/>
          <w:sz w:val="18"/>
          <w:szCs w:val="18"/>
          <w:color w:val="auto"/>
        </w:rPr>
        <w:t>‑</w:t>
      </w:r>
      <w:r>
        <w:rPr>
          <w:rFonts w:ascii="Arial" w:cs="Arial" w:eastAsia="Arial" w:hAnsi="Arial"/>
          <w:sz w:val="18"/>
          <w:szCs w:val="18"/>
          <w:color w:val="auto"/>
        </w:rPr>
        <w:t>H3, a humanized version of omburtamab, for the treatment of B7</w:t>
      </w:r>
      <w:r>
        <w:rPr>
          <w:rFonts w:ascii="MS PGothic" w:cs="MS PGothic" w:eastAsia="MS PGothic" w:hAnsi="MS PGothic"/>
          <w:sz w:val="18"/>
          <w:szCs w:val="18"/>
          <w:color w:val="auto"/>
        </w:rPr>
        <w:t>‑</w:t>
      </w:r>
      <w:r>
        <w:rPr>
          <w:rFonts w:ascii="Arial" w:cs="Arial" w:eastAsia="Arial" w:hAnsi="Arial"/>
          <w:sz w:val="18"/>
          <w:szCs w:val="18"/>
          <w:color w:val="auto"/>
        </w:rPr>
        <w:t>H3 positive adult solid tumors where systemic immunotherapy is needed. We expect that huB7</w:t>
      </w:r>
      <w:r>
        <w:rPr>
          <w:rFonts w:ascii="MS PGothic" w:cs="MS PGothic" w:eastAsia="MS PGothic" w:hAnsi="MS PGothic"/>
          <w:sz w:val="18"/>
          <w:szCs w:val="18"/>
          <w:color w:val="auto"/>
        </w:rPr>
        <w:t>‑</w:t>
      </w:r>
      <w:r>
        <w:rPr>
          <w:rFonts w:ascii="Arial" w:cs="Arial" w:eastAsia="Arial" w:hAnsi="Arial"/>
          <w:sz w:val="18"/>
          <w:szCs w:val="18"/>
          <w:color w:val="auto"/>
        </w:rPr>
        <w:t>H3 will be used as a radio</w:t>
      </w:r>
      <w:r>
        <w:rPr>
          <w:rFonts w:ascii="MS PGothic" w:cs="MS PGothic" w:eastAsia="MS PGothic" w:hAnsi="MS PGothic"/>
          <w:sz w:val="18"/>
          <w:szCs w:val="18"/>
          <w:color w:val="auto"/>
        </w:rPr>
        <w:t>‑</w:t>
      </w:r>
      <w:r>
        <w:rPr>
          <w:rFonts w:ascii="Arial" w:cs="Arial" w:eastAsia="Arial" w:hAnsi="Arial"/>
          <w:sz w:val="18"/>
          <w:szCs w:val="18"/>
          <w:color w:val="auto"/>
        </w:rPr>
        <w:t>conjugated antibody designed to overcome limitations of murine antibodies that may induce HAMA, which may lead to decreased efficacy and increased toxicity when used for systemic immunotherapy.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29"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8"/>
          <w:szCs w:val="18"/>
          <w:color w:val="auto"/>
        </w:rPr>
        <w:t>We are advancing a promising pipeline of novel bivalent tumor targeting BsAbs for the treatment of cancer. We believe that our BsAbs have the potential to overcome limitations associated with existing BsAb constructs. Our first BsAb clinical product candidate, huGD2</w:t>
      </w:r>
      <w:r>
        <w:rPr>
          <w:rFonts w:ascii="MS PGothic" w:cs="MS PGothic" w:eastAsia="MS PGothic" w:hAnsi="MS PGothic"/>
          <w:sz w:val="18"/>
          <w:szCs w:val="18"/>
          <w:color w:val="auto"/>
        </w:rPr>
        <w:t>‑</w:t>
      </w:r>
      <w:r>
        <w:rPr>
          <w:rFonts w:ascii="Arial" w:cs="Arial" w:eastAsia="Arial" w:hAnsi="Arial"/>
          <w:sz w:val="18"/>
          <w:szCs w:val="18"/>
          <w:color w:val="auto"/>
        </w:rPr>
        <w:t>BsAb, is a humanized anti</w:t>
      </w:r>
      <w:r>
        <w:rPr>
          <w:rFonts w:ascii="MS PGothic" w:cs="MS PGothic" w:eastAsia="MS PGothic" w:hAnsi="MS PGothic"/>
          <w:sz w:val="18"/>
          <w:szCs w:val="18"/>
          <w:color w:val="auto"/>
        </w:rPr>
        <w:t>‑</w:t>
      </w:r>
      <w:r>
        <w:rPr>
          <w:rFonts w:ascii="Arial" w:cs="Arial" w:eastAsia="Arial" w:hAnsi="Arial"/>
          <w:sz w:val="18"/>
          <w:szCs w:val="18"/>
          <w:color w:val="auto"/>
        </w:rPr>
        <w:t>GD2 and anti</w:t>
      </w:r>
      <w:r>
        <w:rPr>
          <w:rFonts w:ascii="MS PGothic" w:cs="MS PGothic" w:eastAsia="MS PGothic" w:hAnsi="MS PGothic"/>
          <w:sz w:val="18"/>
          <w:szCs w:val="18"/>
          <w:color w:val="auto"/>
        </w:rPr>
        <w:t>‑</w:t>
      </w:r>
      <w:r>
        <w:rPr>
          <w:rFonts w:ascii="Arial" w:cs="Arial" w:eastAsia="Arial" w:hAnsi="Arial"/>
          <w:sz w:val="18"/>
          <w:szCs w:val="18"/>
          <w:color w:val="auto"/>
        </w:rPr>
        <w:t>CD3 BsAb. The IND for this construct was cleared by the FDA December 2018.</w:t>
      </w:r>
    </w:p>
    <w:p>
      <w:pPr>
        <w:spacing w:after="0" w:line="204" w:lineRule="exact"/>
        <w:rPr>
          <w:sz w:val="20"/>
          <w:szCs w:val="20"/>
          <w:color w:val="auto"/>
        </w:rPr>
      </w:pPr>
    </w:p>
    <w:p>
      <w:pPr>
        <w:jc w:val="both"/>
        <w:ind w:right="380" w:firstLine="648"/>
        <w:spacing w:after="0" w:line="221" w:lineRule="exact"/>
        <w:rPr>
          <w:sz w:val="20"/>
          <w:szCs w:val="20"/>
          <w:color w:val="auto"/>
        </w:rPr>
      </w:pPr>
      <w:r>
        <w:rPr>
          <w:rFonts w:ascii="Arial" w:cs="Arial" w:eastAsia="Arial" w:hAnsi="Arial"/>
          <w:sz w:val="18"/>
          <w:szCs w:val="18"/>
          <w:color w:val="auto"/>
        </w:rPr>
        <w:t>Our second BsAb product candidate, huCD33</w:t>
      </w:r>
      <w:r>
        <w:rPr>
          <w:rFonts w:ascii="MS PGothic" w:cs="MS PGothic" w:eastAsia="MS PGothic" w:hAnsi="MS PGothic"/>
          <w:sz w:val="18"/>
          <w:szCs w:val="18"/>
          <w:color w:val="auto"/>
        </w:rPr>
        <w:t>‑</w:t>
      </w:r>
      <w:r>
        <w:rPr>
          <w:rFonts w:ascii="Arial" w:cs="Arial" w:eastAsia="Arial" w:hAnsi="Arial"/>
          <w:sz w:val="18"/>
          <w:szCs w:val="18"/>
          <w:color w:val="auto"/>
        </w:rPr>
        <w:t>BsAb, is a humanized anti</w:t>
      </w:r>
      <w:r>
        <w:rPr>
          <w:rFonts w:ascii="MS PGothic" w:cs="MS PGothic" w:eastAsia="MS PGothic" w:hAnsi="MS PGothic"/>
          <w:sz w:val="18"/>
          <w:szCs w:val="18"/>
          <w:color w:val="auto"/>
        </w:rPr>
        <w:t>‑</w:t>
      </w:r>
      <w:r>
        <w:rPr>
          <w:rFonts w:ascii="Arial" w:cs="Arial" w:eastAsia="Arial" w:hAnsi="Arial"/>
          <w:sz w:val="18"/>
          <w:szCs w:val="18"/>
          <w:color w:val="auto"/>
        </w:rPr>
        <w:t>CD33 and anti</w:t>
      </w:r>
      <w:r>
        <w:rPr>
          <w:rFonts w:ascii="MS PGothic" w:cs="MS PGothic" w:eastAsia="MS PGothic" w:hAnsi="MS PGothic"/>
          <w:sz w:val="18"/>
          <w:szCs w:val="18"/>
          <w:color w:val="auto"/>
        </w:rPr>
        <w:t>‑</w:t>
      </w:r>
      <w:r>
        <w:rPr>
          <w:rFonts w:ascii="Arial" w:cs="Arial" w:eastAsia="Arial" w:hAnsi="Arial"/>
          <w:sz w:val="18"/>
          <w:szCs w:val="18"/>
          <w:color w:val="auto"/>
        </w:rPr>
        <w:t>CD3 BsAb. We are in pre</w:t>
      </w:r>
      <w:r>
        <w:rPr>
          <w:rFonts w:ascii="MS PGothic" w:cs="MS PGothic" w:eastAsia="MS PGothic" w:hAnsi="MS PGothic"/>
          <w:sz w:val="18"/>
          <w:szCs w:val="18"/>
          <w:color w:val="auto"/>
        </w:rPr>
        <w:t>‑</w:t>
      </w:r>
      <w:r>
        <w:rPr>
          <w:rFonts w:ascii="Arial" w:cs="Arial" w:eastAsia="Arial" w:hAnsi="Arial"/>
          <w:sz w:val="18"/>
          <w:szCs w:val="18"/>
          <w:color w:val="auto"/>
        </w:rPr>
        <w:t>clinical development for our huCD33</w:t>
      </w:r>
      <w:r>
        <w:rPr>
          <w:rFonts w:ascii="MS PGothic" w:cs="MS PGothic" w:eastAsia="MS PGothic" w:hAnsi="MS PGothic"/>
          <w:sz w:val="18"/>
          <w:szCs w:val="18"/>
          <w:color w:val="auto"/>
        </w:rPr>
        <w:t>‑</w:t>
      </w:r>
      <w:r>
        <w:rPr>
          <w:rFonts w:ascii="Arial" w:cs="Arial" w:eastAsia="Arial" w:hAnsi="Arial"/>
          <w:sz w:val="18"/>
          <w:szCs w:val="18"/>
          <w:color w:val="auto"/>
        </w:rPr>
        <w:t>BsAb product candidate for the treatment of huCD33</w:t>
      </w:r>
      <w:r>
        <w:rPr>
          <w:rFonts w:ascii="MS PGothic" w:cs="MS PGothic" w:eastAsia="MS PGothic" w:hAnsi="MS PGothic"/>
          <w:sz w:val="18"/>
          <w:szCs w:val="18"/>
          <w:color w:val="auto"/>
        </w:rPr>
        <w:t>‑</w:t>
      </w:r>
      <w:r>
        <w:rPr>
          <w:rFonts w:ascii="Arial" w:cs="Arial" w:eastAsia="Arial" w:hAnsi="Arial"/>
          <w:sz w:val="18"/>
          <w:szCs w:val="18"/>
          <w:color w:val="auto"/>
        </w:rPr>
        <w:t>positive hermatological cancers.</w:t>
      </w:r>
    </w:p>
    <w:p>
      <w:pPr>
        <w:spacing w:after="0" w:line="202"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7"/>
          <w:szCs w:val="17"/>
          <w:color w:val="auto"/>
        </w:rPr>
        <w:t>In addition, the MSK License provides us with non</w:t>
      </w:r>
      <w:r>
        <w:rPr>
          <w:rFonts w:ascii="MS PGothic" w:cs="MS PGothic" w:eastAsia="MS PGothic" w:hAnsi="MS PGothic"/>
          <w:sz w:val="17"/>
          <w:szCs w:val="17"/>
          <w:color w:val="auto"/>
        </w:rPr>
        <w:t>‑</w:t>
      </w:r>
      <w:r>
        <w:rPr>
          <w:rFonts w:ascii="Arial" w:cs="Arial" w:eastAsia="Arial" w:hAnsi="Arial"/>
          <w:sz w:val="17"/>
          <w:szCs w:val="17"/>
          <w:color w:val="auto"/>
        </w:rPr>
        <w:t>exclusive access to MSK’s technology that facilitates the creation of a novel human protein tag that can dimerize, or link together, BiTEs, which we refer to as the MULTI</w:t>
      </w:r>
      <w:r>
        <w:rPr>
          <w:rFonts w:ascii="MS PGothic" w:cs="MS PGothic" w:eastAsia="MS PGothic" w:hAnsi="MS PGothic"/>
          <w:sz w:val="17"/>
          <w:szCs w:val="17"/>
          <w:color w:val="auto"/>
        </w:rPr>
        <w:t>‑</w:t>
      </w:r>
      <w:r>
        <w:rPr>
          <w:rFonts w:ascii="Arial" w:cs="Arial" w:eastAsia="Arial" w:hAnsi="Arial"/>
          <w:sz w:val="17"/>
          <w:szCs w:val="17"/>
          <w:color w:val="auto"/>
        </w:rPr>
        <w:t>TAG technology platform. BiTEs are an important class of BsAbs that has shown significant promise in the treatment of cancer due to their high potency. Based on our pre</w:t>
      </w:r>
      <w:r>
        <w:rPr>
          <w:rFonts w:ascii="MS PGothic" w:cs="MS PGothic" w:eastAsia="MS PGothic" w:hAnsi="MS PGothic"/>
          <w:sz w:val="17"/>
          <w:szCs w:val="17"/>
          <w:color w:val="auto"/>
        </w:rPr>
        <w:t>‑</w:t>
      </w:r>
      <w:r>
        <w:rPr>
          <w:rFonts w:ascii="Arial" w:cs="Arial" w:eastAsia="Arial" w:hAnsi="Arial"/>
          <w:sz w:val="17"/>
          <w:szCs w:val="17"/>
          <w:color w:val="auto"/>
        </w:rPr>
        <w:t>clinical studies, we believe that this novel class of BiTEs has the potential to result in better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of tumor cells without the need for continuous infusion. We plan to utilize this technology to create a diverse platform of dimerized BiTEs. We are currently working on several MULTI</w:t>
      </w:r>
      <w:r>
        <w:rPr>
          <w:rFonts w:ascii="MS PGothic" w:cs="MS PGothic" w:eastAsia="MS PGothic" w:hAnsi="MS PGothic"/>
          <w:sz w:val="17"/>
          <w:szCs w:val="17"/>
          <w:color w:val="auto"/>
        </w:rPr>
        <w:t>‑</w:t>
      </w:r>
      <w:r>
        <w:rPr>
          <w:rFonts w:ascii="Arial" w:cs="Arial" w:eastAsia="Arial" w:hAnsi="Arial"/>
          <w:sz w:val="17"/>
          <w:szCs w:val="17"/>
          <w:color w:val="auto"/>
        </w:rPr>
        <w:t>TAG candidates with MSK.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w:t>
      </w:r>
      <w:r>
        <w:rPr>
          <w:rFonts w:ascii="MS PGothic" w:cs="MS PGothic" w:eastAsia="MS PGothic" w:hAnsi="MS PGothic"/>
          <w:sz w:val="18"/>
          <w:szCs w:val="18"/>
          <w:color w:val="auto"/>
        </w:rPr>
        <w:t>‑</w:t>
      </w:r>
      <w:r>
        <w:rPr>
          <w:rFonts w:ascii="Arial" w:cs="Arial" w:eastAsia="Arial" w:hAnsi="Arial"/>
          <w:sz w:val="18"/>
          <w:szCs w:val="18"/>
          <w:color w:val="auto"/>
        </w:rPr>
        <w: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w:t>
      </w:r>
      <w:r>
        <w:rPr>
          <w:rFonts w:ascii="MS PGothic" w:cs="MS PGothic" w:eastAsia="MS PGothic" w:hAnsi="MS PGothic"/>
          <w:sz w:val="18"/>
          <w:szCs w:val="18"/>
          <w:color w:val="auto"/>
        </w:rPr>
        <w:t>‑</w:t>
      </w:r>
      <w:r>
        <w:rPr>
          <w:rFonts w:ascii="Arial" w:cs="Arial" w:eastAsia="Arial" w:hAnsi="Arial"/>
          <w:sz w:val="18"/>
          <w:szCs w:val="18"/>
          <w:color w:val="auto"/>
        </w:rPr>
        <w:t>T therapy.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9" w:firstLine="648"/>
        <w:spacing w:after="0" w:line="221" w:lineRule="exact"/>
        <w:rPr>
          <w:sz w:val="20"/>
          <w:szCs w:val="20"/>
          <w:color w:val="auto"/>
        </w:rPr>
      </w:pPr>
      <w:r>
        <w:rPr>
          <w:rFonts w:ascii="Arial" w:cs="Arial" w:eastAsia="Arial" w:hAnsi="Arial"/>
          <w:sz w:val="17"/>
          <w:szCs w:val="17"/>
          <w:color w:val="auto"/>
        </w:rPr>
        <w:t>BsAbs are generally divided into two classes, IgG</w:t>
      </w:r>
      <w:r>
        <w:rPr>
          <w:rFonts w:ascii="MS PGothic" w:cs="MS PGothic" w:eastAsia="MS PGothic" w:hAnsi="MS PGothic"/>
          <w:sz w:val="17"/>
          <w:szCs w:val="17"/>
          <w:color w:val="auto"/>
        </w:rPr>
        <w:t>‑</w:t>
      </w:r>
      <w:r>
        <w:rPr>
          <w:rFonts w:ascii="Arial" w:cs="Arial" w:eastAsia="Arial" w:hAnsi="Arial"/>
          <w:sz w:val="17"/>
          <w:szCs w:val="17"/>
          <w:color w:val="auto"/>
        </w:rPr>
        <w:t>like molecules and non</w:t>
      </w:r>
      <w:r>
        <w:rPr>
          <w:rFonts w:ascii="MS PGothic" w:cs="MS PGothic" w:eastAsia="MS PGothic" w:hAnsi="MS PGothic"/>
          <w:sz w:val="17"/>
          <w:szCs w:val="17"/>
          <w:color w:val="auto"/>
        </w:rPr>
        <w:t>‑</w:t>
      </w:r>
      <w:r>
        <w:rPr>
          <w:rFonts w:ascii="Arial" w:cs="Arial" w:eastAsia="Arial" w:hAnsi="Arial"/>
          <w:sz w:val="17"/>
          <w:szCs w:val="17"/>
          <w:color w:val="auto"/>
        </w:rPr>
        <w:t>IgG</w:t>
      </w:r>
      <w:r>
        <w:rPr>
          <w:rFonts w:ascii="MS PGothic" w:cs="MS PGothic" w:eastAsia="MS PGothic" w:hAnsi="MS PGothic"/>
          <w:sz w:val="17"/>
          <w:szCs w:val="17"/>
          <w:color w:val="auto"/>
        </w:rPr>
        <w:t>‑</w:t>
      </w:r>
      <w:r>
        <w:rPr>
          <w:rFonts w:ascii="Arial" w:cs="Arial" w:eastAsia="Arial" w:hAnsi="Arial"/>
          <w:sz w:val="17"/>
          <w:szCs w:val="17"/>
          <w:color w:val="auto"/>
        </w:rPr>
        <w:t>like molecules. IgG</w:t>
      </w:r>
      <w:r>
        <w:rPr>
          <w:rFonts w:ascii="MS PGothic" w:cs="MS PGothic" w:eastAsia="MS PGothic" w:hAnsi="MS PGothic"/>
          <w:sz w:val="17"/>
          <w:szCs w:val="17"/>
          <w:color w:val="auto"/>
        </w:rPr>
        <w:t>‑</w:t>
      </w:r>
      <w:r>
        <w:rPr>
          <w:rFonts w:ascii="Arial" w:cs="Arial" w:eastAsia="Arial" w:hAnsi="Arial"/>
          <w:sz w:val="17"/>
          <w:szCs w:val="17"/>
          <w:color w:val="auto"/>
        </w:rPr>
        <w:t>like BsAbs retain the traditional monoclonal antibody structure but bind to multiple antigens. Although IgG</w:t>
      </w:r>
      <w:r>
        <w:rPr>
          <w:rFonts w:ascii="MS PGothic" w:cs="MS PGothic" w:eastAsia="MS PGothic" w:hAnsi="MS PGothic"/>
          <w:sz w:val="17"/>
          <w:szCs w:val="17"/>
          <w:color w:val="auto"/>
        </w:rPr>
        <w:t>‑</w:t>
      </w:r>
      <w:r>
        <w:rPr>
          <w:rFonts w:ascii="Arial" w:cs="Arial" w:eastAsia="Arial" w:hAnsi="Arial"/>
          <w:sz w:val="17"/>
          <w:szCs w:val="17"/>
          <w:color w:val="auto"/>
        </w:rPr>
        <w:t>like BsAbs generally demonstrate adequate stability and effector functions, their large size limits tissue penetration.</w:t>
      </w:r>
    </w:p>
    <w:p>
      <w:pPr>
        <w:spacing w:after="0" w:line="202" w:lineRule="exact"/>
        <w:rPr>
          <w:sz w:val="20"/>
          <w:szCs w:val="20"/>
          <w:color w:val="auto"/>
        </w:rPr>
      </w:pPr>
    </w:p>
    <w:p>
      <w:pPr>
        <w:ind w:right="19" w:firstLine="648"/>
        <w:spacing w:after="0" w:line="219"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IgG</w:t>
      </w:r>
      <w:r>
        <w:rPr>
          <w:rFonts w:ascii="MS PGothic" w:cs="MS PGothic" w:eastAsia="MS PGothic" w:hAnsi="MS PGothic"/>
          <w:sz w:val="16"/>
          <w:szCs w:val="16"/>
          <w:color w:val="auto"/>
        </w:rPr>
        <w:t>‑</w:t>
      </w:r>
      <w:r>
        <w:rPr>
          <w:rFonts w:ascii="Arial" w:cs="Arial" w:eastAsia="Arial" w:hAnsi="Arial"/>
          <w:sz w:val="16"/>
          <w:szCs w:val="16"/>
          <w:color w:val="auto"/>
        </w:rPr>
        <w:t>like BsAbs lack a fragment crystallizable, or Fc, region, consisting instead of chemically linked variable regions and various types of multivalent single</w:t>
      </w:r>
      <w:r>
        <w:rPr>
          <w:rFonts w:ascii="MS PGothic" w:cs="MS PGothic" w:eastAsia="MS PGothic" w:hAnsi="MS PGothic"/>
          <w:sz w:val="16"/>
          <w:szCs w:val="16"/>
          <w:color w:val="auto"/>
        </w:rPr>
        <w:t>‑</w:t>
      </w:r>
      <w:r>
        <w:rPr>
          <w:rFonts w:ascii="Arial" w:cs="Arial" w:eastAsia="Arial" w:hAnsi="Arial"/>
          <w:sz w:val="16"/>
          <w:szCs w:val="16"/>
          <w:color w:val="auto"/>
        </w:rPr>
        <w:t>chain variable fragments, or scFvs. One type of non</w:t>
      </w:r>
      <w:r>
        <w:rPr>
          <w:rFonts w:ascii="MS PGothic" w:cs="MS PGothic" w:eastAsia="MS PGothic" w:hAnsi="MS PGothic"/>
          <w:sz w:val="16"/>
          <w:szCs w:val="16"/>
          <w:color w:val="auto"/>
        </w:rPr>
        <w:t>‑</w:t>
      </w:r>
      <w:r>
        <w:rPr>
          <w:rFonts w:ascii="Arial" w:cs="Arial" w:eastAsia="Arial" w:hAnsi="Arial"/>
          <w:sz w:val="16"/>
          <w:szCs w:val="16"/>
          <w:color w:val="auto"/>
        </w:rPr>
        <w:t>IgG</w:t>
      </w:r>
      <w:r>
        <w:rPr>
          <w:rFonts w:ascii="MS PGothic" w:cs="MS PGothic" w:eastAsia="MS PGothic" w:hAnsi="MS PGothic"/>
          <w:sz w:val="16"/>
          <w:szCs w:val="16"/>
          <w:color w:val="auto"/>
        </w:rPr>
        <w:t>‑</w:t>
      </w:r>
      <w:r>
        <w:rPr>
          <w:rFonts w:ascii="Arial" w:cs="Arial" w:eastAsia="Arial" w:hAnsi="Arial"/>
          <w:sz w:val="16"/>
          <w:szCs w:val="16"/>
          <w:color w:val="auto"/>
        </w:rPr>
        <w:t>like BsAbs are BiTEs. BiTEs are relatively small and have more efficient penetration, however, they exhibit short serum half</w:t>
      </w:r>
      <w:r>
        <w:rPr>
          <w:rFonts w:ascii="MS PGothic" w:cs="MS PGothic" w:eastAsia="MS PGothic" w:hAnsi="MS PGothic"/>
          <w:sz w:val="16"/>
          <w:szCs w:val="16"/>
          <w:color w:val="auto"/>
        </w:rPr>
        <w:t>‑</w:t>
      </w:r>
      <w:r>
        <w:rPr>
          <w:rFonts w:ascii="Arial" w:cs="Arial" w:eastAsia="Arial" w:hAnsi="Arial"/>
          <w:sz w:val="16"/>
          <w:szCs w:val="16"/>
          <w:color w:val="auto"/>
        </w:rPr>
        <w:t>lives. They bind monovalently to tumor targets, which often results in suboptimal tumor binding relative to conventional IgG</w:t>
      </w:r>
      <w:r>
        <w:rPr>
          <w:rFonts w:ascii="MS PGothic" w:cs="MS PGothic" w:eastAsia="MS PGothic" w:hAnsi="MS PGothic"/>
          <w:sz w:val="16"/>
          <w:szCs w:val="16"/>
          <w:color w:val="auto"/>
        </w:rPr>
        <w:t>‑</w:t>
      </w:r>
      <w:r>
        <w:rPr>
          <w:rFonts w:ascii="Arial" w:cs="Arial" w:eastAsia="Arial" w:hAnsi="Arial"/>
          <w:sz w:val="16"/>
          <w:szCs w:val="16"/>
          <w:color w:val="auto"/>
        </w:rPr>
        <w:t>like BsAbs that bind bivalently. Finally, therapeutic dosing of BiTEs is limited by the risk of excessive cytokine release in patients.</w:t>
      </w:r>
    </w:p>
    <w:p>
      <w:pPr>
        <w:spacing w:after="0" w:line="204" w:lineRule="exact"/>
        <w:rPr>
          <w:sz w:val="20"/>
          <w:szCs w:val="20"/>
          <w:color w:val="auto"/>
        </w:rPr>
      </w:pPr>
    </w:p>
    <w:p>
      <w:pPr>
        <w:ind w:right="299" w:firstLine="648"/>
        <w:spacing w:after="0" w:line="277" w:lineRule="auto"/>
        <w:rPr>
          <w:sz w:val="20"/>
          <w:szCs w:val="20"/>
          <w:color w:val="auto"/>
        </w:rPr>
      </w:pPr>
      <w:r>
        <w:rPr>
          <w:rFonts w:ascii="Arial" w:cs="Arial" w:eastAsia="Arial" w:hAnsi="Arial"/>
          <w:sz w:val="18"/>
          <w:szCs w:val="18"/>
          <w:color w:val="auto"/>
        </w:rPr>
        <w:t>The only approved BsAb for treatment of cancer in the United States is blinatumomab, a BiTE, approved for the treatment of acute lymphocytic leukemia.</w:t>
      </w:r>
    </w:p>
    <w:p>
      <w:pPr>
        <w:spacing w:after="0" w:line="17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huGD2</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BsAb Overview</w:t>
      </w:r>
    </w:p>
    <w:p>
      <w:pPr>
        <w:spacing w:after="0" w:line="225" w:lineRule="exact"/>
        <w:rPr>
          <w:sz w:val="20"/>
          <w:szCs w:val="20"/>
          <w:color w:val="auto"/>
        </w:rPr>
      </w:pPr>
    </w:p>
    <w:p>
      <w:pPr>
        <w:ind w:right="299" w:firstLine="648"/>
        <w:spacing w:after="0" w:line="221" w:lineRule="exact"/>
        <w:rPr>
          <w:sz w:val="20"/>
          <w:szCs w:val="20"/>
          <w:color w:val="auto"/>
        </w:rPr>
      </w:pPr>
      <w:r>
        <w:rPr>
          <w:rFonts w:ascii="Arial" w:cs="Arial" w:eastAsia="Arial" w:hAnsi="Arial"/>
          <w:sz w:val="18"/>
          <w:szCs w:val="18"/>
          <w:color w:val="auto"/>
        </w:rPr>
        <w:t>The figure below depicts our first BsAb product candidate, huGD2</w:t>
      </w:r>
      <w:r>
        <w:rPr>
          <w:rFonts w:ascii="MS PGothic" w:cs="MS PGothic" w:eastAsia="MS PGothic" w:hAnsi="MS PGothic"/>
          <w:sz w:val="18"/>
          <w:szCs w:val="18"/>
          <w:color w:val="auto"/>
        </w:rPr>
        <w:t>‑</w:t>
      </w:r>
      <w:r>
        <w:rPr>
          <w:rFonts w:ascii="Arial" w:cs="Arial" w:eastAsia="Arial" w:hAnsi="Arial"/>
          <w:sz w:val="18"/>
          <w:szCs w:val="18"/>
          <w:color w:val="auto"/>
        </w:rPr>
        <w:t>BsAb, a fully humanized IgG</w:t>
      </w:r>
      <w:r>
        <w:rPr>
          <w:rFonts w:ascii="MS PGothic" w:cs="MS PGothic" w:eastAsia="MS PGothic" w:hAnsi="MS PGothic"/>
          <w:sz w:val="18"/>
          <w:szCs w:val="18"/>
          <w:color w:val="auto"/>
        </w:rPr>
        <w:t>‑</w:t>
      </w:r>
      <w:r>
        <w:rPr>
          <w:rFonts w:ascii="Arial" w:cs="Arial" w:eastAsia="Arial" w:hAnsi="Arial"/>
          <w:sz w:val="18"/>
          <w:szCs w:val="18"/>
          <w:color w:val="auto"/>
        </w:rPr>
        <w:t>scFv format antibody, in which the anti</w:t>
      </w:r>
      <w:r>
        <w:rPr>
          <w:rFonts w:ascii="MS PGothic" w:cs="MS PGothic" w:eastAsia="MS PGothic" w:hAnsi="MS PGothic"/>
          <w:sz w:val="18"/>
          <w:szCs w:val="18"/>
          <w:color w:val="auto"/>
        </w:rPr>
        <w:t>‑</w:t>
      </w:r>
      <w:r>
        <w:rPr>
          <w:rFonts w:ascii="Arial" w:cs="Arial" w:eastAsia="Arial" w:hAnsi="Arial"/>
          <w:sz w:val="18"/>
          <w:szCs w:val="18"/>
          <w:color w:val="auto"/>
        </w:rPr>
        <w:t>CD3 scFv is linked to the carboxyl end of the naxitamab IgG1 and the Fc region is mutated to help prevent cytokine release as well as complement</w:t>
      </w:r>
      <w:r>
        <w:rPr>
          <w:rFonts w:ascii="MS PGothic" w:cs="MS PGothic" w:eastAsia="MS PGothic" w:hAnsi="MS PGothic"/>
          <w:sz w:val="18"/>
          <w:szCs w:val="18"/>
          <w:color w:val="auto"/>
        </w:rPr>
        <w:t>‑</w:t>
      </w:r>
      <w:r>
        <w:rPr>
          <w:rFonts w:ascii="Arial" w:cs="Arial" w:eastAsia="Arial" w:hAnsi="Arial"/>
          <w:sz w:val="18"/>
          <w:szCs w:val="18"/>
          <w:color w:val="auto"/>
        </w:rPr>
        <w:t>mediated pain side effects.</w:t>
      </w:r>
    </w:p>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Naxitamab (anti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GD2 and 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154940</wp:posOffset>
            </wp:positionV>
            <wp:extent cx="2495550" cy="1964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believe that huGD2</w:t>
      </w:r>
      <w:r>
        <w:rPr>
          <w:rFonts w:ascii="MS PGothic" w:cs="MS PGothic" w:eastAsia="MS PGothic" w:hAnsi="MS PGothic"/>
          <w:sz w:val="18"/>
          <w:szCs w:val="18"/>
          <w:color w:val="auto"/>
        </w:rPr>
        <w:t>‑</w:t>
      </w:r>
      <w:r>
        <w:rPr>
          <w:rFonts w:ascii="Arial" w:cs="Arial" w:eastAsia="Arial" w:hAnsi="Arial"/>
          <w:sz w:val="18"/>
          <w:szCs w:val="18"/>
          <w:color w:val="auto"/>
        </w:rPr>
        <w:t>BsAb may have several potential advantages over other BsAbs, including:</w:t>
      </w:r>
    </w:p>
    <w:p>
      <w:pPr>
        <w:spacing w:after="0" w:line="225" w:lineRule="exact"/>
        <w:rPr>
          <w:sz w:val="20"/>
          <w:szCs w:val="20"/>
          <w:color w:val="auto"/>
        </w:rPr>
      </w:pPr>
    </w:p>
    <w:p>
      <w:pPr>
        <w:ind w:left="980" w:hanging="329"/>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Improved potency due to bivalency towards GD2, while maintaining functional monovalency towards CD3.</w:t>
      </w:r>
    </w:p>
    <w:p>
      <w:pPr>
        <w:spacing w:after="0" w:line="236" w:lineRule="exact"/>
        <w:rPr>
          <w:rFonts w:ascii="Arial" w:cs="Arial" w:eastAsia="Arial" w:hAnsi="Arial"/>
          <w:sz w:val="17"/>
          <w:szCs w:val="17"/>
          <w:color w:val="auto"/>
        </w:rPr>
      </w:pPr>
    </w:p>
    <w:p>
      <w:pPr>
        <w:ind w:left="980" w:right="159" w:hanging="329"/>
        <w:spacing w:after="0" w:line="221" w:lineRule="exact"/>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serum half</w:t>
      </w:r>
      <w:r>
        <w:rPr>
          <w:rFonts w:ascii="MS PGothic" w:cs="MS PGothic" w:eastAsia="MS PGothic" w:hAnsi="MS PGothic"/>
          <w:sz w:val="18"/>
          <w:szCs w:val="18"/>
          <w:color w:val="auto"/>
        </w:rPr>
        <w:t>‑</w:t>
      </w:r>
      <w:r>
        <w:rPr>
          <w:rFonts w:ascii="Arial" w:cs="Arial" w:eastAsia="Arial" w:hAnsi="Arial"/>
          <w:sz w:val="18"/>
          <w:szCs w:val="18"/>
          <w:color w:val="auto"/>
        </w:rPr>
        <w:t>life to improve efficacy and patient convenience—molecular size of 210kD (vs. 55kD size of blinatumomab) and binding to neonatal Fc receptor result in longer serum half</w:t>
      </w:r>
      <w:r>
        <w:rPr>
          <w:rFonts w:ascii="MS PGothic" w:cs="MS PGothic" w:eastAsia="MS PGothic" w:hAnsi="MS PGothic"/>
          <w:sz w:val="18"/>
          <w:szCs w:val="18"/>
          <w:color w:val="auto"/>
        </w:rPr>
        <w:t>‑</w:t>
      </w:r>
      <w:r>
        <w:rPr>
          <w:rFonts w:ascii="Arial" w:cs="Arial" w:eastAsia="Arial" w:hAnsi="Arial"/>
          <w:sz w:val="18"/>
          <w:szCs w:val="18"/>
          <w:color w:val="auto"/>
        </w:rPr>
        <w:t>life, thereby reducing the need for continuous infusion.</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25" w:lineRule="exact"/>
        <w:rPr>
          <w:rFonts w:ascii="Arial" w:cs="Arial" w:eastAsia="Arial" w:hAnsi="Arial"/>
          <w:sz w:val="18"/>
          <w:szCs w:val="18"/>
          <w:color w:val="auto"/>
        </w:rPr>
      </w:pPr>
    </w:p>
    <w:p>
      <w:pPr>
        <w:ind w:left="1620" w:right="219" w:hanging="321"/>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170" w:lineRule="exact"/>
        <w:rPr>
          <w:rFonts w:ascii="Arial" w:cs="Arial" w:eastAsia="Arial" w:hAnsi="Arial"/>
          <w:sz w:val="18"/>
          <w:szCs w:val="18"/>
          <w:color w:val="auto"/>
        </w:rPr>
      </w:pPr>
    </w:p>
    <w:p>
      <w:pPr>
        <w:ind w:left="1620" w:right="99" w:hanging="321"/>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firstLine="648"/>
        <w:spacing w:after="0" w:line="220" w:lineRule="exact"/>
        <w:rPr>
          <w:sz w:val="20"/>
          <w:szCs w:val="20"/>
          <w:color w:val="auto"/>
        </w:rPr>
      </w:pPr>
      <w:r>
        <w:rPr>
          <w:rFonts w:ascii="Arial" w:cs="Arial" w:eastAsia="Arial" w:hAnsi="Arial"/>
          <w:sz w:val="18"/>
          <w:szCs w:val="18"/>
          <w:color w:val="auto"/>
        </w:rPr>
        <w:t>Knockout mice, which lack murine T</w:t>
      </w:r>
      <w:r>
        <w:rPr>
          <w:rFonts w:ascii="MS PGothic" w:cs="MS PGothic" w:eastAsia="MS PGothic" w:hAnsi="MS PGothic"/>
          <w:sz w:val="18"/>
          <w:szCs w:val="18"/>
          <w:color w:val="auto"/>
        </w:rPr>
        <w:t>‑</w:t>
      </w:r>
      <w:r>
        <w:rPr>
          <w:rFonts w:ascii="Arial" w:cs="Arial" w:eastAsia="Arial" w:hAnsi="Arial"/>
          <w:sz w:val="18"/>
          <w:szCs w:val="18"/>
          <w:color w:val="auto"/>
        </w:rPr>
        <w:t>cells, B</w:t>
      </w:r>
      <w:r>
        <w:rPr>
          <w:rFonts w:ascii="MS PGothic" w:cs="MS PGothic" w:eastAsia="MS PGothic" w:hAnsi="MS PGothic"/>
          <w:sz w:val="18"/>
          <w:szCs w:val="18"/>
          <w:color w:val="auto"/>
        </w:rPr>
        <w:t>‑</w:t>
      </w:r>
      <w:r>
        <w:rPr>
          <w:rFonts w:ascii="Arial" w:cs="Arial" w:eastAsia="Arial" w:hAnsi="Arial"/>
          <w:sz w:val="18"/>
          <w:szCs w:val="18"/>
          <w:color w:val="auto"/>
        </w:rPr>
        <w:t>cells and NK cells, were used for human cancer xenograft studies. The picture below demonstrates a study where mice were transplanted with human M14</w:t>
      </w:r>
      <w:r>
        <w:rPr>
          <w:rFonts w:ascii="MS PGothic" w:cs="MS PGothic" w:eastAsia="MS PGothic" w:hAnsi="MS PGothic"/>
          <w:sz w:val="18"/>
          <w:szCs w:val="18"/>
          <w:color w:val="auto"/>
        </w:rPr>
        <w:t>‑</w:t>
      </w:r>
      <w:r>
        <w:rPr>
          <w:rFonts w:ascii="Arial" w:cs="Arial" w:eastAsia="Arial" w:hAnsi="Arial"/>
          <w:sz w:val="18"/>
          <w:szCs w:val="18"/>
          <w:color w:val="auto"/>
        </w:rPr>
        <w:t>Luc melanoma and human peripheral blood mononuclear cells, or PBMC, or activated T</w:t>
      </w:r>
      <w:r>
        <w:rPr>
          <w:rFonts w:ascii="MS PGothic" w:cs="MS PGothic" w:eastAsia="MS PGothic" w:hAnsi="MS PGothic"/>
          <w:sz w:val="18"/>
          <w:szCs w:val="18"/>
          <w:color w:val="auto"/>
        </w:rPr>
        <w:t>‑</w:t>
      </w:r>
      <w:r>
        <w:rPr>
          <w:rFonts w:ascii="Arial" w:cs="Arial" w:eastAsia="Arial" w:hAnsi="Arial"/>
          <w:sz w:val="18"/>
          <w:szCs w:val="18"/>
          <w:color w:val="auto"/>
        </w:rPr>
        <w:t>cells, or ATC, as effector cells. Tumor growth was assessed by luciferin bioluminescence.</w:t>
      </w:r>
    </w:p>
    <w:p>
      <w:pPr>
        <w:spacing w:after="0" w:line="204"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Mice, in a control group, treated with saline without effector cells (huGD2</w:t>
      </w:r>
      <w:r>
        <w:rPr>
          <w:rFonts w:ascii="MS PGothic" w:cs="MS PGothic" w:eastAsia="MS PGothic" w:hAnsi="MS PGothic"/>
          <w:sz w:val="17"/>
          <w:szCs w:val="17"/>
          <w:color w:val="auto"/>
        </w:rPr>
        <w:t>‑</w:t>
      </w:r>
      <w:r>
        <w:rPr>
          <w:rFonts w:ascii="Arial" w:cs="Arial" w:eastAsia="Arial" w:hAnsi="Arial"/>
          <w:sz w:val="17"/>
          <w:szCs w:val="17"/>
          <w:color w:val="auto"/>
        </w:rPr>
        <w:t>BsAb only), or effector cells plus</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ATC+naxitamab</w:t>
      </w:r>
      <w:r>
        <w:rPr>
          <w:rFonts w:ascii="MS PGothic" w:cs="MS PGothic" w:eastAsia="MS PGothic" w:hAnsi="MS PGothic"/>
          <w:sz w:val="16"/>
          <w:szCs w:val="16"/>
          <w:color w:val="auto"/>
        </w:rPr>
        <w:t>‑</w:t>
      </w:r>
      <w:r>
        <w:rPr>
          <w:rFonts w:ascii="Arial" w:cs="Arial" w:eastAsia="Arial" w:hAnsi="Arial"/>
          <w:sz w:val="16"/>
          <w:szCs w:val="16"/>
          <w:color w:val="auto"/>
        </w:rPr>
        <w:t>C825, used as the control BsAb and which does not bind to T</w:t>
      </w:r>
      <w:r>
        <w:rPr>
          <w:rFonts w:ascii="MS PGothic" w:cs="MS PGothic" w:eastAsia="MS PGothic" w:hAnsi="MS PGothic"/>
          <w:sz w:val="16"/>
          <w:szCs w:val="16"/>
          <w:color w:val="auto"/>
        </w:rPr>
        <w:t>‑</w:t>
      </w:r>
      <w:r>
        <w:rPr>
          <w:rFonts w:ascii="Arial" w:cs="Arial" w:eastAsia="Arial" w:hAnsi="Arial"/>
          <w:sz w:val="16"/>
          <w:szCs w:val="16"/>
          <w:color w:val="auto"/>
        </w:rPr>
        <w:t>cells, had equally rapid tumor progression. In</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contrast, mice treated with huGD2</w:t>
      </w:r>
      <w:r>
        <w:rPr>
          <w:rFonts w:ascii="MS PGothic" w:cs="MS PGothic" w:eastAsia="MS PGothic" w:hAnsi="MS PGothic"/>
          <w:sz w:val="18"/>
          <w:szCs w:val="18"/>
          <w:color w:val="auto"/>
        </w:rPr>
        <w:t>‑</w:t>
      </w:r>
      <w:r>
        <w:rPr>
          <w:rFonts w:ascii="Arial" w:cs="Arial" w:eastAsia="Arial" w:hAnsi="Arial"/>
          <w:sz w:val="18"/>
          <w:szCs w:val="18"/>
          <w:color w:val="auto"/>
        </w:rPr>
        <w:t>BsAb in the presence of human effector cells (ATC+huGD2</w:t>
      </w:r>
      <w:r>
        <w:rPr>
          <w:rFonts w:ascii="MS PGothic" w:cs="MS PGothic" w:eastAsia="MS PGothic" w:hAnsi="MS PGothic"/>
          <w:sz w:val="18"/>
          <w:szCs w:val="18"/>
          <w:color w:val="auto"/>
        </w:rPr>
        <w:t>‑</w:t>
      </w:r>
      <w:r>
        <w:rPr>
          <w:rFonts w:ascii="Arial" w:cs="Arial" w:eastAsia="Arial" w:hAnsi="Arial"/>
          <w:sz w:val="18"/>
          <w:szCs w:val="18"/>
          <w:color w:val="auto"/>
        </w:rPr>
        <w:t>BsAb or</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PBMC+huGD2</w:t>
      </w:r>
      <w:r>
        <w:rPr>
          <w:rFonts w:ascii="MS PGothic" w:cs="MS PGothic" w:eastAsia="MS PGothic" w:hAnsi="MS PGothic"/>
          <w:sz w:val="16"/>
          <w:szCs w:val="16"/>
          <w:color w:val="auto"/>
        </w:rPr>
        <w:t>‑</w:t>
      </w:r>
      <w:r>
        <w:rPr>
          <w:rFonts w:ascii="Arial" w:cs="Arial" w:eastAsia="Arial" w:hAnsi="Arial"/>
          <w:sz w:val="16"/>
          <w:szCs w:val="16"/>
          <w:color w:val="auto"/>
        </w:rPr>
        <w:t>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5763260" cy="3353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326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99" w:firstLine="648"/>
        <w:spacing w:after="0" w:line="264" w:lineRule="auto"/>
        <w:rPr>
          <w:sz w:val="20"/>
          <w:szCs w:val="20"/>
          <w:color w:val="auto"/>
        </w:rPr>
      </w:pPr>
      <w:r>
        <w:rPr>
          <w:rFonts w:ascii="Arial" w:cs="Arial" w:eastAsia="Arial" w:hAnsi="Arial"/>
          <w:sz w:val="18"/>
          <w:szCs w:val="18"/>
          <w:color w:val="auto"/>
        </w:rPr>
        <w:t>On December 10, 2018, the FDA cleared the IND application for the humanized bispecific GD2 antibody, and in January 2019, a Phase 1/2 trial with our huGD2 BsAb product candidate for the treatment of refractory GD2 positive adult and pediatric solid tumors was initiated.</w:t>
      </w:r>
    </w:p>
    <w:p>
      <w:pPr>
        <w:spacing w:after="0" w:line="181" w:lineRule="exact"/>
        <w:rPr>
          <w:sz w:val="20"/>
          <w:szCs w:val="20"/>
          <w:color w:val="auto"/>
        </w:rPr>
      </w:pPr>
    </w:p>
    <w:p>
      <w:pPr>
        <w:ind w:right="1159" w:firstLine="648"/>
        <w:spacing w:after="0" w:line="277" w:lineRule="auto"/>
        <w:rPr>
          <w:sz w:val="20"/>
          <w:szCs w:val="20"/>
          <w:color w:val="auto"/>
        </w:rPr>
      </w:pPr>
      <w:r>
        <w:rPr>
          <w:rFonts w:ascii="Arial" w:cs="Arial" w:eastAsia="Arial" w:hAnsi="Arial"/>
          <w:sz w:val="18"/>
          <w:szCs w:val="18"/>
          <w:i w:val="1"/>
          <w:iCs w:val="1"/>
          <w:color w:val="auto"/>
        </w:rPr>
        <w:t>Study 18-034: Phase I/II study of humanized 3F8 bispecific antibody (Hu3F8-BsAb) in patients with relapsed/refractory neuroblastoma, osteosarcoma, and other GD2(+) solid tumors</w:t>
      </w:r>
    </w:p>
    <w:p>
      <w:pPr>
        <w:spacing w:after="0" w:line="170" w:lineRule="exact"/>
        <w:rPr>
          <w:sz w:val="20"/>
          <w:szCs w:val="20"/>
          <w:color w:val="auto"/>
        </w:rPr>
      </w:pPr>
    </w:p>
    <w:p>
      <w:pPr>
        <w:ind w:right="79" w:firstLine="648"/>
        <w:spacing w:after="0" w:line="284" w:lineRule="auto"/>
        <w:rPr>
          <w:sz w:val="20"/>
          <w:szCs w:val="20"/>
          <w:color w:val="auto"/>
        </w:rPr>
      </w:pPr>
      <w:r>
        <w:rPr>
          <w:rFonts w:ascii="Arial" w:cs="Arial" w:eastAsia="Arial" w:hAnsi="Arial"/>
          <w:sz w:val="16"/>
          <w:szCs w:val="16"/>
          <w:color w:val="auto"/>
        </w:rPr>
        <w:t>Study 18-034 is a phase I/II single arm, dose escalation clinical trial of the hu3F8 bispecific antibody. Dose escalation to be performed in patients with relapsed/refractory neuroblastoma, osteosarcoma or other GD2-positive tumors. Cohort expansion will be conducted in relapsed/refractory neuroblastoma (group 1) and osteosarcoma (group 2). Up to 30 patients will enroll in Phase I and up to 64 patients will enroll in Phase II. The phase I endpoints include maximum tolerated dose, or MTD , the recommended phase II dose, or RP2D, PK, HAHA, and anti tumor activity. For phase II, the endpoint will for group 1 (RR neuroblastoma) include ORR, duration of CR and OS and for group 2 (R/R Osteosarcoma)</w:t>
      </w:r>
    </w:p>
    <w:p>
      <w:pPr>
        <w:spacing w:after="0" w:line="5" w:lineRule="exact"/>
        <w:rPr>
          <w:sz w:val="20"/>
          <w:szCs w:val="20"/>
          <w:color w:val="auto"/>
        </w:rPr>
      </w:pPr>
    </w:p>
    <w:p>
      <w:pPr>
        <w:ind w:right="539"/>
        <w:spacing w:after="0" w:line="261" w:lineRule="auto"/>
        <w:rPr>
          <w:sz w:val="20"/>
          <w:szCs w:val="20"/>
          <w:color w:val="auto"/>
        </w:rPr>
      </w:pPr>
      <w:r>
        <w:rPr>
          <w:rFonts w:ascii="Arial" w:cs="Arial" w:eastAsia="Arial" w:hAnsi="Arial"/>
          <w:sz w:val="18"/>
          <w:szCs w:val="18"/>
          <w:color w:val="auto"/>
        </w:rPr>
        <w:t>include progression-free survival at four months, ORR, duration of CR and OS. Currently, no published safety data is available for this study.</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huCD33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BsAb Overview</w:t>
      </w:r>
    </w:p>
    <w:p>
      <w:pPr>
        <w:spacing w:after="0" w:line="225" w:lineRule="exact"/>
        <w:rPr>
          <w:sz w:val="20"/>
          <w:szCs w:val="20"/>
          <w:color w:val="auto"/>
        </w:rPr>
      </w:pPr>
    </w:p>
    <w:p>
      <w:pPr>
        <w:ind w:right="280" w:firstLine="648"/>
        <w:spacing w:after="0" w:line="220" w:lineRule="exact"/>
        <w:rPr>
          <w:sz w:val="20"/>
          <w:szCs w:val="20"/>
          <w:color w:val="auto"/>
        </w:rPr>
      </w:pPr>
      <w:r>
        <w:rPr>
          <w:rFonts w:ascii="Arial" w:cs="Arial" w:eastAsia="Arial" w:hAnsi="Arial"/>
          <w:sz w:val="18"/>
          <w:szCs w:val="18"/>
          <w:color w:val="auto"/>
        </w:rPr>
        <w:t>Our second BsAb product candidate, huCD33</w:t>
      </w:r>
      <w:r>
        <w:rPr>
          <w:rFonts w:ascii="MS PGothic" w:cs="MS PGothic" w:eastAsia="MS PGothic" w:hAnsi="MS PGothic"/>
          <w:sz w:val="18"/>
          <w:szCs w:val="18"/>
          <w:color w:val="auto"/>
        </w:rPr>
        <w:t>‑</w:t>
      </w:r>
      <w:r>
        <w:rPr>
          <w:rFonts w:ascii="Arial" w:cs="Arial" w:eastAsia="Arial" w:hAnsi="Arial"/>
          <w:sz w:val="18"/>
          <w:szCs w:val="18"/>
          <w:color w:val="auto"/>
        </w:rPr>
        <w:t>BsAb, is a humanized anti</w:t>
      </w:r>
      <w:r>
        <w:rPr>
          <w:rFonts w:ascii="MS PGothic" w:cs="MS PGothic" w:eastAsia="MS PGothic" w:hAnsi="MS PGothic"/>
          <w:sz w:val="18"/>
          <w:szCs w:val="18"/>
          <w:color w:val="auto"/>
        </w:rPr>
        <w:t>‑</w:t>
      </w:r>
      <w:r>
        <w:rPr>
          <w:rFonts w:ascii="Arial" w:cs="Arial" w:eastAsia="Arial" w:hAnsi="Arial"/>
          <w:sz w:val="18"/>
          <w:szCs w:val="18"/>
          <w:color w:val="auto"/>
        </w:rPr>
        <w:t>CD33 and anti</w:t>
      </w:r>
      <w:r>
        <w:rPr>
          <w:rFonts w:ascii="MS PGothic" w:cs="MS PGothic" w:eastAsia="MS PGothic" w:hAnsi="MS PGothic"/>
          <w:sz w:val="18"/>
          <w:szCs w:val="18"/>
          <w:color w:val="auto"/>
        </w:rPr>
        <w:t>‑</w:t>
      </w:r>
      <w:r>
        <w:rPr>
          <w:rFonts w:ascii="Arial" w:cs="Arial" w:eastAsia="Arial" w:hAnsi="Arial"/>
          <w:sz w:val="18"/>
          <w:szCs w:val="18"/>
          <w:color w:val="auto"/>
        </w:rPr>
        <w:t>CD3 BsAb for the treatment of hematological cancers expressing CD33, a transmembrane receptor expressed on cells of myeloid lineage. Currently we are planning to set up GLP and cGMP production allowing for initiation of formal pre</w:t>
      </w:r>
      <w:r>
        <w:rPr>
          <w:rFonts w:ascii="MS PGothic" w:cs="MS PGothic" w:eastAsia="MS PGothic" w:hAnsi="MS PGothic"/>
          <w:sz w:val="18"/>
          <w:szCs w:val="18"/>
          <w:color w:val="auto"/>
        </w:rPr>
        <w:t>‑</w:t>
      </w:r>
      <w:r>
        <w:rPr>
          <w:rFonts w:ascii="Arial" w:cs="Arial" w:eastAsia="Arial" w:hAnsi="Arial"/>
          <w:sz w:val="18"/>
          <w:szCs w:val="18"/>
          <w:color w:val="auto"/>
        </w:rPr>
        <w:t>clinical toxicology in 2019 and potential IND filing in 2020.</w:t>
      </w:r>
    </w:p>
    <w:p>
      <w:pPr>
        <w:spacing w:after="0" w:line="20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MULTI</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TAG Technology Overview</w:t>
      </w:r>
    </w:p>
    <w:p>
      <w:pPr>
        <w:spacing w:after="0" w:line="225"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7"/>
          <w:szCs w:val="17"/>
          <w:color w:val="auto"/>
        </w:rPr>
        <w:t>We believe that our non</w:t>
      </w:r>
      <w:r>
        <w:rPr>
          <w:rFonts w:ascii="MS PGothic" w:cs="MS PGothic" w:eastAsia="MS PGothic" w:hAnsi="MS PGothic"/>
          <w:sz w:val="17"/>
          <w:szCs w:val="17"/>
          <w:color w:val="auto"/>
        </w:rPr>
        <w:t>‑</w:t>
      </w:r>
      <w:r>
        <w:rPr>
          <w:rFonts w:ascii="Arial" w:cs="Arial" w:eastAsia="Arial" w:hAnsi="Arial"/>
          <w:sz w:val="17"/>
          <w:szCs w:val="17"/>
          <w:color w:val="auto"/>
        </w:rPr>
        <w:t>exclusive access to the MULTI</w:t>
      </w:r>
      <w:r>
        <w:rPr>
          <w:rFonts w:ascii="MS PGothic" w:cs="MS PGothic" w:eastAsia="MS PGothic" w:hAnsi="MS PGothic"/>
          <w:sz w:val="17"/>
          <w:szCs w:val="17"/>
          <w:color w:val="auto"/>
        </w:rPr>
        <w:t>‑</w:t>
      </w:r>
      <w:r>
        <w:rPr>
          <w:rFonts w:ascii="Arial" w:cs="Arial" w:eastAsia="Arial" w:hAnsi="Arial"/>
          <w:sz w:val="17"/>
          <w:szCs w:val="17"/>
          <w:color w:val="auto"/>
        </w:rPr>
        <w:t>TAG technology will help us make further advances to our BsAb program by optimizing BiTEs. While there has been significant enthusiasm for BiTEs given their high potency and ability to penetrate more efficiently than conventional IgG</w:t>
      </w:r>
      <w:r>
        <w:rPr>
          <w:rFonts w:ascii="MS PGothic" w:cs="MS PGothic" w:eastAsia="MS PGothic" w:hAnsi="MS PGothic"/>
          <w:sz w:val="17"/>
          <w:szCs w:val="17"/>
          <w:color w:val="auto"/>
        </w:rPr>
        <w:t>‑</w:t>
      </w:r>
      <w:r>
        <w:rPr>
          <w:rFonts w:ascii="Arial" w:cs="Arial" w:eastAsia="Arial" w:hAnsi="Arial"/>
          <w:sz w:val="17"/>
          <w:szCs w:val="17"/>
          <w:color w:val="auto"/>
        </w:rPr>
        <w:t>like BsAbs, their efficacy remains hampered by their size and binding characteristics. BiTEs are relatively small in size, approximately 55kD, resulting in a short serum half</w:t>
      </w:r>
      <w:r>
        <w:rPr>
          <w:rFonts w:ascii="MS PGothic" w:cs="MS PGothic" w:eastAsia="MS PGothic" w:hAnsi="MS PGothic"/>
          <w:sz w:val="17"/>
          <w:szCs w:val="17"/>
          <w:color w:val="auto"/>
        </w:rPr>
        <w:t>‑</w:t>
      </w:r>
      <w:r>
        <w:rPr>
          <w:rFonts w:ascii="Arial" w:cs="Arial" w:eastAsia="Arial" w:hAnsi="Arial"/>
          <w:sz w:val="17"/>
          <w:szCs w:val="17"/>
          <w:color w:val="auto"/>
        </w:rPr>
        <w:t>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20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Using the MULTI</w:t>
      </w:r>
      <w:r>
        <w:rPr>
          <w:rFonts w:ascii="MS PGothic" w:cs="MS PGothic" w:eastAsia="MS PGothic" w:hAnsi="MS PGothic"/>
          <w:sz w:val="16"/>
          <w:szCs w:val="16"/>
          <w:color w:val="auto"/>
        </w:rPr>
        <w:t>‑</w:t>
      </w:r>
      <w:r>
        <w:rPr>
          <w:rFonts w:ascii="Arial" w:cs="Arial" w:eastAsia="Arial" w:hAnsi="Arial"/>
          <w:sz w:val="16"/>
          <w:szCs w:val="16"/>
          <w:color w:val="auto"/>
        </w:rPr>
        <w:t>TAG technology, we have designed a novel protein tag of human origin that dimerizes, or links,</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BiTEs, in a unique conformation, which we believe may result in improved tumor binding, a longer half</w:t>
      </w:r>
      <w:r>
        <w:rPr>
          <w:rFonts w:ascii="MS PGothic" w:cs="MS PGothic" w:eastAsia="MS PGothic" w:hAnsi="MS PGothic"/>
          <w:sz w:val="17"/>
          <w:szCs w:val="17"/>
          <w:color w:val="auto"/>
        </w:rPr>
        <w:t>‑</w:t>
      </w:r>
      <w:r>
        <w:rPr>
          <w:rFonts w:ascii="Arial" w:cs="Arial" w:eastAsia="Arial" w:hAnsi="Arial"/>
          <w:sz w:val="17"/>
          <w:szCs w:val="17"/>
          <w:color w:val="auto"/>
        </w:rPr>
        <w:t>life, and greater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t>
      </w:r>
      <w:r>
        <w:rPr>
          <w:rFonts w:ascii="MS PGothic" w:cs="MS PGothic" w:eastAsia="MS PGothic" w:hAnsi="MS PGothic"/>
          <w:sz w:val="16"/>
          <w:szCs w:val="16"/>
          <w:color w:val="auto"/>
        </w:rPr>
        <w:t>‑</w:t>
      </w:r>
      <w:r>
        <w:rPr>
          <w:rFonts w:ascii="Arial" w:cs="Arial" w:eastAsia="Arial" w:hAnsi="Arial"/>
          <w:sz w:val="16"/>
          <w:szCs w:val="16"/>
          <w:color w:val="auto"/>
        </w:rPr>
        <w:t>cell mediated tumor cell killing. We are using the MULTI</w:t>
      </w:r>
      <w:r>
        <w:rPr>
          <w:rFonts w:ascii="MS PGothic" w:cs="MS PGothic" w:eastAsia="MS PGothic" w:hAnsi="MS PGothic"/>
          <w:sz w:val="16"/>
          <w:szCs w:val="16"/>
          <w:color w:val="auto"/>
        </w:rPr>
        <w:t>‑</w:t>
      </w:r>
      <w:r>
        <w:rPr>
          <w:rFonts w:ascii="Arial" w:cs="Arial" w:eastAsia="Arial" w:hAnsi="Arial"/>
          <w:sz w:val="16"/>
          <w:szCs w:val="16"/>
          <w:color w:val="auto"/>
        </w:rPr>
        <w:t>TAG technology platform to dimerize our BsAbs into proteins of</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approximately 120kD in size, thereby increasing serum half</w:t>
      </w:r>
      <w:r>
        <w:rPr>
          <w:rFonts w:ascii="MS PGothic" w:cs="MS PGothic" w:eastAsia="MS PGothic" w:hAnsi="MS PGothic"/>
          <w:sz w:val="17"/>
          <w:szCs w:val="17"/>
          <w:color w:val="auto"/>
        </w:rPr>
        <w:t>‑</w:t>
      </w:r>
      <w:r>
        <w:rPr>
          <w:rFonts w:ascii="Arial" w:cs="Arial" w:eastAsia="Arial" w:hAnsi="Arial"/>
          <w:sz w:val="17"/>
          <w:szCs w:val="17"/>
          <w:color w:val="auto"/>
        </w:rPr>
        <w:t>life without the need for continuous infusion. The unique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dimerized conformation, while binding bivalently to tumors, also binds monovalently to T</w:t>
      </w:r>
      <w:r>
        <w:rPr>
          <w:rFonts w:ascii="MS PGothic" w:cs="MS PGothic" w:eastAsia="MS PGothic" w:hAnsi="MS PGothic"/>
          <w:sz w:val="16"/>
          <w:szCs w:val="16"/>
          <w:color w:val="auto"/>
        </w:rPr>
        <w:t>‑</w:t>
      </w:r>
      <w:r>
        <w:rPr>
          <w:rFonts w:ascii="Arial" w:cs="Arial" w:eastAsia="Arial" w:hAnsi="Arial"/>
          <w:sz w:val="16"/>
          <w:szCs w:val="16"/>
          <w:color w:val="auto"/>
        </w:rPr>
        <w:t>cells, which we believe, leads to</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limiting excessive cytokine release. Below is a graphic illustration of the MULTI</w:t>
      </w:r>
      <w:r>
        <w:rPr>
          <w:rFonts w:ascii="MS PGothic" w:cs="MS PGothic" w:eastAsia="MS PGothic" w:hAnsi="MS PGothic"/>
          <w:sz w:val="16"/>
          <w:szCs w:val="16"/>
          <w:color w:val="auto"/>
        </w:rPr>
        <w:t>‑</w:t>
      </w:r>
      <w:r>
        <w:rPr>
          <w:rFonts w:ascii="Arial" w:cs="Arial" w:eastAsia="Arial" w:hAnsi="Arial"/>
          <w:sz w:val="16"/>
          <w:szCs w:val="16"/>
          <w:color w:val="auto"/>
        </w:rPr>
        <w:t>TAG technology, to which, under the MSK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License, we have unlimited access to use MSK’s rights in the technology for any target.</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MULTI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TAG—Dimerization technology to enhance potency of 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151765</wp:posOffset>
            </wp:positionV>
            <wp:extent cx="5240020" cy="3190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4002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are currently working on several MULTI</w:t>
      </w:r>
      <w:r>
        <w:rPr>
          <w:rFonts w:ascii="MS PGothic" w:cs="MS PGothic" w:eastAsia="MS PGothic" w:hAnsi="MS PGothic"/>
          <w:sz w:val="18"/>
          <w:szCs w:val="18"/>
          <w:color w:val="auto"/>
        </w:rPr>
        <w:t>‑</w:t>
      </w:r>
      <w:r>
        <w:rPr>
          <w:rFonts w:ascii="Arial" w:cs="Arial" w:eastAsia="Arial" w:hAnsi="Arial"/>
          <w:sz w:val="18"/>
          <w:szCs w:val="18"/>
          <w:color w:val="auto"/>
        </w:rPr>
        <w:t>TAG candidates with MSK.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Currently, we contract with third party cGMP vendors for the manufacturing of our product candidates for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20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The antibody solution is purified through a number of steps to remove known process</w:t>
      </w:r>
      <w:r>
        <w:rPr>
          <w:rFonts w:ascii="MS PGothic" w:cs="MS PGothic" w:eastAsia="MS PGothic" w:hAnsi="MS PGothic"/>
          <w:sz w:val="17"/>
          <w:szCs w:val="17"/>
          <w:color w:val="auto"/>
        </w:rPr>
        <w:t>‑</w:t>
      </w:r>
      <w:r>
        <w:rPr>
          <w:rFonts w:ascii="Arial" w:cs="Arial" w:eastAsia="Arial" w:hAnsi="Arial"/>
          <w:sz w:val="17"/>
          <w:szCs w:val="17"/>
          <w:color w:val="auto"/>
        </w:rPr>
        <w:t xml:space="preserve"> and product</w:t>
      </w:r>
      <w:r>
        <w:rPr>
          <w:rFonts w:ascii="MS PGothic" w:cs="MS PGothic" w:eastAsia="MS PGothic" w:hAnsi="MS PGothic"/>
          <w:sz w:val="17"/>
          <w:szCs w:val="17"/>
          <w:color w:val="auto"/>
        </w:rPr>
        <w:t>‑</w:t>
      </w:r>
      <w:r>
        <w:rPr>
          <w:rFonts w:ascii="Arial" w:cs="Arial" w:eastAsia="Arial" w:hAnsi="Arial"/>
          <w:sz w:val="17"/>
          <w:szCs w:val="17"/>
          <w:color w:val="auto"/>
        </w:rPr>
        <w:t>derived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impurities. The technologies employed include ultrafiltration and column and membrane chromatography. Additional steps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performed to inactivate or remove viruses. The final step of the drug substance process adjusts the antibody concentration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produces the final formulation to be used for drug product production. The drug substance is tested to meet</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pre</w:t>
      </w:r>
      <w:r>
        <w:rPr>
          <w:rFonts w:ascii="MS PGothic" w:cs="MS PGothic" w:eastAsia="MS PGothic" w:hAnsi="MS PGothic"/>
          <w:sz w:val="16"/>
          <w:szCs w:val="16"/>
          <w:color w:val="auto"/>
        </w:rPr>
        <w:t>‑</w:t>
      </w:r>
      <w:r>
        <w:rPr>
          <w:rFonts w:ascii="Arial" w:cs="Arial" w:eastAsia="Arial" w:hAnsi="Arial"/>
          <w:sz w:val="16"/>
          <w:szCs w:val="16"/>
          <w:color w:val="auto"/>
        </w:rPr>
        <w:t>established criteria for purity, potency and safety, and is then periodically tested to demonstrate stability upon storage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by regulations. The drug substance is stored at prescribed temperatures, typically refrigerated or frozen.</w:t>
      </w:r>
    </w:p>
    <w:p>
      <w:pPr>
        <w:spacing w:after="0" w:line="211"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The drug product is produced by sterilization filtration of the drug substance solution, followed by aseptic filling into glass vials and then stoppered. The drug product is subjected to release testing for purity, potency and safety according to pre</w:t>
      </w:r>
      <w:r>
        <w:rPr>
          <w:rFonts w:ascii="MS PGothic" w:cs="MS PGothic" w:eastAsia="MS PGothic" w:hAnsi="MS PGothic"/>
          <w:sz w:val="16"/>
          <w:szCs w:val="16"/>
          <w:color w:val="auto"/>
        </w:rPr>
        <w:t>‑</w:t>
      </w:r>
      <w:r>
        <w:rPr>
          <w:rFonts w:ascii="Arial" w:cs="Arial" w:eastAsia="Arial" w:hAnsi="Arial"/>
          <w:sz w:val="16"/>
          <w:szCs w:val="16"/>
          <w:color w:val="auto"/>
        </w:rPr>
        <w:t>established specifications. Drug product lots are periodically tested to demonstrate stability over the established storage expiry period. The drug product is stored and shipped under temperature</w:t>
      </w:r>
      <w:r>
        <w:rPr>
          <w:rFonts w:ascii="MS PGothic" w:cs="MS PGothic" w:eastAsia="MS PGothic" w:hAnsi="MS PGothic"/>
          <w:sz w:val="16"/>
          <w:szCs w:val="16"/>
          <w:color w:val="auto"/>
        </w:rPr>
        <w:t>‑</w:t>
      </w:r>
      <w:r>
        <w:rPr>
          <w:rFonts w:ascii="Arial" w:cs="Arial" w:eastAsia="Arial" w:hAnsi="Arial"/>
          <w:sz w:val="16"/>
          <w:szCs w:val="16"/>
          <w:color w:val="auto"/>
        </w:rPr>
        <w:t>controlled conditions, typically refrigerated, to sites designated for clinical trial testing, or eventually to commercial pharmaceutical logistics providers.</w:t>
      </w:r>
    </w:p>
    <w:p>
      <w:pPr>
        <w:spacing w:after="0" w:line="204" w:lineRule="exact"/>
        <w:rPr>
          <w:sz w:val="20"/>
          <w:szCs w:val="20"/>
          <w:color w:val="auto"/>
        </w:rPr>
      </w:pPr>
    </w:p>
    <w:p>
      <w:pPr>
        <w:jc w:val="both"/>
        <w:ind w:right="300" w:firstLine="648"/>
        <w:spacing w:after="0" w:line="219" w:lineRule="exact"/>
        <w:rPr>
          <w:sz w:val="20"/>
          <w:szCs w:val="20"/>
          <w:color w:val="auto"/>
        </w:rPr>
      </w:pPr>
      <w:r>
        <w:rPr>
          <w:rFonts w:ascii="Arial" w:cs="Arial" w:eastAsia="Arial" w:hAnsi="Arial"/>
          <w:sz w:val="17"/>
          <w:szCs w:val="17"/>
          <w:color w:val="auto"/>
        </w:rPr>
        <w:t>Naxitamab is a recombinant humanized IgG1κ monoclonal antibody against GD2 expressed in Chinese Hamster Ovary, or CHO, cells. A One mL ampoule from the master or working cell bank is used as seeding for a 1000 L fed batch bioreactor in chemical defined media with no animal derived component. After the growths of the cells are completed the un</w:t>
      </w:r>
      <w:r>
        <w:rPr>
          <w:rFonts w:ascii="MS PGothic" w:cs="MS PGothic" w:eastAsia="MS PGothic" w:hAnsi="MS PGothic"/>
          <w:sz w:val="17"/>
          <w:szCs w:val="17"/>
          <w:color w:val="auto"/>
        </w:rPr>
        <w:t>‑</w:t>
      </w:r>
      <w:r>
        <w:rPr>
          <w:rFonts w:ascii="Arial" w:cs="Arial" w:eastAsia="Arial" w:hAnsi="Arial"/>
          <w:sz w:val="17"/>
          <w:szCs w:val="17"/>
          <w:color w:val="auto"/>
        </w:rPr>
        <w:t>processed bulk from the bioreactor containing the naxitamab drug substance undergoes conditioned clarified harvests, filtration, and subsequent multi</w:t>
      </w:r>
      <w:r>
        <w:rPr>
          <w:rFonts w:ascii="MS PGothic" w:cs="MS PGothic" w:eastAsia="MS PGothic" w:hAnsi="MS PGothic"/>
          <w:sz w:val="17"/>
          <w:szCs w:val="17"/>
          <w:color w:val="auto"/>
        </w:rPr>
        <w:t>‑</w:t>
      </w:r>
      <w:r>
        <w:rPr>
          <w:rFonts w:ascii="Arial" w:cs="Arial" w:eastAsia="Arial" w:hAnsi="Arial"/>
          <w:sz w:val="17"/>
          <w:szCs w:val="17"/>
          <w:color w:val="auto"/>
        </w:rPr>
        <w:t>step product purification.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naxitamab drug substance is manufactured by Patheon UK Limited in Groningen, The Netherlands and the naxitamab drug product is manufactured at Patheon Manufacturing Services LLC in Greenville, North Carolina, (both part of the Thermo Fisher Scientific Inc., group of companies) collectively Patheon/Thermo Fisher, in compliance with cGMP regulations and no excipients of human or animal origin have been used. The naxitamab drug product is packaged in 10 mL ISO 10R glass vials and frozen.</w:t>
      </w:r>
    </w:p>
    <w:p>
      <w:pPr>
        <w:spacing w:after="0" w:line="188"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Omburtamab is a murine IgG1 monoclonal antibody against B7</w:t>
      </w:r>
      <w:r>
        <w:rPr>
          <w:rFonts w:ascii="MS PGothic" w:cs="MS PGothic" w:eastAsia="MS PGothic" w:hAnsi="MS PGothic"/>
          <w:sz w:val="17"/>
          <w:szCs w:val="17"/>
          <w:color w:val="auto"/>
        </w:rPr>
        <w:t>‑</w:t>
      </w:r>
      <w:r>
        <w:rPr>
          <w:rFonts w:ascii="Arial" w:cs="Arial" w:eastAsia="Arial" w:hAnsi="Arial"/>
          <w:sz w:val="17"/>
          <w:szCs w:val="17"/>
          <w:color w:val="auto"/>
        </w:rPr>
        <w:t>H3. The antibody is manufactured in a 200 L bioreactor in chemical defined media with no animal derived components. After harvests, clarification of the fermentation and a multi</w:t>
      </w:r>
      <w:r>
        <w:rPr>
          <w:rFonts w:ascii="MS PGothic" w:cs="MS PGothic" w:eastAsia="MS PGothic" w:hAnsi="MS PGothic"/>
          <w:sz w:val="17"/>
          <w:szCs w:val="17"/>
          <w:color w:val="auto"/>
        </w:rPr>
        <w:t>‑</w:t>
      </w:r>
      <w:r>
        <w:rPr>
          <w:rFonts w:ascii="Arial" w:cs="Arial" w:eastAsia="Arial" w:hAnsi="Arial"/>
          <w:sz w:val="17"/>
          <w:szCs w:val="17"/>
          <w:color w:val="auto"/>
        </w:rPr>
        <w:t>step purification process, the final drug substance is ready for radiolabeling. This non</w:t>
      </w:r>
      <w:r>
        <w:rPr>
          <w:rFonts w:ascii="MS PGothic" w:cs="MS PGothic" w:eastAsia="MS PGothic" w:hAnsi="MS PGothic"/>
          <w:sz w:val="17"/>
          <w:szCs w:val="17"/>
          <w:color w:val="auto"/>
        </w:rPr>
        <w:t>‑</w:t>
      </w:r>
      <w:r>
        <w:rPr>
          <w:rFonts w:ascii="Arial" w:cs="Arial" w:eastAsia="Arial" w:hAnsi="Arial"/>
          <w:sz w:val="17"/>
          <w:szCs w:val="17"/>
          <w:color w:val="auto"/>
        </w:rPr>
        <w:t>radiolabeled omburtamab is packaged in 2 mL ISO 2R glass vials and frozen. The drug substance is manufactured by EMD Millipore Corporation (now part of the Merck KgaA group of companies), or EMD/Merck, in Martillac, France, and the omburtamab drug product is manufactured by Patheon/Thermo Fisher in Ferentino, Italy.</w:t>
      </w:r>
    </w:p>
    <w:p>
      <w:pPr>
        <w:spacing w:after="0" w:line="203"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While we believe that Patheon/Thermo Fisher and EMD/Merck are capable of producing sufficient quantities of drug product to support our currently planned clinical trials for naxitamab and omburtamab, we also believe that there are a number of alternative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have similar capabilities that would be capable of providing sufficient quantities of drug product for our planned clinical trials. However, should Patheon/Thermo Fisher and/or EMD/Merck not be able to provide sufficient quantities of drug product for our planned clinical trials, we would be required to seek and then qualify another contract manufacturer to provide this drug product, likely resulting in a delay in such trials.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8"/>
          <w:szCs w:val="18"/>
          <w:color w:val="auto"/>
        </w:rPr>
        <w:t>The sales call points for our late</w:t>
      </w:r>
      <w:r>
        <w:rPr>
          <w:rFonts w:ascii="MS PGothic" w:cs="MS PGothic" w:eastAsia="MS PGothic" w:hAnsi="MS PGothic"/>
          <w:sz w:val="18"/>
          <w:szCs w:val="18"/>
          <w:color w:val="auto"/>
        </w:rPr>
        <w:t>‑</w:t>
      </w:r>
      <w:r>
        <w:rPr>
          <w:rFonts w:ascii="Arial" w:cs="Arial" w:eastAsia="Arial" w:hAnsi="Arial"/>
          <w:sz w:val="18"/>
          <w:szCs w:val="18"/>
          <w:color w:val="auto"/>
        </w:rPr>
        <w:t>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206"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w:t>
      </w:r>
      <w:r>
        <w:rPr>
          <w:rFonts w:ascii="MS PGothic" w:cs="MS PGothic" w:eastAsia="MS PGothic" w:hAnsi="MS PGothic"/>
          <w:sz w:val="17"/>
          <w:szCs w:val="17"/>
          <w:color w:val="auto"/>
        </w:rPr>
        <w:t>‑</w:t>
      </w:r>
      <w:r>
        <w:rPr>
          <w:rFonts w:ascii="Arial" w:cs="Arial" w:eastAsia="Arial" w:hAnsi="Arial"/>
          <w:sz w:val="17"/>
          <w:szCs w:val="17"/>
          <w:color w:val="auto"/>
        </w:rPr>
        <w:t>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20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partners, have significantly greater financial resources and expertise in research and development, manufacturing, pre</w:t>
      </w:r>
      <w:r>
        <w:rPr>
          <w:rFonts w:ascii="MS PGothic" w:cs="MS PGothic" w:eastAsia="MS PGothic" w:hAnsi="MS PGothic"/>
          <w:sz w:val="16"/>
          <w:szCs w:val="16"/>
          <w:color w:val="auto"/>
        </w:rPr>
        <w:t>‑</w:t>
      </w:r>
      <w:r>
        <w:rPr>
          <w:rFonts w:ascii="Arial" w:cs="Arial" w:eastAsia="Arial" w:hAnsi="Arial"/>
          <w:sz w:val="16"/>
          <w:szCs w:val="16"/>
          <w:color w:val="auto"/>
        </w:rPr>
        <w:t>clinical studies, conducting clinical trials, and marketing approved products than we do. Mergers and acquisitions in the pharmaceutical and biotechnology industries may result in even more resources being concentrated among a smaller number of our competitors. Smaller or early</w:t>
      </w:r>
      <w:r>
        <w:rPr>
          <w:rFonts w:ascii="MS PGothic" w:cs="MS PGothic" w:eastAsia="MS PGothic" w:hAnsi="MS PGothic"/>
          <w:sz w:val="16"/>
          <w:szCs w:val="16"/>
          <w:color w:val="auto"/>
        </w:rPr>
        <w:t>‑</w:t>
      </w:r>
      <w:r>
        <w:rPr>
          <w:rFonts w:ascii="Arial" w:cs="Arial" w:eastAsia="Arial" w:hAnsi="Arial"/>
          <w:sz w:val="16"/>
          <w:szCs w:val="16"/>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Specifically, MacroGenics, Inc. and Daiichi Sankyo Co. are developing antibodies against B7</w:t>
      </w:r>
      <w:r>
        <w:rPr>
          <w:rFonts w:ascii="MS PGothic" w:cs="MS PGothic" w:eastAsia="MS PGothic" w:hAnsi="MS PGothic"/>
          <w:sz w:val="17"/>
          <w:szCs w:val="17"/>
          <w:color w:val="auto"/>
        </w:rPr>
        <w:t>‑</w:t>
      </w:r>
      <w:r>
        <w:rPr>
          <w:rFonts w:ascii="Arial" w:cs="Arial" w:eastAsia="Arial" w:hAnsi="Arial"/>
          <w:sz w:val="17"/>
          <w:szCs w:val="17"/>
          <w:color w:val="auto"/>
        </w:rPr>
        <w:t>H3. United Therapeutics Corporation has commercialized Unituxin (dinutuximab), an antibody against GD2, in the United States. United Therapeutics Corporation has also announced that it is developing a humanized GD2 antibody. In addition, naxitamab may face competition from dinutuximab beta, a similar antibody product against GD2 developed by Apeiron Biologics AG, or Apeiron, that was approved in Europe in May 2017 to treat high</w:t>
      </w:r>
      <w:r>
        <w:rPr>
          <w:rFonts w:ascii="MS PGothic" w:cs="MS PGothic" w:eastAsia="MS PGothic" w:hAnsi="MS PGothic"/>
          <w:sz w:val="17"/>
          <w:szCs w:val="17"/>
          <w:color w:val="auto"/>
        </w:rPr>
        <w:t>‑</w:t>
      </w:r>
      <w:r>
        <w:rPr>
          <w:rFonts w:ascii="Arial" w:cs="Arial" w:eastAsia="Arial" w:hAnsi="Arial"/>
          <w:sz w:val="17"/>
          <w:szCs w:val="17"/>
          <w:color w:val="auto"/>
        </w:rPr>
        <w:t>risk NB and R/R NB. Apeiron has previously announced plans to file for registration of dinutuximab beta in the U.S. in the first quarter of 2019 in R/R NB. In October 2016, EUSA Pharma (UK) Ltd., or EUSA, announced that it had acquired global commercialization rights to dinutuximab beta, which is currently being commercialized under the name Qarziba</w:t>
      </w:r>
      <w:r>
        <w:rPr>
          <w:rFonts w:ascii="Arial" w:cs="Arial" w:eastAsia="Arial" w:hAnsi="Arial"/>
          <w:sz w:val="8"/>
          <w:szCs w:val="8"/>
          <w:color w:val="auto"/>
        </w:rPr>
        <w:t>®</w:t>
      </w:r>
      <w:r>
        <w:rPr>
          <w:rFonts w:ascii="Arial" w:cs="Arial" w:eastAsia="Arial" w:hAnsi="Arial"/>
          <w:sz w:val="17"/>
          <w:szCs w:val="17"/>
          <w:color w:val="auto"/>
        </w:rPr>
        <w:t xml:space="preserve"> in Europe.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relating to our proprietary technology and product candidates, continuing innovation, and in</w:t>
      </w:r>
      <w:r>
        <w:rPr>
          <w:rFonts w:ascii="MS PGothic" w:cs="MS PGothic" w:eastAsia="MS PGothic" w:hAnsi="MS PGothic"/>
          <w:sz w:val="16"/>
          <w:szCs w:val="16"/>
          <w:color w:val="auto"/>
        </w:rPr>
        <w:t>‑</w:t>
      </w:r>
      <w:r>
        <w:rPr>
          <w:rFonts w:ascii="Arial" w:cs="Arial" w:eastAsia="Arial" w:hAnsi="Arial"/>
          <w:sz w:val="16"/>
          <w:szCs w:val="16"/>
          <w:color w:val="auto"/>
        </w:rPr>
        <w:t>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204"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We have in</w:t>
      </w:r>
      <w:r>
        <w:rPr>
          <w:rFonts w:ascii="MS PGothic" w:cs="MS PGothic" w:eastAsia="MS PGothic" w:hAnsi="MS PGothic"/>
          <w:sz w:val="18"/>
          <w:szCs w:val="18"/>
          <w:color w:val="auto"/>
        </w:rPr>
        <w:t>‑</w:t>
      </w:r>
      <w:r>
        <w:rPr>
          <w:rFonts w:ascii="Arial" w:cs="Arial" w:eastAsia="Arial" w:hAnsi="Arial"/>
          <w:sz w:val="18"/>
          <w:szCs w:val="18"/>
          <w:color w:val="auto"/>
        </w:rPr>
        <w:t>licensed numerous patents and patent applications and substantial know</w:t>
      </w:r>
      <w:r>
        <w:rPr>
          <w:rFonts w:ascii="MS PGothic" w:cs="MS PGothic" w:eastAsia="MS PGothic" w:hAnsi="MS PGothic"/>
          <w:sz w:val="18"/>
          <w:szCs w:val="18"/>
          <w:color w:val="auto"/>
        </w:rPr>
        <w:t>‑</w:t>
      </w:r>
      <w:r>
        <w:rPr>
          <w:rFonts w:ascii="Arial" w:cs="Arial" w:eastAsia="Arial" w:hAnsi="Arial"/>
          <w:sz w:val="18"/>
          <w:szCs w:val="18"/>
          <w:color w:val="auto"/>
        </w:rPr>
        <w:t>how relating to the development and commercialization of our immunotherapy product candidates, including related manufacturing processes and technology. In addition, an international patent application has been filed claiming the inventions of investigators at MSK as well as personnel of Y-mAbs Therapeutics.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our patent portfolio included:</w:t>
      </w:r>
    </w:p>
    <w:p>
      <w:pPr>
        <w:spacing w:after="0" w:line="225" w:lineRule="exact"/>
        <w:rPr>
          <w:sz w:val="20"/>
          <w:szCs w:val="20"/>
          <w:color w:val="auto"/>
        </w:rPr>
      </w:pPr>
    </w:p>
    <w:p>
      <w:pPr>
        <w:ind w:left="980" w:right="20" w:hanging="329"/>
        <w:spacing w:after="0" w:line="218" w:lineRule="exact"/>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South Korean patent, one Hong Kong patent, one pending patent application in the United States with notice of allowance received, and three pending patent applications in other jurisdictions, including Europe, Canada, and India. We expect that any patents that issue in this first family will expire in June 2031. A core U.S. patent in this family is expected to expire on June 20, 2031. The second family consists of applications with composition of matter claims covering high affinity anti</w:t>
      </w:r>
      <w:r>
        <w:rPr>
          <w:rFonts w:ascii="MS PGothic" w:cs="MS PGothic" w:eastAsia="MS PGothic" w:hAnsi="MS PGothic"/>
          <w:sz w:val="17"/>
          <w:szCs w:val="17"/>
          <w:color w:val="auto"/>
        </w:rPr>
        <w:t>‑</w:t>
      </w:r>
      <w:r>
        <w:rPr>
          <w:rFonts w:ascii="Arial" w:cs="Arial" w:eastAsia="Arial" w:hAnsi="Arial"/>
          <w:sz w:val="17"/>
          <w:szCs w:val="17"/>
          <w:color w:val="auto"/>
        </w:rPr>
        <w:t>GD2 antibodies, and includes one patent application in the United States granted on January 1</w:t>
      </w:r>
      <w:r>
        <w:rPr>
          <w:rFonts w:ascii="Arial" w:cs="Arial" w:eastAsia="Arial" w:hAnsi="Arial"/>
          <w:sz w:val="8"/>
          <w:szCs w:val="8"/>
          <w:color w:val="auto"/>
        </w:rPr>
        <w:t>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60"/>
        <w:spacing w:after="0" w:line="286" w:lineRule="auto"/>
        <w:rPr>
          <w:sz w:val="20"/>
          <w:szCs w:val="20"/>
          <w:color w:val="auto"/>
        </w:rPr>
      </w:pPr>
      <w:r>
        <w:rPr>
          <w:rFonts w:ascii="Arial" w:cs="Arial" w:eastAsia="Arial" w:hAnsi="Arial"/>
          <w:sz w:val="17"/>
          <w:szCs w:val="17"/>
          <w:color w:val="auto"/>
        </w:rPr>
        <w:t>2019, one pending application in Europe with intention to grant received, and eight pending patent applications in other jurisdictions, including Canada, Australia, China, Japan, South Korea, Hong Kong, Brazil and Russia. We expect that any patents that issue in this second family will expire in March 2034.</w:t>
      </w:r>
    </w:p>
    <w:p>
      <w:pPr>
        <w:spacing w:after="0" w:line="166" w:lineRule="exact"/>
        <w:rPr>
          <w:sz w:val="20"/>
          <w:szCs w:val="20"/>
          <w:color w:val="auto"/>
        </w:rPr>
      </w:pPr>
    </w:p>
    <w:p>
      <w:pPr>
        <w:ind w:left="980" w:hanging="329"/>
        <w:spacing w:after="0" w:line="286"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eight U.S. patents, one German patent, one Spanish patent, one French patent, one patent in Great Britain, one Italian patent, Canadian patents and one pending patent application in the United States. We expect that any patents that issue in this first family will expire between October 2021 and January 2026. A core U.S. patent in this family is expected to expire on January 19, 2026 and core patents in Germany, Spain, France, Great Britain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one Canadian patent, and one pending patent application in Europe. We expect that any patents that issue in this second family will expire in March 2028. Core patents in Canada, China, and India in this family are expected to expire on March 24, 2028.</w:t>
      </w:r>
    </w:p>
    <w:p>
      <w:pPr>
        <w:spacing w:after="0" w:line="171" w:lineRule="exact"/>
        <w:rPr>
          <w:rFonts w:ascii="Arial" w:cs="Arial" w:eastAsia="Arial" w:hAnsi="Arial"/>
          <w:sz w:val="16"/>
          <w:szCs w:val="16"/>
          <w:color w:val="auto"/>
        </w:rPr>
      </w:pPr>
    </w:p>
    <w:p>
      <w:pPr>
        <w:ind w:left="980" w:right="40" w:hanging="329"/>
        <w:spacing w:after="0" w:line="218" w:lineRule="exact"/>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our huB7</w:t>
      </w:r>
      <w:r>
        <w:rPr>
          <w:rFonts w:ascii="MS PGothic" w:cs="MS PGothic" w:eastAsia="MS PGothic" w:hAnsi="MS PGothic"/>
          <w:sz w:val="17"/>
          <w:szCs w:val="17"/>
          <w:color w:val="auto"/>
        </w:rPr>
        <w:t>‑</w:t>
      </w:r>
      <w:r>
        <w:rPr>
          <w:rFonts w:ascii="Arial" w:cs="Arial" w:eastAsia="Arial" w:hAnsi="Arial"/>
          <w:sz w:val="17"/>
          <w:szCs w:val="17"/>
          <w:color w:val="auto"/>
        </w:rPr>
        <w:t>H3 patent portfolio, we have an exclusive license from MSK to MSK’s rights in one patent family consisting of patent applications with composition of matter claims covering antibody agents that bind specifically to protein 2Ig</w:t>
      </w:r>
      <w:r>
        <w:rPr>
          <w:rFonts w:ascii="MS PGothic" w:cs="MS PGothic" w:eastAsia="MS PGothic" w:hAnsi="MS PGothic"/>
          <w:sz w:val="17"/>
          <w:szCs w:val="17"/>
          <w:color w:val="auto"/>
        </w:rPr>
        <w:t>‑</w:t>
      </w:r>
      <w:r>
        <w:rPr>
          <w:rFonts w:ascii="Arial" w:cs="Arial" w:eastAsia="Arial" w:hAnsi="Arial"/>
          <w:sz w:val="17"/>
          <w:szCs w:val="17"/>
          <w:color w:val="auto"/>
        </w:rPr>
        <w:t>B7H3 or 4Ig</w:t>
      </w:r>
      <w:r>
        <w:rPr>
          <w:rFonts w:ascii="MS PGothic" w:cs="MS PGothic" w:eastAsia="MS PGothic" w:hAnsi="MS PGothic"/>
          <w:sz w:val="17"/>
          <w:szCs w:val="17"/>
          <w:color w:val="auto"/>
        </w:rPr>
        <w:t>‑</w:t>
      </w:r>
      <w:r>
        <w:rPr>
          <w:rFonts w:ascii="Arial" w:cs="Arial" w:eastAsia="Arial" w:hAnsi="Arial"/>
          <w:sz w:val="17"/>
          <w:szCs w:val="17"/>
          <w:color w:val="auto"/>
        </w:rPr>
        <w:t>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 In addition an international patent application has been filed, with MSK and the Company as applicants, claiming a method for treating a central nerve system (CNS) cancer using huB7H3, as well as 177Lu-DTPA-8H9 conjugates. We expect that any patent that issue in this family will expire in May 2038.</w:t>
      </w:r>
    </w:p>
    <w:p>
      <w:pPr>
        <w:spacing w:after="0" w:line="203" w:lineRule="exact"/>
        <w:rPr>
          <w:rFonts w:ascii="Arial" w:cs="Arial" w:eastAsia="Arial" w:hAnsi="Arial"/>
          <w:sz w:val="17"/>
          <w:szCs w:val="17"/>
          <w:color w:val="auto"/>
        </w:rPr>
      </w:pPr>
    </w:p>
    <w:p>
      <w:pPr>
        <w:ind w:left="980" w:right="60" w:hanging="329"/>
        <w:spacing w:after="0" w:line="217" w:lineRule="exact"/>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Our Multimerization Technology patent portfolio,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relates to huGD2</w:t>
      </w:r>
      <w:r>
        <w:rPr>
          <w:rFonts w:ascii="MS PGothic" w:cs="MS PGothic" w:eastAsia="MS PGothic" w:hAnsi="MS PGothic"/>
          <w:sz w:val="16"/>
          <w:szCs w:val="16"/>
          <w:color w:val="auto"/>
        </w:rPr>
        <w:t>‑</w:t>
      </w:r>
      <w:r>
        <w:rPr>
          <w:rFonts w:ascii="Arial" w:cs="Arial" w:eastAsia="Arial" w:hAnsi="Arial"/>
          <w:sz w:val="16"/>
          <w:szCs w:val="16"/>
          <w:color w:val="auto"/>
        </w:rPr>
        <w:t>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w:t>
      </w:r>
      <w:r>
        <w:rPr>
          <w:rFonts w:ascii="MS PGothic" w:cs="MS PGothic" w:eastAsia="MS PGothic" w:hAnsi="MS PGothic"/>
          <w:sz w:val="16"/>
          <w:szCs w:val="16"/>
          <w:color w:val="auto"/>
        </w:rPr>
        <w:t>‑</w:t>
      </w:r>
      <w:r>
        <w:rPr>
          <w:rFonts w:ascii="Arial" w:cs="Arial" w:eastAsia="Arial" w:hAnsi="Arial"/>
          <w:sz w:val="16"/>
          <w:szCs w:val="16"/>
          <w:color w:val="auto"/>
        </w:rPr>
        <w:t>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family will expire in March 2034. A core U.S. patent in this family is expected to expire on March 25, 2034.</w:t>
      </w:r>
    </w:p>
    <w:p>
      <w:pPr>
        <w:spacing w:after="0" w:line="207" w:lineRule="exact"/>
        <w:rPr>
          <w:rFonts w:ascii="Arial" w:cs="Arial" w:eastAsia="Arial" w:hAnsi="Arial"/>
          <w:sz w:val="16"/>
          <w:szCs w:val="16"/>
          <w:color w:val="auto"/>
        </w:rPr>
      </w:pPr>
    </w:p>
    <w:p>
      <w:pPr>
        <w:ind w:left="980" w:right="280" w:hanging="329"/>
        <w:spacing w:after="0" w:line="220" w:lineRule="exact"/>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CD33 antibody patent portfolio, which includes one patent family under which we have an exclusive license from MSK to MSK’s rights in the patent application. This family consists of one International patent application relating to anti Siglec</w:t>
      </w:r>
      <w:r>
        <w:rPr>
          <w:rFonts w:ascii="MS PGothic" w:cs="MS PGothic" w:eastAsia="MS PGothic" w:hAnsi="MS PGothic"/>
          <w:sz w:val="16"/>
          <w:szCs w:val="16"/>
          <w:color w:val="auto"/>
        </w:rPr>
        <w:t>‑</w:t>
      </w:r>
      <w:r>
        <w:rPr>
          <w:rFonts w:ascii="Arial" w:cs="Arial" w:eastAsia="Arial" w:hAnsi="Arial"/>
          <w:sz w:val="16"/>
          <w:szCs w:val="16"/>
          <w:color w:val="auto"/>
        </w:rPr>
        <w:t>3 (CD33) antibodies generated from a specific principal investigator’s laboratory at MSK. We expect that any patents that issue in this family will expire in April 2038.</w:t>
      </w:r>
    </w:p>
    <w:p>
      <w:pPr>
        <w:spacing w:after="0" w:line="203"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earlier expiration date. The Drug Price Competition and Patent Term Restoration Act of 1984, or the 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20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Similar provisions are available in the European Union and certain other non</w:t>
      </w:r>
      <w:r>
        <w:rPr>
          <w:rFonts w:ascii="MS PGothic" w:cs="MS PGothic" w:eastAsia="MS PGothic" w:hAnsi="MS PGothic"/>
          <w:sz w:val="18"/>
          <w:szCs w:val="18"/>
          <w:color w:val="auto"/>
        </w:rPr>
        <w:t>‑</w:t>
      </w:r>
      <w:r>
        <w:rPr>
          <w:rFonts w:ascii="Arial" w:cs="Arial" w:eastAsia="Arial" w:hAnsi="Arial"/>
          <w:sz w:val="18"/>
          <w:szCs w:val="18"/>
          <w:color w:val="auto"/>
        </w:rPr>
        <w:t>U.S. jurisdictions to extend the term of a patent that covers an approved drug. In the future, if and when our product candidates receive approval by the FDA or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 that any such patent term extension of a non</w:t>
      </w:r>
      <w:r>
        <w:rPr>
          <w:rFonts w:ascii="MS PGothic" w:cs="MS PGothic" w:eastAsia="MS PGothic" w:hAnsi="MS PGothic"/>
          <w:sz w:val="18"/>
          <w:szCs w:val="18"/>
          <w:color w:val="auto"/>
        </w:rPr>
        <w:t>‑</w:t>
      </w:r>
      <w:r>
        <w:rPr>
          <w:rFonts w:ascii="Arial" w:cs="Arial" w:eastAsia="Arial" w:hAnsi="Arial"/>
          <w:sz w:val="18"/>
          <w:szCs w:val="18"/>
          <w:color w:val="auto"/>
        </w:rPr>
        <w:t>U.S. patent will be obtained and, even if obtained, the duration of such extension.</w:t>
      </w:r>
    </w:p>
    <w:p>
      <w:pPr>
        <w:spacing w:after="0" w:line="20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of patent issuance, and the legal term of patents in the countries in which they are obtained. Generally, patents issued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applications filed in the United States are effective for 20 years from the earliest effective filing date. In addition,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instances, a patent term can be extended to recapture a portion of the term effectively lost as a result of the FDA regulatory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review period. The restoration period cannot be longer than five years and the total patent term, including the restoration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period, must not exceed 14 years following FDA approval. The duration of patents outside of the United States varies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provisions of applicable local law, but typically is also 20 years from the earliest effective filing date.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Generally, as noted above, our in</w:t>
      </w:r>
      <w:r>
        <w:rPr>
          <w:rFonts w:ascii="MS PGothic" w:cs="MS PGothic" w:eastAsia="MS PGothic" w:hAnsi="MS PGothic"/>
          <w:sz w:val="16"/>
          <w:szCs w:val="16"/>
          <w:color w:val="auto"/>
        </w:rPr>
        <w:t>‑</w:t>
      </w:r>
      <w:r>
        <w:rPr>
          <w:rFonts w:ascii="Arial" w:cs="Arial" w:eastAsia="Arial" w:hAnsi="Arial"/>
          <w:sz w:val="16"/>
          <w:szCs w:val="16"/>
          <w:color w:val="auto"/>
        </w:rPr>
        <w:t>licensed issued patents in all jurisdictions will expire on dates ranging from 2021 to 2034.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patents are issued on our pending patent applications, the resulting patents are projected to expire on dates ranging from</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2021 to 2038. However, the actual protection afforded by a patent varies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basis, from</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country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country, and depends upon many factors, including the type of patent, the scope of its coverage, the availability of</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regulatory</w:t>
      </w:r>
      <w:r>
        <w:rPr>
          <w:rFonts w:ascii="MS PGothic" w:cs="MS PGothic" w:eastAsia="MS PGothic" w:hAnsi="MS PGothic"/>
          <w:sz w:val="16"/>
          <w:szCs w:val="16"/>
          <w:color w:val="auto"/>
        </w:rPr>
        <w:t>‑</w:t>
      </w:r>
      <w:r>
        <w:rPr>
          <w:rFonts w:ascii="Arial" w:cs="Arial" w:eastAsia="Arial" w:hAnsi="Arial"/>
          <w:sz w:val="16"/>
          <w:szCs w:val="16"/>
          <w:color w:val="auto"/>
        </w:rPr>
        <w:t>related extensions, the availability of legal remedies in a particular country, and the validity and enforceability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patent.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have obtained USPTO trademark registration of the “Y</w:t>
      </w:r>
      <w:r>
        <w:rPr>
          <w:rFonts w:ascii="MS PGothic" w:cs="MS PGothic" w:eastAsia="MS PGothic" w:hAnsi="MS PGothic"/>
          <w:sz w:val="17"/>
          <w:szCs w:val="17"/>
          <w:color w:val="auto"/>
        </w:rPr>
        <w:t>‑</w:t>
      </w:r>
      <w:r>
        <w:rPr>
          <w:rFonts w:ascii="Arial" w:cs="Arial" w:eastAsia="Arial" w:hAnsi="Arial"/>
          <w:sz w:val="17"/>
          <w:szCs w:val="17"/>
          <w:color w:val="auto"/>
        </w:rPr>
        <w:t>mAbs” mark. Other than Y</w:t>
      </w:r>
      <w:r>
        <w:rPr>
          <w:rFonts w:ascii="MS PGothic" w:cs="MS PGothic" w:eastAsia="MS PGothic" w:hAnsi="MS PGothic"/>
          <w:sz w:val="17"/>
          <w:szCs w:val="17"/>
          <w:color w:val="auto"/>
        </w:rPr>
        <w:t>‑</w:t>
      </w:r>
      <w:r>
        <w:rPr>
          <w:rFonts w:ascii="Arial" w:cs="Arial" w:eastAsia="Arial" w:hAnsi="Arial"/>
          <w:sz w:val="17"/>
          <w:szCs w:val="17"/>
          <w:color w:val="auto"/>
        </w:rPr>
        <w:t>mAbs,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other than Y</w:t>
      </w:r>
      <w:r>
        <w:rPr>
          <w:rFonts w:ascii="MS PGothic" w:cs="MS PGothic" w:eastAsia="MS PGothic" w:hAnsi="MS PGothic"/>
          <w:sz w:val="17"/>
          <w:szCs w:val="17"/>
          <w:color w:val="auto"/>
        </w:rPr>
        <w:t>‑</w:t>
      </w:r>
      <w:r>
        <w:rPr>
          <w:rFonts w:ascii="Arial" w:cs="Arial" w:eastAsia="Arial" w:hAnsi="Arial"/>
          <w:sz w:val="17"/>
          <w:szCs w:val="17"/>
          <w:color w:val="auto"/>
        </w:rPr>
        <w:t>mAbs. If we do not secure successfully register trademark registration for our trademarks, we may encounter difficulty in enforcing, or be unable to enforce, our rights in our trademarks, trade names and service marks against third parties.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19" w:lineRule="exact"/>
        <w:rPr>
          <w:sz w:val="20"/>
          <w:szCs w:val="20"/>
          <w:color w:val="auto"/>
        </w:rPr>
      </w:pPr>
      <w:r>
        <w:rPr>
          <w:rFonts w:ascii="Arial" w:cs="Arial" w:eastAsia="Arial" w:hAnsi="Arial"/>
          <w:sz w:val="17"/>
          <w:szCs w:val="17"/>
          <w:color w:val="auto"/>
        </w:rPr>
        <w:t>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w:t>
      </w:r>
      <w:r>
        <w:rPr>
          <w:rFonts w:ascii="MS PGothic" w:cs="MS PGothic" w:eastAsia="MS PGothic" w:hAnsi="MS PGothic"/>
          <w:sz w:val="17"/>
          <w:szCs w:val="17"/>
          <w:color w:val="auto"/>
        </w:rPr>
        <w:t>‑</w:t>
      </w:r>
      <w:r>
        <w:rPr>
          <w:rFonts w:ascii="Arial" w:cs="Arial" w:eastAsia="Arial" w:hAnsi="Arial"/>
          <w:sz w:val="17"/>
          <w:szCs w:val="17"/>
          <w:color w:val="auto"/>
        </w:rPr>
        <w:t>how and inventions. For this and more comprehensive risks related to our intellectual property and proprietary technology, inventions, improvements and products, please see the section on “Risk Factors—Risks Related to Our Intellectual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On August 20, 2015, we entered into the MSK License, which grants us a worldwide, sub</w:t>
      </w:r>
      <w:r>
        <w:rPr>
          <w:rFonts w:ascii="MS PGothic" w:cs="MS PGothic" w:eastAsia="MS PGothic" w:hAnsi="MS PGothic"/>
          <w:sz w:val="17"/>
          <w:szCs w:val="17"/>
          <w:color w:val="auto"/>
        </w:rPr>
        <w:t>‑</w:t>
      </w:r>
      <w:r>
        <w:rPr>
          <w:rFonts w:ascii="Arial" w:cs="Arial" w:eastAsia="Arial" w:hAnsi="Arial"/>
          <w:sz w:val="17"/>
          <w:szCs w:val="17"/>
          <w:color w:val="auto"/>
        </w:rPr>
        <w:t>licensable license to MSK’s rights in certain patent rights and intellectual property rights related to certain know</w:t>
      </w:r>
      <w:r>
        <w:rPr>
          <w:rFonts w:ascii="MS PGothic" w:cs="MS PGothic" w:eastAsia="MS PGothic" w:hAnsi="MS PGothic"/>
          <w:sz w:val="17"/>
          <w:szCs w:val="17"/>
          <w:color w:val="auto"/>
        </w:rPr>
        <w:t>‑</w:t>
      </w:r>
      <w:r>
        <w:rPr>
          <w:rFonts w:ascii="Arial" w:cs="Arial" w:eastAsia="Arial" w:hAnsi="Arial"/>
          <w:sz w:val="17"/>
          <w:szCs w:val="17"/>
          <w:color w:val="auto"/>
        </w:rPr>
        <w:t>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w:t>
      </w:r>
      <w:r>
        <w:rPr>
          <w:rFonts w:ascii="MS PGothic" w:cs="MS PGothic" w:eastAsia="MS PGothic" w:hAnsi="MS PGothic"/>
          <w:sz w:val="17"/>
          <w:szCs w:val="17"/>
          <w:color w:val="auto"/>
        </w:rPr>
        <w:t>‑</w:t>
      </w:r>
      <w:r>
        <w:rPr>
          <w:rFonts w:ascii="Arial" w:cs="Arial" w:eastAsia="Arial" w:hAnsi="Arial"/>
          <w:sz w:val="17"/>
          <w:szCs w:val="17"/>
          <w:color w:val="auto"/>
        </w:rPr>
        <w:t>how, and nonexclusive with respect to MSK’s rights in such know</w:t>
      </w:r>
      <w:r>
        <w:rPr>
          <w:rFonts w:ascii="MS PGothic" w:cs="MS PGothic" w:eastAsia="MS PGothic" w:hAnsi="MS PGothic"/>
          <w:sz w:val="17"/>
          <w:szCs w:val="17"/>
          <w:color w:val="auto"/>
        </w:rPr>
        <w:t>‑</w:t>
      </w:r>
      <w:r>
        <w:rPr>
          <w:rFonts w:ascii="Arial" w:cs="Arial" w:eastAsia="Arial" w:hAnsi="Arial"/>
          <w:sz w:val="17"/>
          <w:szCs w:val="17"/>
          <w:color w:val="auto"/>
        </w:rPr>
        <w:t>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209" w:lineRule="exact"/>
        <w:rPr>
          <w:sz w:val="20"/>
          <w:szCs w:val="20"/>
          <w:color w:val="auto"/>
        </w:rPr>
      </w:pPr>
    </w:p>
    <w:p>
      <w:pPr>
        <w:ind w:right="400" w:firstLine="648"/>
        <w:spacing w:after="0" w:line="297" w:lineRule="auto"/>
        <w:rPr>
          <w:sz w:val="20"/>
          <w:szCs w:val="20"/>
          <w:color w:val="auto"/>
        </w:rPr>
      </w:pPr>
      <w:r>
        <w:rPr>
          <w:rFonts w:ascii="Arial" w:cs="Arial" w:eastAsia="Arial" w:hAnsi="Arial"/>
          <w:sz w:val="16"/>
          <w:szCs w:val="16"/>
          <w:color w:val="auto"/>
        </w:rPr>
        <w:t>Pursuant to the MSK License and the MSK CD33 License, as of December 31, 2018, we have rights to approximately 11 issued U.S. patents, approximately five pending U.S. patent applications, and 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58"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MSK License requires us to pay to MSK mid to high single</w:t>
      </w:r>
      <w:r>
        <w:rPr>
          <w:rFonts w:ascii="MS PGothic" w:cs="MS PGothic" w:eastAsia="MS PGothic" w:hAnsi="MS PGothic"/>
          <w:sz w:val="16"/>
          <w:szCs w:val="16"/>
          <w:color w:val="auto"/>
        </w:rPr>
        <w:t>‑</w:t>
      </w:r>
      <w:r>
        <w:rPr>
          <w:rFonts w:ascii="Arial" w:cs="Arial" w:eastAsia="Arial" w:hAnsi="Arial"/>
          <w:sz w:val="16"/>
          <w:szCs w:val="16"/>
          <w:color w:val="auto"/>
        </w:rPr>
        <w:t>digit royalties based on annual net sales of licensed products or the performance of licensed services by us and our affiliates and sublicensees. We are required to pay annual minimum royalties of $80,000 over the royalty term, starting in 2020, which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thereunder. Total expensed minimum royalty payments under the MSK License were $1,200,000 in 2016, all of which were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as of December 31, 2017 and December 31, 2018, respectively, upon determination that the payment of such minimum royalties was probable and the amount was estimable. We are also obligated to pay to MSK certain clinical, regulatory and sales</w:t>
      </w:r>
      <w:r>
        <w:rPr>
          <w:rFonts w:ascii="MS PGothic" w:cs="MS PGothic" w:eastAsia="MS PGothic" w:hAnsi="MS PGothic"/>
          <w:sz w:val="16"/>
          <w:szCs w:val="16"/>
          <w:color w:val="auto"/>
        </w:rPr>
        <w:t>‑</w:t>
      </w:r>
      <w:r>
        <w:rPr>
          <w:rFonts w:ascii="Arial" w:cs="Arial" w:eastAsia="Arial" w:hAnsi="Arial"/>
          <w:sz w:val="16"/>
          <w:szCs w:val="16"/>
          <w:color w:val="auto"/>
        </w:rPr>
        <w:t>based milestone payments under the MSK License, which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milestones. Certain of these clinical and regulatory milestone payments become due at the earlier of completion of the related milestone activity or the date indicated in the MSK License. Total potential clinical and regulatory milestones potentially due under the MSK License are $2,450,000 and $9,000,000,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we achieve certain amounts of sales of licensed products resulting from the license arrangement with MSK, with total potential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$20,000,000. We have not entered into any sublicenses related to the MSK License. As product candidates progress through clinical development, regulatory approval and commercialization, certain milestone payments will come due either as a result of the milestones having been met or the passage of time even if the milestones have not been met. We will also owe MSK mid to high single digit royalties on commercial sales of our approved products, including an annual fixed minimum royalty of $80,000 over the royalty term starting in 2020 whether or not product sales are ever achieved.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Additionally, the terms of the MSK License provide that MSK is entitled to receive 40% - 50% of any income generated from the sale of first such PRV, and 33% of any income generated from the sale of any subsequent PRV or the sale of other comparable incentives provided by any non</w:t>
      </w:r>
      <w:r>
        <w:rPr>
          <w:rFonts w:ascii="MS PGothic" w:cs="MS PGothic" w:eastAsia="MS PGothic" w:hAnsi="MS PGothic"/>
          <w:sz w:val="16"/>
          <w:szCs w:val="16"/>
          <w:color w:val="auto"/>
        </w:rPr>
        <w:t>‑</w:t>
      </w:r>
      <w:r>
        <w:rPr>
          <w:rFonts w:ascii="Arial" w:cs="Arial" w:eastAsia="Arial" w:hAnsi="Arial"/>
          <w:sz w:val="16"/>
          <w:szCs w:val="16"/>
          <w:color w:val="auto"/>
        </w:rPr>
        <w:t>U.S. jurisdiction. Additionally, the terms of the MSK CD33 License provide that MSK is entitled to receive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25% of any income generated from the sale of any PRV or the sale of other comparable incentives provided by any non</w:t>
      </w:r>
      <w:r>
        <w:rPr>
          <w:rFonts w:ascii="MS PGothic" w:cs="MS PGothic" w:eastAsia="MS PGothic" w:hAnsi="MS PGothic"/>
          <w:sz w:val="16"/>
          <w:szCs w:val="16"/>
          <w:color w:val="auto"/>
        </w:rPr>
        <w:t>‑</w:t>
      </w:r>
      <w:r>
        <w:rPr>
          <w:rFonts w:ascii="Arial" w:cs="Arial" w:eastAsia="Arial" w:hAnsi="Arial"/>
          <w:sz w:val="16"/>
          <w:szCs w:val="16"/>
          <w:color w:val="auto"/>
        </w:rPr>
        <w: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jurisdiction.</w:t>
      </w:r>
    </w:p>
    <w:p>
      <w:pPr>
        <w:spacing w:after="0" w:line="211" w:lineRule="exact"/>
        <w:rPr>
          <w:sz w:val="20"/>
          <w:szCs w:val="20"/>
          <w:color w:val="auto"/>
        </w:rPr>
      </w:pPr>
    </w:p>
    <w:p>
      <w:pPr>
        <w:ind w:right="280" w:firstLine="648"/>
        <w:spacing w:after="0" w:line="219" w:lineRule="exact"/>
        <w:rPr>
          <w:sz w:val="20"/>
          <w:szCs w:val="20"/>
          <w:color w:val="auto"/>
        </w:rPr>
      </w:pPr>
      <w:r>
        <w:rPr>
          <w:rFonts w:ascii="Arial" w:cs="Arial" w:eastAsia="Arial" w:hAnsi="Arial"/>
          <w:sz w:val="17"/>
          <w:szCs w:val="17"/>
          <w:color w:val="auto"/>
        </w:rPr>
        <w:t>The MSK License will expire,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and on a licensed</w:t>
      </w:r>
      <w:r>
        <w:rPr>
          <w:rFonts w:ascii="MS PGothic" w:cs="MS PGothic" w:eastAsia="MS PGothic" w:hAnsi="MS PGothic"/>
          <w:sz w:val="17"/>
          <w:szCs w:val="17"/>
          <w:color w:val="auto"/>
        </w:rPr>
        <w:t>‑</w:t>
      </w:r>
      <w:r>
        <w:rPr>
          <w:rFonts w:ascii="Arial" w:cs="Arial" w:eastAsia="Arial" w:hAnsi="Arial"/>
          <w:sz w:val="17"/>
          <w:szCs w:val="17"/>
          <w:color w:val="auto"/>
        </w:rPr>
        <w:t>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w:t>
      </w:r>
      <w:r>
        <w:rPr>
          <w:rFonts w:ascii="MS PGothic" w:cs="MS PGothic" w:eastAsia="MS PGothic" w:hAnsi="MS PGothic"/>
          <w:sz w:val="17"/>
          <w:szCs w:val="17"/>
          <w:color w:val="auto"/>
        </w:rPr>
        <w:t>‑</w:t>
      </w:r>
      <w:r>
        <w:rPr>
          <w:rFonts w:ascii="Arial" w:cs="Arial" w:eastAsia="Arial" w:hAnsi="Arial"/>
          <w:sz w:val="17"/>
          <w:szCs w:val="17"/>
          <w:color w:val="auto"/>
        </w:rPr>
        <w:t>product or licensed</w:t>
      </w:r>
      <w:r>
        <w:rPr>
          <w:rFonts w:ascii="MS PGothic" w:cs="MS PGothic" w:eastAsia="MS PGothic" w:hAnsi="MS PGothic"/>
          <w:sz w:val="17"/>
          <w:szCs w:val="17"/>
          <w:color w:val="auto"/>
        </w:rPr>
        <w:t>‑</w:t>
      </w:r>
      <w:r>
        <w:rPr>
          <w:rFonts w:ascii="Arial" w:cs="Arial" w:eastAsia="Arial" w:hAnsi="Arial"/>
          <w:sz w:val="17"/>
          <w:szCs w:val="17"/>
          <w:color w:val="auto"/>
        </w:rPr>
        <w:t>service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w:t>
      </w:r>
      <w:r>
        <w:rPr>
          <w:rFonts w:ascii="MS PGothic" w:cs="MS PGothic" w:eastAsia="MS PGothic" w:hAnsi="MS PGothic"/>
          <w:sz w:val="17"/>
          <w:szCs w:val="17"/>
          <w:color w:val="auto"/>
        </w:rPr>
        <w:t>‑</w:t>
      </w:r>
      <w:r>
        <w:rPr>
          <w:rFonts w:ascii="Arial" w:cs="Arial" w:eastAsia="Arial" w:hAnsi="Arial"/>
          <w:sz w:val="17"/>
          <w:szCs w:val="17"/>
          <w:color w:val="auto"/>
        </w:rPr>
        <w:t>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the MSK License,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 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 shares on August 20, 2016 in order for MSK to maintain the 12.5% ownership interest. As of December 31, 2016, MSK no longer had the right to receive additional shares of our common stock under the MSK License. Our failure to meet certain conditions under the MSK License could cause the related license to such licensed product to be canceled and could result in termination of the MSK License by MSK.</w:t>
      </w:r>
    </w:p>
    <w:p>
      <w:pPr>
        <w:spacing w:after="0" w:line="18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w:t>
      </w:r>
      <w:r>
        <w:rPr>
          <w:rFonts w:ascii="MS PGothic" w:cs="MS PGothic" w:eastAsia="MS PGothic" w:hAnsi="MS PGothic"/>
          <w:sz w:val="17"/>
          <w:szCs w:val="17"/>
          <w:color w:val="auto"/>
        </w:rPr>
        <w:t>‑</w:t>
      </w:r>
      <w:r>
        <w:rPr>
          <w:rFonts w:ascii="Arial" w:cs="Arial" w:eastAsia="Arial" w:hAnsi="Arial"/>
          <w:sz w:val="17"/>
          <w:szCs w:val="17"/>
          <w:color w:val="auto"/>
        </w:rPr>
        <w:t>exclusive, non</w:t>
      </w:r>
      <w:r>
        <w:rPr>
          <w:rFonts w:ascii="MS PGothic" w:cs="MS PGothic" w:eastAsia="MS PGothic" w:hAnsi="MS PGothic"/>
          <w:sz w:val="17"/>
          <w:szCs w:val="17"/>
          <w:color w:val="auto"/>
        </w:rPr>
        <w:t>‑</w:t>
      </w:r>
      <w:r>
        <w:rPr>
          <w:rFonts w:ascii="Arial" w:cs="Arial" w:eastAsia="Arial" w:hAnsi="Arial"/>
          <w:sz w:val="17"/>
          <w:szCs w:val="17"/>
          <w:color w:val="auto"/>
        </w:rPr>
        <w:t>commercial, non</w:t>
      </w:r>
      <w:r>
        <w:rPr>
          <w:rFonts w:ascii="MS PGothic" w:cs="MS PGothic" w:eastAsia="MS PGothic" w:hAnsi="MS PGothic"/>
          <w:sz w:val="17"/>
          <w:szCs w:val="17"/>
          <w:color w:val="auto"/>
        </w:rPr>
        <w:t>‑</w:t>
      </w:r>
      <w:r>
        <w:rPr>
          <w:rFonts w:ascii="Arial" w:cs="Arial" w:eastAsia="Arial" w:hAnsi="Arial"/>
          <w:sz w:val="17"/>
          <w:szCs w:val="17"/>
          <w:color w:val="auto"/>
        </w:rPr>
        <w:t>transferable, royalty</w:t>
      </w:r>
      <w:r>
        <w:rPr>
          <w:rFonts w:ascii="MS PGothic" w:cs="MS PGothic" w:eastAsia="MS PGothic" w:hAnsi="MS PGothic"/>
          <w:sz w:val="17"/>
          <w:szCs w:val="17"/>
          <w:color w:val="auto"/>
        </w:rPr>
        <w:t>‑</w:t>
      </w:r>
      <w:r>
        <w:rPr>
          <w:rFonts w:ascii="Arial" w:cs="Arial" w:eastAsia="Arial" w:hAnsi="Arial"/>
          <w:sz w:val="17"/>
          <w:szCs w:val="17"/>
          <w:color w:val="auto"/>
        </w:rPr>
        <w:t>free license to use any inventions or discoveries developed by MSK within the scope of the information resulting from the project, for our internal, non</w:t>
      </w:r>
      <w:r>
        <w:rPr>
          <w:rFonts w:ascii="MS PGothic" w:cs="MS PGothic" w:eastAsia="MS PGothic" w:hAnsi="MS PGothic"/>
          <w:sz w:val="17"/>
          <w:szCs w:val="17"/>
          <w:color w:val="auto"/>
        </w:rPr>
        <w:t>‑</w:t>
      </w:r>
      <w:r>
        <w:rPr>
          <w:rFonts w:ascii="Arial" w:cs="Arial" w:eastAsia="Arial" w:hAnsi="Arial"/>
          <w:sz w:val="17"/>
          <w:szCs w:val="17"/>
          <w:color w:val="auto"/>
        </w:rPr>
        <w:t>commercial research purposes. We have also been granted both a first option to negotiate an exclusive or non</w:t>
      </w:r>
      <w:r>
        <w:rPr>
          <w:rFonts w:ascii="MS PGothic" w:cs="MS PGothic" w:eastAsia="MS PGothic" w:hAnsi="MS PGothic"/>
          <w:sz w:val="17"/>
          <w:szCs w:val="17"/>
          <w:color w:val="auto"/>
        </w:rPr>
        <w:t>‑</w:t>
      </w:r>
      <w:r>
        <w:rPr>
          <w:rFonts w:ascii="Arial" w:cs="Arial" w:eastAsia="Arial" w:hAnsi="Arial"/>
          <w:sz w:val="17"/>
          <w:szCs w:val="17"/>
          <w:color w:val="auto"/>
        </w:rPr>
        <w:t>exclusive commercial license to MSK’s rights in inventions developed by MSK and a first option to negotiate an exclusive license to MSK’s rights in inventions jointly developed by the parties. The term of the SRA shall continue until the earlier of (i) the completion of the activities set forth in each statement of work entered into thereunder or (ii) November 10, 2020. The SRA may be terminated for convenience by either party upon prior written notice. During 2017 and 2018 we incurred research and development expenses of $1,160,000 and $1,192,000, respectively, under the SRA.</w:t>
      </w:r>
    </w:p>
    <w:p>
      <w:pPr>
        <w:spacing w:after="0" w:line="210"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w:t>
      </w:r>
      <w:r>
        <w:rPr>
          <w:rFonts w:ascii="MS PGothic" w:cs="MS PGothic" w:eastAsia="MS PGothic" w:hAnsi="MS PGothic"/>
          <w:sz w:val="17"/>
          <w:szCs w:val="17"/>
          <w:color w:val="auto"/>
        </w:rPr>
        <w:t>‑</w:t>
      </w:r>
      <w:r>
        <w:rPr>
          <w:rFonts w:ascii="Arial" w:cs="Arial" w:eastAsia="Arial" w:hAnsi="Arial"/>
          <w:sz w:val="17"/>
          <w:szCs w:val="17"/>
          <w:color w:val="auto"/>
        </w:rPr>
        <w:t>how to us by employees at MSK who are specifically assigned to assist with such services to us. The MDSA will expire upon the completion of activities set forth in each project description entered into thereunder; however we have the option to extend the term upon written notice to MSK. Either party may terminate the MDSA upon prior written notice in the event of an uncured material breach. During 2017 and 2018, we incurred expenses of $357,000 and $396,000, respectively, under the MDSA.</w:t>
      </w:r>
    </w:p>
    <w:p>
      <w:pPr>
        <w:spacing w:after="0" w:line="206"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Also, on June 21, 2017, we entered into the Investigator</w:t>
      </w:r>
      <w:r>
        <w:rPr>
          <w:rFonts w:ascii="MS PGothic" w:cs="MS PGothic" w:eastAsia="MS PGothic" w:hAnsi="MS PGothic"/>
          <w:sz w:val="17"/>
          <w:szCs w:val="17"/>
          <w:color w:val="auto"/>
        </w:rPr>
        <w:t>‑</w:t>
      </w:r>
      <w:r>
        <w:rPr>
          <w:rFonts w:ascii="Arial" w:cs="Arial" w:eastAsia="Arial" w:hAnsi="Arial"/>
          <w:sz w:val="17"/>
          <w:szCs w:val="17"/>
          <w:color w:val="auto"/>
        </w:rPr>
        <w:t>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w:t>
      </w:r>
      <w:r>
        <w:rPr>
          <w:rFonts w:ascii="MS PGothic" w:cs="MS PGothic" w:eastAsia="MS PGothic" w:hAnsi="MS PGothic"/>
          <w:sz w:val="17"/>
          <w:szCs w:val="17"/>
          <w:color w:val="auto"/>
        </w:rPr>
        <w:t>‑</w:t>
      </w:r>
      <w:r>
        <w:rPr>
          <w:rFonts w:ascii="Arial" w:cs="Arial" w:eastAsia="Arial" w:hAnsi="Arial"/>
          <w:sz w:val="17"/>
          <w:szCs w:val="17"/>
          <w:color w:val="auto"/>
        </w:rPr>
        <w:t>exclusive, non</w:t>
      </w:r>
      <w:r>
        <w:rPr>
          <w:rFonts w:ascii="MS PGothic" w:cs="MS PGothic" w:eastAsia="MS PGothic" w:hAnsi="MS PGothic"/>
          <w:sz w:val="17"/>
          <w:szCs w:val="17"/>
          <w:color w:val="auto"/>
        </w:rPr>
        <w:t>‑</w:t>
      </w:r>
      <w:r>
        <w:rPr>
          <w:rFonts w:ascii="Arial" w:cs="Arial" w:eastAsia="Arial" w:hAnsi="Arial"/>
          <w:sz w:val="17"/>
          <w:szCs w:val="17"/>
          <w:color w:val="auto"/>
        </w:rPr>
        <w:t>transferable, worldwide, royalty</w:t>
      </w:r>
      <w:r>
        <w:rPr>
          <w:rFonts w:ascii="MS PGothic" w:cs="MS PGothic" w:eastAsia="MS PGothic" w:hAnsi="MS PGothic"/>
          <w:sz w:val="17"/>
          <w:szCs w:val="17"/>
          <w:color w:val="auto"/>
        </w:rPr>
        <w:t>‑</w:t>
      </w:r>
      <w:r>
        <w:rPr>
          <w:rFonts w:ascii="Arial" w:cs="Arial" w:eastAsia="Arial" w:hAnsi="Arial"/>
          <w:sz w:val="17"/>
          <w:szCs w:val="17"/>
          <w:color w:val="auto"/>
        </w:rPr>
        <w:t>free license, without right to sublicense, to use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any inventions or discoveries developed by personnel of each such party, that is within the scope of the information resulting from the relevant study, for the other party’s internal, non</w:t>
      </w:r>
      <w:r>
        <w:rPr>
          <w:rFonts w:ascii="MS PGothic" w:cs="MS PGothic" w:eastAsia="MS PGothic" w:hAnsi="MS PGothic"/>
          <w:sz w:val="18"/>
          <w:szCs w:val="18"/>
          <w:color w:val="auto"/>
        </w:rPr>
        <w:t>‑</w:t>
      </w:r>
      <w:r>
        <w:rPr>
          <w:rFonts w:ascii="Arial" w:cs="Arial" w:eastAsia="Arial" w:hAnsi="Arial"/>
          <w:sz w:val="18"/>
          <w:szCs w:val="18"/>
          <w:color w:val="auto"/>
        </w:rPr>
        <w:t>commercial research purposes until such Invention is commercially available. We have also been granted a first option to negotiate an exclusive or non</w:t>
      </w:r>
      <w:r>
        <w:rPr>
          <w:rFonts w:ascii="MS PGothic" w:cs="MS PGothic" w:eastAsia="MS PGothic" w:hAnsi="MS PGothic"/>
          <w:sz w:val="18"/>
          <w:szCs w:val="18"/>
          <w:color w:val="auto"/>
        </w:rPr>
        <w:t>‑</w:t>
      </w:r>
      <w:r>
        <w:rPr>
          <w:rFonts w:ascii="Arial" w:cs="Arial" w:eastAsia="Arial" w:hAnsi="Arial"/>
          <w:sz w:val="18"/>
          <w:szCs w:val="18"/>
          <w:color w:val="auto"/>
        </w:rPr>
        <w:t>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2017 and 2018, we incurred research and development expenses of $725,000 and $3,043,000 under the MCTA.</w:t>
      </w:r>
    </w:p>
    <w:p>
      <w:pPr>
        <w:spacing w:after="0" w:line="20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w:t>
      </w:r>
      <w:r>
        <w:rPr>
          <w:rFonts w:ascii="MS PGothic" w:cs="MS PGothic" w:eastAsia="MS PGothic" w:hAnsi="MS PGothic"/>
          <w:sz w:val="17"/>
          <w:szCs w:val="17"/>
          <w:color w:val="auto"/>
        </w:rPr>
        <w:t>‑</w:t>
      </w:r>
      <w:r>
        <w:rPr>
          <w:rFonts w:ascii="Arial" w:cs="Arial" w:eastAsia="Arial" w:hAnsi="Arial"/>
          <w:sz w:val="17"/>
          <w:szCs w:val="17"/>
          <w:color w:val="auto"/>
        </w:rPr>
        <w:t>cancelable obligations following receipt from MSK of any completed or in</w:t>
      </w:r>
      <w:r>
        <w:rPr>
          <w:rFonts w:ascii="MS PGothic" w:cs="MS PGothic" w:eastAsia="MS PGothic" w:hAnsi="MS PGothic"/>
          <w:sz w:val="17"/>
          <w:szCs w:val="17"/>
          <w:color w:val="auto"/>
        </w:rPr>
        <w:t>‑</w:t>
      </w:r>
      <w:r>
        <w:rPr>
          <w:rFonts w:ascii="Arial" w:cs="Arial" w:eastAsia="Arial" w:hAnsi="Arial"/>
          <w:sz w:val="17"/>
          <w:szCs w:val="17"/>
          <w:color w:val="auto"/>
        </w:rPr>
        <w:t>process deliverables in connection with the project. During 2017 and 2018, we incurred research and development expenses of $195,000 and $325,000, respectively, under the CFSAs.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13, 2017, we entered into a license agreement, or the MSK CD33 License, with MSK, which grants</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us a worldwide, sub</w:t>
      </w:r>
      <w:r>
        <w:rPr>
          <w:rFonts w:ascii="MS PGothic" w:cs="MS PGothic" w:eastAsia="MS PGothic" w:hAnsi="MS PGothic"/>
          <w:sz w:val="17"/>
          <w:szCs w:val="17"/>
          <w:color w:val="auto"/>
        </w:rPr>
        <w:t>‑</w:t>
      </w:r>
      <w:r>
        <w:rPr>
          <w:rFonts w:ascii="Arial" w:cs="Arial" w:eastAsia="Arial" w:hAnsi="Arial"/>
          <w:sz w:val="17"/>
          <w:szCs w:val="17"/>
          <w:color w:val="auto"/>
        </w:rPr>
        <w:t>licensable license to MSK’s rights in certain patent rights and intellectual property rights related to</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certain know</w:t>
      </w:r>
      <w:r>
        <w:rPr>
          <w:rFonts w:ascii="MS PGothic" w:cs="MS PGothic" w:eastAsia="MS PGothic" w:hAnsi="MS PGothic"/>
          <w:sz w:val="17"/>
          <w:szCs w:val="17"/>
          <w:color w:val="auto"/>
        </w:rPr>
        <w:t>‑</w:t>
      </w:r>
      <w:r>
        <w:rPr>
          <w:rFonts w:ascii="Arial" w:cs="Arial" w:eastAsia="Arial" w:hAnsi="Arial"/>
          <w:sz w:val="17"/>
          <w:szCs w:val="17"/>
          <w:color w:val="auto"/>
        </w:rPr>
        <w:t>how to develop, make and commercialize licensed products and to perform services for all therapeutic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diagnostic uses in the field of cancer diagnostics in connection with certain CD33 antibodies generated in a specific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investigator’s laboratory at MSK and constructs thereof. The MSK CD33 License is exclusive with respect to such patent</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rights and tangible materials within such know</w:t>
      </w:r>
      <w:r>
        <w:rPr>
          <w:rFonts w:ascii="MS PGothic" w:cs="MS PGothic" w:eastAsia="MS PGothic" w:hAnsi="MS PGothic"/>
          <w:sz w:val="16"/>
          <w:szCs w:val="16"/>
          <w:color w:val="auto"/>
        </w:rPr>
        <w:t>‑</w:t>
      </w:r>
      <w:r>
        <w:rPr>
          <w:rFonts w:ascii="Arial" w:cs="Arial" w:eastAsia="Arial" w:hAnsi="Arial"/>
          <w:sz w:val="16"/>
          <w:szCs w:val="16"/>
          <w:color w:val="auto"/>
        </w:rPr>
        <w:t>how, and nonexclusive with respect to MSK’s rights in such know</w:t>
      </w:r>
      <w:r>
        <w:rPr>
          <w:rFonts w:ascii="MS PGothic" w:cs="MS PGothic" w:eastAsia="MS PGothic" w:hAnsi="MS PGothic"/>
          <w:sz w:val="16"/>
          <w:szCs w:val="16"/>
          <w:color w:val="auto"/>
        </w:rPr>
        <w:t>‑</w:t>
      </w:r>
      <w:r>
        <w:rPr>
          <w:rFonts w:ascii="Arial" w:cs="Arial" w:eastAsia="Arial" w:hAnsi="Arial"/>
          <w:sz w:val="16"/>
          <w:szCs w:val="16"/>
          <w:color w:val="auto"/>
        </w:rPr>
        <w:t>how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intellectual property rights. As product candidates progress through clinical development, regulatory approval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certain milestone payments will come due either as a result of the milestones having been met 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passage of time even if the milestones have not been met. Also, we will owe MSK customary royalties on commercial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approved products, if any. Total potential milestones due under the MSK CD33 License are $550,000, $500,000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$7,500,000 for clinical, regulatory and sales based milestones, respectively. In addition, the MSK CD33 License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minimum royalty payments that become due beginning in year 10 of $40,000 per year over the royalty term, increasing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 once a patent within the licensed rights is issued, subject to increase and creditable against any royalty payments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sales in the future. We are required to pay mid to high single digit royalties on sales of licensed products.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to pay MSK approximately $1,360,000 for research services related to the intellectual property licensed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CD33 License. The research services are expected to occur over the two year period immediately following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MSK CD33 License.</w:t>
      </w:r>
    </w:p>
    <w:p>
      <w:pPr>
        <w:spacing w:after="0" w:line="211" w:lineRule="exact"/>
        <w:rPr>
          <w:sz w:val="20"/>
          <w:szCs w:val="20"/>
          <w:color w:val="auto"/>
        </w:rPr>
      </w:pPr>
    </w:p>
    <w:p>
      <w:pPr>
        <w:ind w:right="120" w:firstLine="648"/>
        <w:spacing w:after="0" w:line="219" w:lineRule="exact"/>
        <w:rPr>
          <w:sz w:val="20"/>
          <w:szCs w:val="20"/>
          <w:color w:val="auto"/>
        </w:rPr>
      </w:pPr>
      <w:r>
        <w:rPr>
          <w:rFonts w:ascii="Arial" w:cs="Arial" w:eastAsia="Arial" w:hAnsi="Arial"/>
          <w:sz w:val="17"/>
          <w:szCs w:val="17"/>
          <w:color w:val="auto"/>
        </w:rPr>
        <w:t>The MSK CD33 License will expire,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and on a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w:t>
      </w:r>
      <w:r>
        <w:rPr>
          <w:rFonts w:ascii="MS PGothic" w:cs="MS PGothic" w:eastAsia="MS PGothic" w:hAnsi="MS PGothic"/>
          <w:sz w:val="17"/>
          <w:szCs w:val="17"/>
          <w:color w:val="auto"/>
        </w:rPr>
        <w:t>‑</w:t>
      </w:r>
      <w:r>
        <w:rPr>
          <w:rFonts w:ascii="Arial" w:cs="Arial" w:eastAsia="Arial" w:hAnsi="Arial"/>
          <w:sz w:val="17"/>
          <w:szCs w:val="17"/>
          <w:color w:val="auto"/>
        </w:rPr>
        <w:t>product or licensed</w:t>
      </w:r>
      <w:r>
        <w:rPr>
          <w:rFonts w:ascii="MS PGothic" w:cs="MS PGothic" w:eastAsia="MS PGothic" w:hAnsi="MS PGothic"/>
          <w:sz w:val="17"/>
          <w:szCs w:val="17"/>
          <w:color w:val="auto"/>
        </w:rPr>
        <w:t>‑</w:t>
      </w:r>
      <w:r>
        <w:rPr>
          <w:rFonts w:ascii="Arial" w:cs="Arial" w:eastAsia="Arial" w:hAnsi="Arial"/>
          <w:sz w:val="17"/>
          <w:szCs w:val="17"/>
          <w:color w:val="auto"/>
        </w:rPr>
        <w:t>service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w:t>
      </w:r>
      <w:r>
        <w:rPr>
          <w:rFonts w:ascii="MS PGothic" w:cs="MS PGothic" w:eastAsia="MS PGothic" w:hAnsi="MS PGothic"/>
          <w:sz w:val="17"/>
          <w:szCs w:val="17"/>
          <w:color w:val="auto"/>
        </w:rPr>
        <w:t>‑</w:t>
      </w:r>
      <w:r>
        <w:rPr>
          <w:rFonts w:ascii="Arial" w:cs="Arial" w:eastAsia="Arial" w:hAnsi="Arial"/>
          <w:sz w:val="17"/>
          <w:szCs w:val="17"/>
          <w:color w:val="auto"/>
        </w:rPr>
        <w:t>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8"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6"/>
          <w:szCs w:val="16"/>
          <w:color w:val="auto"/>
        </w:rPr>
        <w:t>On November 13, 2017, in connection with the MSK CD33 License, we entered into the Sponsored Research Agreement, or the CD33 SRA, with MSK pursuant to which we committed to provide aggregate research funding to MSK annually for a term of two years. The research will be conducted in accordance with a written plan and budget approved by the parties. MSK has granted us a non</w:t>
      </w:r>
      <w:r>
        <w:rPr>
          <w:rFonts w:ascii="MS PGothic" w:cs="MS PGothic" w:eastAsia="MS PGothic" w:hAnsi="MS PGothic"/>
          <w:sz w:val="16"/>
          <w:szCs w:val="16"/>
          <w:color w:val="auto"/>
        </w:rPr>
        <w:t>‑</w:t>
      </w:r>
      <w:r>
        <w:rPr>
          <w:rFonts w:ascii="Arial" w:cs="Arial" w:eastAsia="Arial" w:hAnsi="Arial"/>
          <w:sz w:val="16"/>
          <w:szCs w:val="16"/>
          <w:color w:val="auto"/>
        </w:rPr>
        <w:t>exclusive, non</w:t>
      </w:r>
      <w:r>
        <w:rPr>
          <w:rFonts w:ascii="MS PGothic" w:cs="MS PGothic" w:eastAsia="MS PGothic" w:hAnsi="MS PGothic"/>
          <w:sz w:val="16"/>
          <w:szCs w:val="16"/>
          <w:color w:val="auto"/>
        </w:rPr>
        <w:t>‑</w:t>
      </w:r>
      <w:r>
        <w:rPr>
          <w:rFonts w:ascii="Arial" w:cs="Arial" w:eastAsia="Arial" w:hAnsi="Arial"/>
          <w:sz w:val="16"/>
          <w:szCs w:val="16"/>
          <w:color w:val="auto"/>
        </w:rPr>
        <w:t>commercial, non</w:t>
      </w:r>
      <w:r>
        <w:rPr>
          <w:rFonts w:ascii="MS PGothic" w:cs="MS PGothic" w:eastAsia="MS PGothic" w:hAnsi="MS PGothic"/>
          <w:sz w:val="16"/>
          <w:szCs w:val="16"/>
          <w:color w:val="auto"/>
        </w:rPr>
        <w:t>‑</w:t>
      </w:r>
      <w:r>
        <w:rPr>
          <w:rFonts w:ascii="Arial" w:cs="Arial" w:eastAsia="Arial" w:hAnsi="Arial"/>
          <w:sz w:val="16"/>
          <w:szCs w:val="16"/>
          <w:color w:val="auto"/>
        </w:rPr>
        <w:t>transferable, royalty</w:t>
      </w:r>
      <w:r>
        <w:rPr>
          <w:rFonts w:ascii="MS PGothic" w:cs="MS PGothic" w:eastAsia="MS PGothic" w:hAnsi="MS PGothic"/>
          <w:sz w:val="16"/>
          <w:szCs w:val="16"/>
          <w:color w:val="auto"/>
        </w:rPr>
        <w:t>‑</w:t>
      </w:r>
      <w:r>
        <w:rPr>
          <w:rFonts w:ascii="Arial" w:cs="Arial" w:eastAsia="Arial" w:hAnsi="Arial"/>
          <w:sz w:val="16"/>
          <w:szCs w:val="16"/>
          <w:color w:val="auto"/>
        </w:rPr>
        <w:t>free license to use any inventions or discoveries developed by MSK within the scope of the information resulting from the research, for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our internal, non</w:t>
      </w:r>
      <w:r>
        <w:rPr>
          <w:rFonts w:ascii="MS PGothic" w:cs="MS PGothic" w:eastAsia="MS PGothic" w:hAnsi="MS PGothic"/>
          <w:sz w:val="16"/>
          <w:szCs w:val="16"/>
          <w:color w:val="auto"/>
        </w:rPr>
        <w:t>‑</w:t>
      </w:r>
      <w:r>
        <w:rPr>
          <w:rFonts w:ascii="Arial" w:cs="Arial" w:eastAsia="Arial" w:hAnsi="Arial"/>
          <w:sz w:val="16"/>
          <w:szCs w:val="16"/>
          <w:color w:val="auto"/>
        </w:rPr>
        <w:t>commercial research purposes. We have also been granted both a first option to negotiate an exclusive or non</w:t>
      </w:r>
      <w:r>
        <w:rPr>
          <w:rFonts w:ascii="MS PGothic" w:cs="MS PGothic" w:eastAsia="MS PGothic" w:hAnsi="MS PGothic"/>
          <w:sz w:val="16"/>
          <w:szCs w:val="16"/>
          <w:color w:val="auto"/>
        </w:rPr>
        <w:t>‑</w:t>
      </w:r>
      <w:r>
        <w:rPr>
          <w:rFonts w:ascii="Arial" w:cs="Arial" w:eastAsia="Arial" w:hAnsi="Arial"/>
          <w:sz w:val="16"/>
          <w:szCs w:val="16"/>
          <w:color w:val="auto"/>
        </w:rPr>
        <w:t>exclusive commercial license to MSK’s rights in inventions developed by MSK personnel and a first option to negotiate an exclusive license to MSK’s rights in inventions jointly developed by the parties and our personnel. The term of the CD33 SRA shall continue until the earlier of (i) the completion of the activities set forth in each statement of work entered into thereunder or (ii) November 13, 2019. The CD33 SRA may be terminated for convenience by either party upon prior written notice. In 2017 and 2018, we incurred research and development expenses of $88,000 and $670,000 under the CD33 SRA.</w:t>
      </w:r>
    </w:p>
    <w:p>
      <w:pPr>
        <w:spacing w:after="0" w:line="206"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8"/>
          <w:szCs w:val="8"/>
          <w:color w:val="auto"/>
        </w:rPr>
        <w:t>131</w:t>
      </w:r>
      <w:r>
        <w:rPr>
          <w:rFonts w:ascii="Arial" w:cs="Arial" w:eastAsia="Arial" w:hAnsi="Arial"/>
          <w:sz w:val="18"/>
          <w:szCs w:val="18"/>
          <w:color w:val="auto"/>
        </w:rPr>
        <w:t>I</w:t>
      </w:r>
      <w:r>
        <w:rPr>
          <w:rFonts w:ascii="MS PGothic" w:cs="MS PGothic" w:eastAsia="MS PGothic" w:hAnsi="MS PGothic"/>
          <w:sz w:val="18"/>
          <w:szCs w:val="18"/>
          <w:color w:val="auto"/>
        </w:rPr>
        <w:t>‑</w:t>
      </w:r>
      <w:r>
        <w:rPr>
          <w:rFonts w:ascii="Arial" w:cs="Arial" w:eastAsia="Arial" w:hAnsi="Arial"/>
          <w:sz w:val="18"/>
          <w:szCs w:val="18"/>
          <w:color w:val="auto"/>
        </w:rPr>
        <w:t>omburtamab in connection with our pivotal Phase 2 trials for Study 101.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MabVax Sublicense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27, 2018, we entered into the MabVax Sublicense, pursuant to which MabVax granted us all of the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exclusive rights granted to MabVax under the MabVax</w:t>
      </w:r>
      <w:r>
        <w:rPr>
          <w:rFonts w:ascii="MS PGothic" w:cs="MS PGothic" w:eastAsia="MS PGothic" w:hAnsi="MS PGothic"/>
          <w:sz w:val="16"/>
          <w:szCs w:val="16"/>
          <w:color w:val="auto"/>
        </w:rPr>
        <w:t>‑</w:t>
      </w:r>
      <w:r>
        <w:rPr>
          <w:rFonts w:ascii="Arial" w:cs="Arial" w:eastAsia="Arial" w:hAnsi="Arial"/>
          <w:sz w:val="16"/>
          <w:szCs w:val="16"/>
          <w:color w:val="auto"/>
        </w:rPr>
        <w:t>MSK License, for a bi</w:t>
      </w:r>
      <w:r>
        <w:rPr>
          <w:rFonts w:ascii="MS PGothic" w:cs="MS PGothic" w:eastAsia="MS PGothic" w:hAnsi="MS PGothic"/>
          <w:sz w:val="16"/>
          <w:szCs w:val="16"/>
          <w:color w:val="auto"/>
        </w:rPr>
        <w:t>‑</w:t>
      </w:r>
      <w:r>
        <w:rPr>
          <w:rFonts w:ascii="Arial" w:cs="Arial" w:eastAsia="Arial" w:hAnsi="Arial"/>
          <w:sz w:val="16"/>
          <w:szCs w:val="16"/>
          <w:color w:val="auto"/>
        </w:rPr>
        <w:t>valent ganglioside based vaccine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treat NB, or the NB vaccine. MSK originally developed the NB vaccine and licensed to MabVax as part of a portfolio of</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anti</w:t>
      </w:r>
      <w:r>
        <w:rPr>
          <w:rFonts w:ascii="MS PGothic" w:cs="MS PGothic" w:eastAsia="MS PGothic" w:hAnsi="MS PGothic"/>
          <w:sz w:val="17"/>
          <w:szCs w:val="17"/>
          <w:color w:val="auto"/>
        </w:rPr>
        <w:t>‑</w:t>
      </w:r>
      <w:r>
        <w:rPr>
          <w:rFonts w:ascii="Arial" w:cs="Arial" w:eastAsia="Arial" w:hAnsi="Arial"/>
          <w:sz w:val="17"/>
          <w:szCs w:val="17"/>
          <w:color w:val="auto"/>
        </w:rPr>
        <w:t>cancer vaccines. In 2014, MabVax was granted ODD for the vaccine for the treatment of NB. Under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Mabvax Sublicense, we paid an upfront payment of $700,000, and we will make an additional payment of $600,000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anniversary of the MabVax Sublicense. We will also be responsible for any potential downstream payment obligations to</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MSK related to the NB vaccine that were specified in the MabVax</w:t>
      </w:r>
      <w:r>
        <w:rPr>
          <w:rFonts w:ascii="MS PGothic" w:cs="MS PGothic" w:eastAsia="MS PGothic" w:hAnsi="MS PGothic"/>
          <w:sz w:val="16"/>
          <w:szCs w:val="16"/>
          <w:color w:val="auto"/>
        </w:rPr>
        <w:t>‑</w:t>
      </w:r>
      <w:r>
        <w:rPr>
          <w:rFonts w:ascii="Arial" w:cs="Arial" w:eastAsia="Arial" w:hAnsi="Arial"/>
          <w:sz w:val="16"/>
          <w:szCs w:val="16"/>
          <w:color w:val="auto"/>
        </w:rPr>
        <w:t>MSK license agreement. This includes the obligation to</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pay development milestones totaling $1,400,000 and mid single</w:t>
      </w:r>
      <w:r>
        <w:rPr>
          <w:rFonts w:ascii="MS PGothic" w:cs="MS PGothic" w:eastAsia="MS PGothic" w:hAnsi="MS PGothic"/>
          <w:sz w:val="17"/>
          <w:szCs w:val="17"/>
          <w:color w:val="auto"/>
        </w:rPr>
        <w:t>‑</w:t>
      </w:r>
      <w:r>
        <w:rPr>
          <w:rFonts w:ascii="Arial" w:cs="Arial" w:eastAsia="Arial" w:hAnsi="Arial"/>
          <w:sz w:val="17"/>
          <w:szCs w:val="17"/>
          <w:color w:val="auto"/>
        </w:rPr>
        <w:t>digit royalty payments to MSK. In addition, if we obtain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FDA approval for the NB vaccine, then we are obligated to file with the FDA for a PRV. If the PRV is granted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subsequently sold, MabVax will receive a percentage of the proceeds from the sale thereof. The MabVax Sublicense will</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terminate upon the termination or expiration of the MabVax</w:t>
      </w:r>
      <w:r>
        <w:rPr>
          <w:rFonts w:ascii="MS PGothic" w:cs="MS PGothic" w:eastAsia="MS PGothic" w:hAnsi="MS PGothic"/>
          <w:sz w:val="18"/>
          <w:szCs w:val="18"/>
          <w:color w:val="auto"/>
        </w:rPr>
        <w:t>‑</w:t>
      </w:r>
      <w:r>
        <w:rPr>
          <w:rFonts w:ascii="Arial" w:cs="Arial" w:eastAsia="Arial" w:hAnsi="Arial"/>
          <w:sz w:val="18"/>
          <w:szCs w:val="18"/>
          <w:color w:val="auto"/>
        </w:rPr>
        <w:t>MSK License. The MabVax License will expire, on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on the later of the expiration of (i) 10 years from the first commercial sale of the licensed product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 such country or (ii) the last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expire valid claim covering such licensed product rights at the time of and in the country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MabVax may terminate the MabVax Sublicense upon prior written notice to us in the event of our uncured material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FDA and other regulatory authorities at federal, state, and local levels, as well as in foreign countries,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extensively regulate, among other things, the research, development, testing, manufacture, quality control, import, export,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safety, effectiveness, labeling, packaging, storage, distribution, record keeping, approval, advertising, promotion, marketing,</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monitoring, and post</w:t>
      </w:r>
      <w:r>
        <w:rPr>
          <w:rFonts w:ascii="MS PGothic" w:cs="MS PGothic" w:eastAsia="MS PGothic" w:hAnsi="MS PGothic"/>
          <w:sz w:val="17"/>
          <w:szCs w:val="17"/>
          <w:color w:val="auto"/>
        </w:rPr>
        <w:t>‑</w:t>
      </w:r>
      <w:r>
        <w:rPr>
          <w:rFonts w:ascii="Arial" w:cs="Arial" w:eastAsia="Arial" w:hAnsi="Arial"/>
          <w:sz w:val="17"/>
          <w:szCs w:val="17"/>
          <w:color w:val="auto"/>
        </w:rPr>
        <w:t>approval reporting of biologics such as those we are developing. We, along with</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contractors, will be required to navigate the various pre</w:t>
      </w:r>
      <w:r>
        <w:rPr>
          <w:rFonts w:ascii="MS PGothic" w:cs="MS PGothic" w:eastAsia="MS PGothic" w:hAnsi="MS PGothic"/>
          <w:sz w:val="16"/>
          <w:szCs w:val="16"/>
          <w:color w:val="auto"/>
        </w:rPr>
        <w:t>‑</w:t>
      </w:r>
      <w:r>
        <w:rPr>
          <w:rFonts w:ascii="Arial" w:cs="Arial" w:eastAsia="Arial" w:hAnsi="Arial"/>
          <w:sz w:val="16"/>
          <w:szCs w:val="16"/>
          <w:color w:val="auto"/>
        </w:rPr>
        <w:t>clinical, clinical and commercial approval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governing regulatory agencies of the countries in which we wish to conduct studies or seek approval or licensure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The process of obtaining regulatory approvals and the subsequent compliance with appropriate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 local, and foreign statutes and regulations require the expenditure of substantial time and financial resources.</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980" w:right="240" w:hanging="329"/>
        <w:spacing w:after="0" w:line="223"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completion of pre</w:t>
      </w:r>
      <w:r>
        <w:rPr>
          <w:rFonts w:ascii="MS PGothic" w:cs="MS PGothic" w:eastAsia="MS PGothic" w:hAnsi="MS PGothic"/>
          <w:sz w:val="18"/>
          <w:szCs w:val="18"/>
          <w:color w:val="auto"/>
        </w:rPr>
        <w:t>‑</w:t>
      </w:r>
      <w:r>
        <w:rPr>
          <w:rFonts w:ascii="Arial" w:cs="Arial" w:eastAsia="Arial" w:hAnsi="Arial"/>
          <w:sz w:val="18"/>
          <w:szCs w:val="18"/>
          <w:color w:val="auto"/>
        </w:rPr>
        <w:t>clinical laboratory tests and animal studies performed in accordance with the FDA’s cGLP regulation;</w:t>
      </w:r>
    </w:p>
    <w:p>
      <w:pPr>
        <w:spacing w:after="0" w:line="203"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0" w:hanging="329"/>
        <w:spacing w:after="0" w:line="223" w:lineRule="exact"/>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purity and potency of the proposed biologic product candidate for its intended purpose;</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980" w:hanging="329"/>
        <w:spacing w:after="0" w:line="220" w:lineRule="exact"/>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satisfactory completion of an FDA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203" w:lineRule="exact"/>
        <w:rPr>
          <w:rFonts w:ascii="Arial" w:cs="Arial" w:eastAsia="Arial" w:hAnsi="Arial"/>
          <w:sz w:val="16"/>
          <w:szCs w:val="16"/>
          <w:color w:val="auto"/>
        </w:rPr>
      </w:pPr>
    </w:p>
    <w:p>
      <w:pPr>
        <w:ind w:left="980" w:right="80" w:hanging="329"/>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FDA review and approval of the BLA to permit commercial marketing of the product for particular indications for use in the United States, which must be updated annually when significant changes are made.</w:t>
      </w:r>
    </w:p>
    <w:p>
      <w:pPr>
        <w:spacing w:after="0" w:line="12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overlap.</w:t>
      </w:r>
    </w:p>
    <w:p>
      <w:pPr>
        <w:spacing w:after="0" w:line="211" w:lineRule="exact"/>
        <w:rPr>
          <w:sz w:val="20"/>
          <w:szCs w:val="20"/>
          <w:color w:val="auto"/>
        </w:rPr>
      </w:pPr>
    </w:p>
    <w:p>
      <w:pPr>
        <w:ind w:left="980" w:right="60" w:hanging="329"/>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—The investigational product is initially introduced into healthy human patients with the target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In oncology, clinical phase I trials are normally conducted in patients, who have been</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60"/>
        <w:spacing w:after="0" w:line="312" w:lineRule="auto"/>
        <w:rPr>
          <w:sz w:val="20"/>
          <w:szCs w:val="20"/>
          <w:color w:val="auto"/>
        </w:rPr>
      </w:pPr>
      <w:r>
        <w:rPr>
          <w:rFonts w:ascii="Arial" w:cs="Arial" w:eastAsia="Arial" w:hAnsi="Arial"/>
          <w:sz w:val="16"/>
          <w:szCs w:val="16"/>
          <w:color w:val="auto"/>
        </w:rPr>
        <w:t>exposed to and failed/relapsed on available standard of care therapies.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7" w:lineRule="exact"/>
        <w:rPr>
          <w:sz w:val="20"/>
          <w:szCs w:val="20"/>
          <w:color w:val="auto"/>
        </w:rPr>
      </w:pPr>
    </w:p>
    <w:p>
      <w:pPr>
        <w:ind w:left="980" w:right="60" w:hanging="329"/>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—The investigational product is administered to a limited patient population with a specified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6" w:lineRule="exact"/>
        <w:rPr>
          <w:rFonts w:ascii="Arial" w:cs="Arial" w:eastAsia="Arial" w:hAnsi="Arial"/>
          <w:sz w:val="18"/>
          <w:szCs w:val="18"/>
          <w:color w:val="auto"/>
        </w:rPr>
      </w:pPr>
    </w:p>
    <w:p>
      <w:pPr>
        <w:ind w:left="980" w:right="40" w:hanging="329"/>
        <w:spacing w:after="0" w:line="30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—The investigational product is administered to an expanded patient population to further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4" w:lineRule="exact"/>
        <w:rPr>
          <w:sz w:val="20"/>
          <w:szCs w:val="20"/>
          <w:color w:val="auto"/>
        </w:rPr>
      </w:pPr>
    </w:p>
    <w:p>
      <w:pPr>
        <w:ind w:firstLine="648"/>
        <w:spacing w:after="0" w:line="221" w:lineRule="exact"/>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w:t>
      </w:r>
      <w:r>
        <w:rPr>
          <w:rFonts w:ascii="MS PGothic" w:cs="MS PGothic" w:eastAsia="MS PGothic" w:hAnsi="MS PGothic"/>
          <w:sz w:val="18"/>
          <w:szCs w:val="18"/>
          <w:color w:val="auto"/>
        </w:rPr>
        <w:t>‑</w:t>
      </w:r>
      <w:r>
        <w:rPr>
          <w:rFonts w:ascii="Arial" w:cs="Arial" w:eastAsia="Arial" w:hAnsi="Arial"/>
          <w:sz w:val="18"/>
          <w:szCs w:val="18"/>
          <w:color w:val="auto"/>
        </w:rPr>
        <w:t>called Phase 4 studies may be made a condition to approval of the BLA.</w:t>
      </w:r>
    </w:p>
    <w:p>
      <w:pPr>
        <w:spacing w:after="0" w:line="20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are submitted to the FDA as part of a BLA requesting approval to market the product for one or more indications. The BLA must include all relevant data available from pertinent pre</w:t>
      </w:r>
      <w:r>
        <w:rPr>
          <w:rFonts w:ascii="MS PGothic" w:cs="MS PGothic" w:eastAsia="MS PGothic" w:hAnsi="MS PGothic"/>
          <w:sz w:val="16"/>
          <w:szCs w:val="16"/>
          <w:color w:val="auto"/>
        </w:rPr>
        <w:t>‑</w:t>
      </w:r>
      <w:r>
        <w:rPr>
          <w:rFonts w:ascii="Arial" w:cs="Arial" w:eastAsia="Arial" w:hAnsi="Arial"/>
          <w:sz w:val="16"/>
          <w:szCs w:val="16"/>
          <w:color w:val="auto"/>
        </w:rPr>
        <w:t>clinical and clinical studies, including negative or ambiguous results as well as positive findings, together with detailed information relating to the product’s chemistry, manufacturing, controls, and proposed labeling, among other things. Data can come from company</w:t>
      </w:r>
      <w:r>
        <w:rPr>
          <w:rFonts w:ascii="MS PGothic" w:cs="MS PGothic" w:eastAsia="MS PGothic" w:hAnsi="MS PGothic"/>
          <w:sz w:val="16"/>
          <w:szCs w:val="16"/>
          <w:color w:val="auto"/>
        </w:rPr>
        <w:t>‑</w:t>
      </w:r>
      <w:r>
        <w:rPr>
          <w:rFonts w:ascii="Arial" w:cs="Arial" w:eastAsia="Arial" w:hAnsi="Arial"/>
          <w:sz w:val="16"/>
          <w:szCs w:val="16"/>
          <w:color w:val="auto"/>
        </w:rPr>
        <w:t>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208"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Once a BLA has been submitted, the FDA’s goal is to review the application within 10 months after it accepts the application for filing, or, if the application relates to an unmet medical need in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indication, six months after the FDA accepts the application for filing.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1"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surveillance to monitor safety or efficacy of a product.</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w:t>
      </w:r>
      <w:r>
        <w:rPr>
          <w:rFonts w:ascii="MS PGothic" w:cs="MS PGothic" w:eastAsia="MS PGothic" w:hAnsi="MS PGothic"/>
          <w:sz w:val="16"/>
          <w:szCs w:val="16"/>
          <w:color w:val="auto"/>
        </w:rPr>
        <w:t>‑</w:t>
      </w:r>
      <w:r>
        <w:rPr>
          <w:rFonts w:ascii="Arial" w:cs="Arial" w:eastAsia="Arial" w:hAnsi="Arial"/>
          <w:sz w:val="16"/>
          <w:szCs w:val="16"/>
          <w:color w:val="auto"/>
        </w:rPr>
        <w:t xml:space="preserve"> and post</w:t>
      </w:r>
      <w:r>
        <w:rPr>
          <w:rFonts w:ascii="MS PGothic" w:cs="MS PGothic" w:eastAsia="MS PGothic" w:hAnsi="MS PGothic"/>
          <w:sz w:val="16"/>
          <w:szCs w:val="16"/>
          <w:color w:val="auto"/>
        </w:rPr>
        <w:t>‑</w:t>
      </w:r>
      <w:r>
        <w:rPr>
          <w:rFonts w:ascii="Arial" w:cs="Arial" w:eastAsia="Arial" w:hAnsi="Arial"/>
          <w:sz w:val="16"/>
          <w:szCs w:val="16"/>
          <w:color w:val="auto"/>
        </w:rPr>
        <w:t>marketing regulatory standards is not maintained or if problems occur after the product reaches the marketplace. The FDA may require one or more Phase 4 post</w:t>
      </w:r>
      <w:r>
        <w:rPr>
          <w:rFonts w:ascii="MS PGothic" w:cs="MS PGothic" w:eastAsia="MS PGothic" w:hAnsi="MS PGothic"/>
          <w:sz w:val="16"/>
          <w:szCs w:val="16"/>
          <w:color w:val="auto"/>
        </w:rPr>
        <w:t>‑</w:t>
      </w:r>
      <w:r>
        <w:rPr>
          <w:rFonts w:ascii="Arial" w:cs="Arial" w:eastAsia="Arial" w:hAnsi="Arial"/>
          <w:sz w:val="16"/>
          <w:szCs w:val="16"/>
          <w:color w:val="auto"/>
        </w:rPr>
        <w:t>market studies and surveillance to further assess and monitor the product’s safety and effectiveness after commercialization, and may limit further marketing of the product based on the results of these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addition, new government requirements, including those resulting from new legislation, may be established, or the FDA’s policies may change, which could delay or prevent regulatory approval of our products under development.</w:t>
      </w:r>
    </w:p>
    <w:p>
      <w:pPr>
        <w:spacing w:after="0" w:line="207" w:lineRule="exact"/>
        <w:rPr>
          <w:sz w:val="20"/>
          <w:szCs w:val="20"/>
          <w:color w:val="auto"/>
        </w:rPr>
      </w:pPr>
    </w:p>
    <w:p>
      <w:pPr>
        <w:ind w:right="100" w:firstLine="648"/>
        <w:spacing w:after="0" w:line="217" w:lineRule="exact"/>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207"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Phase 2 meeting with FDA. If the FDA designates a breakthrough therapy, it may take actions appropriate to</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w:t>
      </w:r>
      <w:r>
        <w:rPr>
          <w:rFonts w:ascii="MS PGothic" w:cs="MS PGothic" w:eastAsia="MS PGothic" w:hAnsi="MS PGothic"/>
          <w:sz w:val="17"/>
          <w:szCs w:val="17"/>
          <w:color w:val="auto"/>
        </w:rPr>
        <w:t>‑</w:t>
      </w:r>
      <w:r>
        <w:rPr>
          <w:rFonts w:ascii="Arial" w:cs="Arial" w:eastAsia="Arial" w:hAnsi="Arial"/>
          <w:sz w:val="17"/>
          <w:szCs w:val="17"/>
          <w:color w:val="auto"/>
        </w:rPr>
        <w:t>clinical and clinical data necessary for approval is as efficient as practicable; involving senior managers and experienced review staff, as appropriate, in a collaborative, cross</w:t>
      </w:r>
      <w:r>
        <w:rPr>
          <w:rFonts w:ascii="MS PGothic" w:cs="MS PGothic" w:eastAsia="MS PGothic" w:hAnsi="MS PGothic"/>
          <w:sz w:val="17"/>
          <w:szCs w:val="17"/>
          <w:color w:val="auto"/>
        </w:rPr>
        <w:t>‑</w:t>
      </w:r>
      <w:r>
        <w:rPr>
          <w:rFonts w:ascii="Arial" w:cs="Arial" w:eastAsia="Arial" w:hAnsi="Arial"/>
          <w:sz w:val="17"/>
          <w:szCs w:val="17"/>
          <w:color w:val="auto"/>
        </w:rPr>
        <w:t>disciplinary review; assigning a cross</w:t>
      </w:r>
      <w:r>
        <w:rPr>
          <w:rFonts w:ascii="MS PGothic" w:cs="MS PGothic" w:eastAsia="MS PGothic" w:hAnsi="MS PGothic"/>
          <w:sz w:val="17"/>
          <w:szCs w:val="17"/>
          <w:color w:val="auto"/>
        </w:rPr>
        <w:t>‑</w:t>
      </w:r>
      <w:r>
        <w:rPr>
          <w:rFonts w:ascii="Arial" w:cs="Arial" w:eastAsia="Arial" w:hAnsi="Arial"/>
          <w:sz w:val="17"/>
          <w:szCs w:val="17"/>
          <w:color w:val="auto"/>
        </w:rPr>
        <w:t>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Fast Track designation, priority review and BTD do not change the standards for approval but may expedite the development or approval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6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67"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In December 2016, the House of Representatives approved the</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Approval Requirements</w:t>
      </w:r>
    </w:p>
    <w:p>
      <w:pPr>
        <w:spacing w:after="0" w:line="22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w:t>
      </w:r>
      <w:r>
        <w:rPr>
          <w:rFonts w:ascii="MS PGothic" w:cs="MS PGothic" w:eastAsia="MS PGothic" w:hAnsi="MS PGothic"/>
          <w:sz w:val="16"/>
          <w:szCs w:val="16"/>
          <w:color w:val="auto"/>
        </w:rPr>
        <w:t>‑</w:t>
      </w:r>
      <w:r>
        <w:rPr>
          <w:rFonts w:ascii="Arial" w:cs="Arial" w:eastAsia="Arial" w:hAnsi="Arial"/>
          <w:sz w:val="16"/>
          <w:szCs w:val="16"/>
          <w:color w:val="auto"/>
        </w:rPr>
        <w:t>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214"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w:t>
      </w:r>
      <w:r>
        <w:rPr>
          <w:rFonts w:ascii="MS PGothic" w:cs="MS PGothic" w:eastAsia="MS PGothic" w:hAnsi="MS PGothic"/>
          <w:sz w:val="17"/>
          <w:szCs w:val="17"/>
          <w:color w:val="auto"/>
        </w:rPr>
        <w:t>‑</w:t>
      </w:r>
      <w:r>
        <w:rPr>
          <w:rFonts w:ascii="Arial" w:cs="Arial" w:eastAsia="Arial" w:hAnsi="Arial"/>
          <w:sz w:val="17"/>
          <w:szCs w:val="17"/>
          <w:color w:val="auto"/>
        </w:rPr>
        <w:t>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studies or clinical studies to assess new safety risks; or imposition of distribution restrictions or other restrictions under a REMS program. Other potential consequences include, among other things:</w:t>
      </w:r>
    </w:p>
    <w:p>
      <w:pPr>
        <w:spacing w:after="0" w:line="209" w:lineRule="exact"/>
        <w:rPr>
          <w:sz w:val="20"/>
          <w:szCs w:val="20"/>
          <w:color w:val="auto"/>
        </w:rPr>
      </w:pPr>
    </w:p>
    <w:p>
      <w:pPr>
        <w:ind w:left="980" w:right="360" w:hanging="329"/>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studies;</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Arial" w:cs="Arial" w:eastAsia="Arial" w:hAnsi="Arial"/>
          <w:sz w:val="17"/>
          <w:szCs w:val="17"/>
          <w:color w:val="auto"/>
        </w:rPr>
        <w:t>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medical specialties.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21" w:lineRule="exact"/>
        <w:rPr>
          <w:sz w:val="20"/>
          <w:szCs w:val="20"/>
          <w:color w:val="auto"/>
        </w:rPr>
      </w:pPr>
      <w:r>
        <w:rPr>
          <w:rFonts w:ascii="Arial" w:cs="Arial" w:eastAsia="Arial" w:hAnsi="Arial"/>
          <w:sz w:val="18"/>
          <w:szCs w:val="18"/>
          <w:color w:val="auto"/>
        </w:rPr>
        <w:t>Physicians may believe that such off</w:t>
      </w:r>
      <w:r>
        <w:rPr>
          <w:rFonts w:ascii="MS PGothic" w:cs="MS PGothic" w:eastAsia="MS PGothic" w:hAnsi="MS PGothic"/>
          <w:sz w:val="18"/>
          <w:szCs w:val="18"/>
          <w:color w:val="auto"/>
        </w:rPr>
        <w:t>‑</w:t>
      </w:r>
      <w:r>
        <w:rPr>
          <w:rFonts w:ascii="Arial" w:cs="Arial" w:eastAsia="Arial" w:hAnsi="Arial"/>
          <w:sz w:val="18"/>
          <w:szCs w:val="18"/>
          <w:color w:val="auto"/>
        </w:rPr>
        <w:t>label uses are the best treatment for many patients in varied circumstances. The FDA does not regulate the behavior of physicians in their choice of treatments. The FDA does, however, restrict manufacturer’s communications on the subject of off</w:t>
      </w:r>
      <w:r>
        <w:rPr>
          <w:rFonts w:ascii="MS PGothic" w:cs="MS PGothic" w:eastAsia="MS PGothic" w:hAnsi="MS PGothic"/>
          <w:sz w:val="18"/>
          <w:szCs w:val="18"/>
          <w:color w:val="auto"/>
        </w:rPr>
        <w:t>‑</w:t>
      </w:r>
      <w:r>
        <w:rPr>
          <w:rFonts w:ascii="Arial" w:cs="Arial" w:eastAsia="Arial" w:hAnsi="Arial"/>
          <w:sz w:val="18"/>
          <w:szCs w:val="18"/>
          <w:color w:val="auto"/>
        </w:rPr>
        <w:t>label use of their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the FDA must, upon the request of an applicant, meet to discuss preparation of the initial pediatric study plan or to discuss deferral or waiver of pediatric assessments.</w:t>
      </w:r>
    </w:p>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3"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Pediatric exclusivity is another type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in the United States and, if granted, provides for the attachment of an additional six months of marketing protection to the term of any existing regulatory exclusivity, including the non</w:t>
      </w:r>
      <w:r>
        <w:rPr>
          <w:rFonts w:ascii="MS PGothic" w:cs="MS PGothic" w:eastAsia="MS PGothic" w:hAnsi="MS PGothic"/>
          <w:sz w:val="17"/>
          <w:szCs w:val="17"/>
          <w:color w:val="auto"/>
        </w:rPr>
        <w:t>‑</w:t>
      </w:r>
      <w:r>
        <w:rPr>
          <w:rFonts w:ascii="Arial" w:cs="Arial" w:eastAsia="Arial" w:hAnsi="Arial"/>
          <w:sz w:val="17"/>
          <w:szCs w:val="17"/>
          <w:color w:val="auto"/>
        </w:rPr>
        <w:t>patent and orphan exclusivity.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8"/>
          <w:szCs w:val="18"/>
          <w:color w:val="auto"/>
        </w:rPr>
        <w:t>Healthcare providers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play a primary role in the recommendation and prescription of drug products that are granted regulatory approval. Arrangements with providers, consultants,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06" w:lineRule="exact"/>
        <w:rPr>
          <w:sz w:val="20"/>
          <w:szCs w:val="20"/>
          <w:color w:val="auto"/>
        </w:rPr>
      </w:pPr>
    </w:p>
    <w:p>
      <w:pPr>
        <w:ind w:left="980" w:right="40" w:hanging="329"/>
        <w:spacing w:after="0" w:line="219" w:lineRule="exact"/>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00" w:hanging="329"/>
        <w:spacing w:after="0" w:line="30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54" w:lineRule="exact"/>
        <w:rPr>
          <w:rFonts w:ascii="Arial" w:cs="Arial" w:eastAsia="Arial" w:hAnsi="Arial"/>
          <w:sz w:val="16"/>
          <w:szCs w:val="16"/>
          <w:color w:val="auto"/>
        </w:rPr>
      </w:pPr>
    </w:p>
    <w:p>
      <w:pPr>
        <w:ind w:left="980" w:right="220" w:hanging="329"/>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86" w:lineRule="exact"/>
        <w:rPr>
          <w:rFonts w:ascii="Arial" w:cs="Arial" w:eastAsia="Arial" w:hAnsi="Arial"/>
          <w:sz w:val="18"/>
          <w:szCs w:val="18"/>
          <w:color w:val="auto"/>
        </w:rPr>
      </w:pPr>
    </w:p>
    <w:p>
      <w:pPr>
        <w:ind w:left="980" w:hanging="329"/>
        <w:spacing w:after="0" w:line="27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72" w:lineRule="exact"/>
        <w:rPr>
          <w:rFonts w:ascii="Arial" w:cs="Arial" w:eastAsia="Arial" w:hAnsi="Arial"/>
          <w:sz w:val="17"/>
          <w:szCs w:val="17"/>
          <w:color w:val="auto"/>
        </w:rPr>
      </w:pPr>
    </w:p>
    <w:p>
      <w:pPr>
        <w:ind w:left="980" w:hanging="329"/>
        <w:spacing w:after="0" w:line="271"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178" w:lineRule="exact"/>
        <w:rPr>
          <w:rFonts w:ascii="Arial" w:cs="Arial" w:eastAsia="Arial" w:hAnsi="Arial"/>
          <w:sz w:val="17"/>
          <w:szCs w:val="17"/>
          <w:color w:val="auto"/>
        </w:rPr>
      </w:pPr>
    </w:p>
    <w:p>
      <w:pPr>
        <w:ind w:left="980" w:right="80" w:hanging="329"/>
        <w:spacing w:after="0" w:line="221" w:lineRule="exact"/>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w:t>
      </w:r>
    </w:p>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3"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Also, the U.S. Foreign Corrupt Practices Act and similar worldwide anti</w:t>
      </w:r>
      <w:r>
        <w:rPr>
          <w:rFonts w:ascii="MS PGothic" w:cs="MS PGothic" w:eastAsia="MS PGothic" w:hAnsi="MS PGothic"/>
          <w:sz w:val="18"/>
          <w:szCs w:val="18"/>
          <w:color w:val="auto"/>
        </w:rPr>
        <w:t>‑</w:t>
      </w:r>
      <w:r>
        <w:rPr>
          <w:rFonts w:ascii="Arial" w:cs="Arial" w:eastAsia="Arial" w:hAnsi="Arial"/>
          <w:sz w:val="18"/>
          <w:szCs w:val="18"/>
          <w:color w:val="auto"/>
        </w:rPr>
        <w:t>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260" w:firstLine="648"/>
        <w:spacing w:after="0" w:line="218" w:lineRule="exact"/>
        <w:rPr>
          <w:sz w:val="20"/>
          <w:szCs w:val="20"/>
          <w:color w:val="auto"/>
        </w:rPr>
      </w:pPr>
      <w:r>
        <w:rPr>
          <w:rFonts w:ascii="Arial" w:cs="Arial" w:eastAsia="Arial" w:hAnsi="Arial"/>
          <w:sz w:val="16"/>
          <w:szCs w:val="16"/>
          <w:color w:val="auto"/>
        </w:rPr>
        <w:t>Sales of pharmaceutical products depend significantly on the availability of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administrative authorities, managed care providers, private health insurers and other organizations. Although we currently believe that third</w:t>
      </w:r>
      <w:r>
        <w:rPr>
          <w:rFonts w:ascii="MS PGothic" w:cs="MS PGothic" w:eastAsia="MS PGothic" w:hAnsi="MS PGothic"/>
          <w:sz w:val="16"/>
          <w:szCs w:val="16"/>
          <w:color w:val="auto"/>
        </w:rPr>
        <w:t>‑</w:t>
      </w:r>
      <w:r>
        <w:rPr>
          <w:rFonts w:ascii="Arial" w:cs="Arial" w:eastAsia="Arial" w:hAnsi="Arial"/>
          <w:sz w:val="16"/>
          <w:szCs w:val="16"/>
          <w:color w:val="auto"/>
        </w:rPr>
        <w:t>party payors will provide coverage and reimbursement for our product candidates, if approved, these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significant uncertainty exists as to the reimbursement status of newly approved healthcare products. We may need to conduct expensive clinical studies to demonstrate the comparative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The product candidates that we develop may not be considered cost</w:t>
      </w:r>
      <w:r>
        <w:rPr>
          <w:rFonts w:ascii="MS PGothic" w:cs="MS PGothic" w:eastAsia="MS PGothic" w:hAnsi="MS PGothic"/>
          <w:sz w:val="16"/>
          <w:szCs w:val="16"/>
          <w:color w:val="auto"/>
        </w:rPr>
        <w:t>‑</w:t>
      </w:r>
      <w:r>
        <w:rPr>
          <w:rFonts w:ascii="Arial" w:cs="Arial" w:eastAsia="Arial" w:hAnsi="Arial"/>
          <w:sz w:val="16"/>
          <w:szCs w:val="16"/>
          <w:color w:val="auto"/>
        </w:rPr>
        <w:t>effective. It is time consuming and expensive for us to seek coverage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21" w:lineRule="exact"/>
        <w:rPr>
          <w:sz w:val="20"/>
          <w:szCs w:val="20"/>
          <w:color w:val="auto"/>
        </w:rPr>
      </w:pPr>
      <w:r>
        <w:rPr>
          <w:rFonts w:ascii="Arial" w:cs="Arial" w:eastAsia="Arial" w:hAnsi="Arial"/>
          <w:sz w:val="18"/>
          <w:szCs w:val="18"/>
          <w:color w:val="auto"/>
        </w:rPr>
        <w:t>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w:t>
      </w:r>
      <w:r>
        <w:rPr>
          <w:rFonts w:ascii="MS PGothic" w:cs="MS PGothic" w:eastAsia="MS PGothic" w:hAnsi="MS PGothic"/>
          <w:sz w:val="16"/>
          <w:szCs w:val="16"/>
          <w:color w:val="auto"/>
        </w:rPr>
        <w:t>‑</w:t>
      </w:r>
      <w:r>
        <w:rPr>
          <w:rFonts w:ascii="Arial" w:cs="Arial" w:eastAsia="Arial" w:hAnsi="Arial"/>
          <w:sz w:val="16"/>
          <w:szCs w:val="16"/>
          <w:color w:val="auto"/>
        </w:rPr>
        <w:t>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20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82"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w:t>
      </w:r>
      <w:r>
        <w:rPr>
          <w:rFonts w:ascii="MS PGothic" w:cs="MS PGothic" w:eastAsia="MS PGothic" w:hAnsi="MS PGothic"/>
          <w:sz w:val="17"/>
          <w:szCs w:val="17"/>
          <w:color w:val="auto"/>
        </w:rPr>
        <w:t>‑</w:t>
      </w:r>
      <w:r>
        <w:rPr>
          <w:rFonts w:ascii="Arial" w:cs="Arial" w:eastAsia="Arial" w:hAnsi="Arial"/>
          <w:sz w:val="17"/>
          <w:szCs w:val="17"/>
          <w:color w:val="auto"/>
        </w:rPr>
        <w:t>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2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67" w:lineRule="exact"/>
        <w:rPr>
          <w:sz w:val="20"/>
          <w:szCs w:val="20"/>
          <w:color w:val="auto"/>
        </w:rPr>
      </w:pPr>
    </w:p>
    <w:p>
      <w:pPr>
        <w:ind w:right="260" w:firstLine="648"/>
        <w:spacing w:after="0" w:line="218" w:lineRule="exact"/>
        <w:rPr>
          <w:sz w:val="20"/>
          <w:szCs w:val="20"/>
          <w:color w:val="auto"/>
        </w:rPr>
      </w:pPr>
      <w:r>
        <w:rPr>
          <w:rFonts w:ascii="Arial" w:cs="Arial" w:eastAsia="Arial" w:hAnsi="Arial"/>
          <w:sz w:val="16"/>
          <w:szCs w:val="16"/>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w:t>
      </w:r>
      <w:r>
        <w:rPr>
          <w:rFonts w:ascii="MS PGothic" w:cs="MS PGothic" w:eastAsia="MS PGothic" w:hAnsi="MS PGothic"/>
          <w:sz w:val="16"/>
          <w:szCs w:val="16"/>
          <w:color w:val="auto"/>
        </w:rPr>
        <w:t>‑</w:t>
      </w:r>
      <w:r>
        <w:rPr>
          <w:rFonts w:ascii="Arial" w:cs="Arial" w:eastAsia="Arial" w:hAnsi="Arial"/>
          <w:sz w:val="16"/>
          <w:szCs w:val="16"/>
          <w:color w:val="auto"/>
        </w:rPr>
        <w:t>approved Paediatric Investigation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Plan, or PIP, covering all subsets of the pediatric population, unless the EMA has granted (1) a product</w:t>
      </w:r>
      <w:r>
        <w:rPr>
          <w:rFonts w:ascii="MS PGothic" w:cs="MS PGothic" w:eastAsia="MS PGothic" w:hAnsi="MS PGothic"/>
          <w:sz w:val="18"/>
          <w:szCs w:val="18"/>
          <w:color w:val="auto"/>
        </w:rPr>
        <w:t>‑</w:t>
      </w:r>
      <w:r>
        <w:rPr>
          <w:rFonts w:ascii="Arial" w:cs="Arial" w:eastAsia="Arial" w:hAnsi="Arial"/>
          <w:sz w:val="18"/>
          <w:szCs w:val="18"/>
          <w:color w:val="auto"/>
        </w:rPr>
        <w:t>specific waiver, (2) a class waiver or (3) a deferral for one or more of the measures included in the PIP.</w:t>
      </w:r>
    </w:p>
    <w:p>
      <w:pPr>
        <w:spacing w:after="0" w:line="2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centralized procedure, the Committee for Medicinal Products for Human Use, or the CHMP,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the EMA is responsible for conducting the initial assessment of a product. The CHMP is also responsible for several</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authorization and maintenance activities, such as the assessment of modifications or extensions to an existing marketing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authorization. Under the centralized procedure in the European Union, the maximum timeframe for the evaluation of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MAA is 210 days, excluding clock stops, when additional information or written or oral explanation is to be provided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applicant in response to questions of the CHMP. Accelerated evaluation might be granted by the CHMP in exceptional cases,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a medicinal product is of major interest from the point of view of public health and in particular from the viewpoint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therapeutic innovation. If the CHMP accepts such request, the time limit of 210 days will be reduced to 150 days but 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possible that the CHMP can revert to the standard time limit for the centralized procedure if it considers that it is no longer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appropriate to conduct an accelerated assessment. At the end of this period, the CHMP provides a scientific opinion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whether or not a marketing authorization should be granted in relation to a medicinal product. Within 15 calendar days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receipt of a final opinion from the CHMP, the European Commission must prepare a draft decision concerning an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marketing authorization. This draft decision must take the opinion and any relevant provisions of EU law into account.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Before arriving at a final decision on an application for centralized authorization of a medicinal product the European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Commission must consult the Standing Committee on Medicinal Products for Human Use. The Standing Committee is</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composed of representatives of the EU Member States and chaired by a non</w:t>
      </w:r>
      <w:r>
        <w:rPr>
          <w:rFonts w:ascii="MS PGothic" w:cs="MS PGothic" w:eastAsia="MS PGothic" w:hAnsi="MS PGothic"/>
          <w:sz w:val="16"/>
          <w:szCs w:val="16"/>
          <w:color w:val="auto"/>
        </w:rPr>
        <w:t>‑</w:t>
      </w:r>
      <w:r>
        <w:rPr>
          <w:rFonts w:ascii="Arial" w:cs="Arial" w:eastAsia="Arial" w:hAnsi="Arial"/>
          <w:sz w:val="16"/>
          <w:szCs w:val="16"/>
          <w:color w:val="auto"/>
        </w:rPr>
        <w:t>voting European Commission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European Parliament also has a related “droit de regard”. The European Parliament’s role is to ensure that the European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 has not exceeded its powers in deciding to grant or refuse to grant a marketing authorization.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8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8"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 for a period of eight years. During an additional two</w:t>
      </w:r>
      <w:r>
        <w:rPr>
          <w:rFonts w:ascii="MS PGothic" w:cs="MS PGothic" w:eastAsia="MS PGothic" w:hAnsi="MS PGothic"/>
          <w:sz w:val="17"/>
          <w:szCs w:val="17"/>
          <w:color w:val="auto"/>
        </w:rPr>
        <w:t>‑</w:t>
      </w:r>
      <w:r>
        <w:rPr>
          <w:rFonts w:ascii="Arial" w:cs="Arial" w:eastAsia="Arial" w:hAnsi="Arial"/>
          <w:sz w:val="17"/>
          <w:szCs w:val="17"/>
          <w:color w:val="auto"/>
        </w:rPr>
        <w:t>year period of market exclusivity,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generic marketing authorization application can be submitted and authorized, and the innovator’s data may be referenced, but no generic medicinal product can be placed on the European Union market until the expiration of the market exclusivity. The overall 10</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w:t>
      </w:r>
      <w:r>
        <w:rPr>
          <w:rFonts w:ascii="MS PGothic" w:cs="MS PGothic" w:eastAsia="MS PGothic" w:hAnsi="MS PGothic"/>
          <w:sz w:val="17"/>
          <w:szCs w:val="17"/>
          <w:color w:val="auto"/>
        </w:rPr>
        <w:t>‑</w:t>
      </w:r>
      <w:r>
        <w:rPr>
          <w:rFonts w:ascii="Arial" w:cs="Arial" w:eastAsia="Arial" w:hAnsi="Arial"/>
          <w:sz w:val="17"/>
          <w:szCs w:val="17"/>
          <w:color w:val="auto"/>
        </w:rPr>
        <w:t>clinical tests and clinical trials.</w:t>
      </w:r>
    </w:p>
    <w:p>
      <w:pPr>
        <w:spacing w:after="0" w:line="20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w:t>
      </w:r>
      <w:r>
        <w:rPr>
          <w:rFonts w:ascii="MS PGothic" w:cs="MS PGothic" w:eastAsia="MS PGothic" w:hAnsi="MS PGothic"/>
          <w:sz w:val="16"/>
          <w:szCs w:val="16"/>
          <w:color w:val="auto"/>
        </w:rPr>
        <w:t>‑</w:t>
      </w:r>
      <w:r>
        <w:rPr>
          <w:rFonts w:ascii="Arial" w:cs="Arial" w:eastAsia="Arial" w:hAnsi="Arial"/>
          <w:sz w:val="16"/>
          <w:szCs w:val="16"/>
          <w:color w:val="auto"/>
        </w:rPr>
        <w:t>evaluation of the risk</w:t>
      </w:r>
      <w:r>
        <w:rPr>
          <w:rFonts w:ascii="MS PGothic" w:cs="MS PGothic" w:eastAsia="MS PGothic" w:hAnsi="MS PGothic"/>
          <w:sz w:val="16"/>
          <w:szCs w:val="16"/>
          <w:color w:val="auto"/>
        </w:rPr>
        <w:t>‑</w:t>
      </w:r>
      <w:r>
        <w:rPr>
          <w:rFonts w:ascii="Arial" w:cs="Arial" w:eastAsia="Arial" w:hAnsi="Arial"/>
          <w:sz w:val="16"/>
          <w:szCs w:val="16"/>
          <w:color w:val="auto"/>
        </w:rPr>
        <w:t>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w:t>
      </w:r>
      <w:r>
        <w:rPr>
          <w:rFonts w:ascii="MS PGothic" w:cs="MS PGothic" w:eastAsia="MS PGothic" w:hAnsi="MS PGothic"/>
          <w:sz w:val="16"/>
          <w:szCs w:val="16"/>
          <w:color w:val="auto"/>
        </w:rPr>
        <w:t>‑</w:t>
      </w:r>
      <w:r>
        <w:rPr>
          <w:rFonts w:ascii="Arial" w:cs="Arial" w:eastAsia="Arial" w:hAnsi="Arial"/>
          <w:sz w:val="16"/>
          <w:szCs w:val="16"/>
          <w:color w:val="auto"/>
        </w:rPr>
        <w:t>called sunset clause).</w:t>
      </w:r>
    </w:p>
    <w:p>
      <w:pPr>
        <w:spacing w:after="0" w:line="20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 affecting not more than five in 10,000 persons in the European Union when the application is made, or (2)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8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81" w:lineRule="exact"/>
        <w:rPr>
          <w:sz w:val="20"/>
          <w:szCs w:val="20"/>
          <w:color w:val="auto"/>
        </w:rPr>
      </w:pPr>
    </w:p>
    <w:p>
      <w:pPr>
        <w:ind w:left="980" w:right="100" w:hanging="329"/>
        <w:spacing w:after="0" w:line="224" w:lineRule="exact"/>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Compliance with the European Union’s stringent pharmacovigilance or safety reporting rules must be ensured. These rules can impose post</w:t>
      </w:r>
      <w:r>
        <w:rPr>
          <w:rFonts w:ascii="MS PGothic" w:cs="MS PGothic" w:eastAsia="MS PGothic" w:hAnsi="MS PGothic"/>
          <w:sz w:val="17"/>
          <w:szCs w:val="17"/>
          <w:color w:val="auto"/>
        </w:rPr>
        <w:t>‑</w:t>
      </w:r>
      <w:r>
        <w:rPr>
          <w:rFonts w:ascii="Arial" w:cs="Arial" w:eastAsia="Arial" w:hAnsi="Arial"/>
          <w:sz w:val="17"/>
          <w:szCs w:val="17"/>
          <w:color w:val="auto"/>
        </w:rPr>
        <w:t>authorization studies and additional monitoring obligations.</w:t>
      </w:r>
    </w:p>
    <w:p>
      <w:pPr>
        <w:spacing w:after="0" w:line="201" w:lineRule="exact"/>
        <w:rPr>
          <w:rFonts w:ascii="Arial" w:cs="Arial" w:eastAsia="Arial" w:hAnsi="Arial"/>
          <w:sz w:val="17"/>
          <w:szCs w:val="17"/>
          <w:color w:val="auto"/>
        </w:rPr>
      </w:pPr>
    </w:p>
    <w:p>
      <w:pPr>
        <w:ind w:left="980" w:right="40" w:hanging="329"/>
        <w:spacing w:after="0" w:line="28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20"/>
        <w:spacing w:after="0" w:line="302" w:lineRule="auto"/>
        <w:rPr>
          <w:sz w:val="20"/>
          <w:szCs w:val="20"/>
          <w:color w:val="auto"/>
        </w:rPr>
      </w:pPr>
      <w:r>
        <w:rPr>
          <w:rFonts w:ascii="Arial" w:cs="Arial" w:eastAsia="Arial" w:hAnsi="Arial"/>
          <w:sz w:val="16"/>
          <w:szCs w:val="16"/>
          <w:color w:val="auto"/>
        </w:rPr>
        <w:t>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54" w:lineRule="exact"/>
        <w:rPr>
          <w:sz w:val="20"/>
          <w:szCs w:val="20"/>
          <w:color w:val="auto"/>
        </w:rPr>
      </w:pPr>
    </w:p>
    <w:p>
      <w:pPr>
        <w:ind w:left="980" w:right="120" w:hanging="329"/>
        <w:spacing w:after="0" w:line="221" w:lineRule="exact"/>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w:t>
      </w:r>
      <w:r>
        <w:rPr>
          <w:rFonts w:ascii="MS PGothic" w:cs="MS PGothic" w:eastAsia="MS PGothic" w:hAnsi="MS PGothic"/>
          <w:sz w:val="16"/>
          <w:szCs w:val="16"/>
          <w:color w:val="auto"/>
        </w:rPr>
        <w:t>‑</w:t>
      </w:r>
      <w:r>
        <w:rPr>
          <w:rFonts w:ascii="Arial" w:cs="Arial" w:eastAsia="Arial" w:hAnsi="Arial"/>
          <w:sz w:val="16"/>
          <w:szCs w:val="16"/>
          <w:color w:val="auto"/>
        </w:rPr>
        <w:t>sponsored continuing medical education and advertising directed toward the prescribers of drugs and/or the general public, are strictly regulated in the European Union notably under Directive 2001/83EC, as amended, and EU Member State laws.</w:t>
      </w:r>
    </w:p>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a withdrawal agreement or, in the absence of agreement, two years after the United Kingdom provides a notice of withdrawal pursuant to the Treaty on European Union (unless such deadline is extended).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81" w:lineRule="exact"/>
        <w:rPr>
          <w:sz w:val="20"/>
          <w:szCs w:val="20"/>
          <w:color w:val="auto"/>
        </w:rPr>
      </w:pPr>
    </w:p>
    <w:p>
      <w:pPr>
        <w:ind w:left="980" w:right="24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1" w:lineRule="exact"/>
        <w:rPr>
          <w:rFonts w:ascii="Arial" w:cs="Arial" w:eastAsia="Arial" w:hAnsi="Arial"/>
          <w:sz w:val="18"/>
          <w:szCs w:val="18"/>
          <w:color w:val="auto"/>
        </w:rPr>
      </w:pPr>
    </w:p>
    <w:p>
      <w:pPr>
        <w:ind w:left="980" w:hanging="329"/>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81" w:lineRule="exact"/>
        <w:rPr>
          <w:rFonts w:ascii="Arial" w:cs="Arial" w:eastAsia="Arial" w:hAnsi="Arial"/>
          <w:sz w:val="18"/>
          <w:szCs w:val="18"/>
          <w:color w:val="auto"/>
        </w:rPr>
      </w:pPr>
    </w:p>
    <w:p>
      <w:pPr>
        <w:ind w:left="980" w:right="80" w:hanging="329"/>
        <w:spacing w:after="0" w:line="223" w:lineRule="exact"/>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w:t>
      </w:r>
      <w:r>
        <w:rPr>
          <w:rFonts w:ascii="MS PGothic" w:cs="MS PGothic" w:eastAsia="MS PGothic" w:hAnsi="MS PGothic"/>
          <w:sz w:val="16"/>
          <w:szCs w:val="16"/>
          <w:color w:val="auto"/>
        </w:rPr>
        <w:t>‑</w:t>
      </w:r>
      <w:r>
        <w:rPr>
          <w:rFonts w:ascii="Arial" w:cs="Arial" w:eastAsia="Arial" w:hAnsi="Arial"/>
          <w:sz w:val="16"/>
          <w:szCs w:val="16"/>
          <w:color w:val="auto"/>
        </w:rPr>
        <w:t>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As of December 31, 2018, we had 32 full time employees. The members of our management team are employed by both our company and Y</w:t>
      </w:r>
      <w:r>
        <w:rPr>
          <w:rFonts w:ascii="MS PGothic" w:cs="MS PGothic" w:eastAsia="MS PGothic" w:hAnsi="MS PGothic"/>
          <w:sz w:val="16"/>
          <w:szCs w:val="16"/>
          <w:color w:val="auto"/>
        </w:rPr>
        <w:t>‑</w:t>
      </w:r>
      <w:r>
        <w:rPr>
          <w:rFonts w:ascii="Arial" w:cs="Arial" w:eastAsia="Arial" w:hAnsi="Arial"/>
          <w:sz w:val="16"/>
          <w:szCs w:val="16"/>
          <w:color w:val="auto"/>
        </w:rPr>
        <w:t>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were incorporated in Delaware on April 30, 2015. Our principal executive offices are located at 230 Park Avenue, Suite 3350, New York, New York 10169, and our telephone number is (646) 885-8505. Our website address is www.ymabs.com. The information contained on, or accessible through, our website is not incorporated by reference into this Form 10-K, and you should not consider any information contained in, or that can be accessed through, our website as part of this 10-K or in deciding whether to purchase our common stock.</w:t>
      </w:r>
    </w:p>
    <w:p>
      <w:pPr>
        <w:spacing w:after="0" w:line="40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Annual Report on Form 10 K,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47"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biopharmaceutical company with a limited operating history. Since our inception in 2015, we have incurred significant losses. Our net losses were $19.2 million for the year ended December 31, 2017 and $43.3 million for the year ended December 31, 2018. As of December 31, 2018, we had an accumulated deficit of $84.8 million. We have financed our operations principally through private placements and the initial public offering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19" w:lineRule="exact"/>
        <w:rPr>
          <w:sz w:val="20"/>
          <w:szCs w:val="20"/>
          <w:color w:val="auto"/>
        </w:rPr>
      </w:pPr>
      <w:r>
        <w:rPr>
          <w:rFonts w:ascii="Arial" w:cs="Arial" w:eastAsia="Arial" w:hAnsi="Arial"/>
          <w:sz w:val="16"/>
          <w:szCs w:val="16"/>
          <w:color w:val="auto"/>
        </w:rPr>
        <w:t>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w:t>
      </w:r>
      <w:r>
        <w:rPr>
          <w:rFonts w:ascii="MS PGothic" w:cs="MS PGothic" w:eastAsia="MS PGothic" w:hAnsi="MS PGothic"/>
          <w:sz w:val="16"/>
          <w:szCs w:val="16"/>
          <w:color w:val="auto"/>
        </w:rPr>
        <w:t>‑</w:t>
      </w:r>
      <w:r>
        <w:rPr>
          <w:rFonts w:ascii="Arial" w:cs="Arial" w:eastAsia="Arial" w:hAnsi="Arial"/>
          <w:sz w:val="16"/>
          <w:szCs w:val="16"/>
          <w:color w:val="auto"/>
        </w:rPr>
        <w:t>clinical research. As a result, we expect that it will be a number of years, if ever, before we have any of these other product candidates approved and ready for commercialization.</w:t>
      </w:r>
    </w:p>
    <w:p>
      <w:pPr>
        <w:spacing w:after="0" w:line="204" w:lineRule="exact"/>
        <w:rPr>
          <w:sz w:val="20"/>
          <w:szCs w:val="20"/>
          <w:color w:val="auto"/>
        </w:rPr>
      </w:pPr>
    </w:p>
    <w:p>
      <w:pPr>
        <w:ind w:right="79" w:firstLine="648"/>
        <w:spacing w:after="0" w:line="273"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 Our ability to generate revenue and achieve profitability depends significantly on our success in many factors, including:</w:t>
      </w:r>
    </w:p>
    <w:p>
      <w:pPr>
        <w:spacing w:after="0" w:line="178" w:lineRule="exact"/>
        <w:rPr>
          <w:sz w:val="20"/>
          <w:szCs w:val="20"/>
          <w:color w:val="auto"/>
        </w:rPr>
      </w:pPr>
    </w:p>
    <w:p>
      <w:pPr>
        <w:ind w:left="980" w:hanging="329"/>
        <w:spacing w:after="0" w:line="207"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completing research regarding, and non</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 of, our product candidates;</w:t>
      </w:r>
    </w:p>
    <w:p>
      <w:pPr>
        <w:spacing w:after="0" w:line="225" w:lineRule="exact"/>
        <w:rPr>
          <w:rFonts w:ascii="Arial" w:cs="Arial" w:eastAsia="Arial" w:hAnsi="Arial"/>
          <w:sz w:val="18"/>
          <w:szCs w:val="18"/>
          <w:color w:val="auto"/>
        </w:rPr>
      </w:pPr>
    </w:p>
    <w:p>
      <w:pPr>
        <w:ind w:left="980" w:right="359"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170" w:lineRule="exact"/>
        <w:rPr>
          <w:rFonts w:ascii="Arial" w:cs="Arial" w:eastAsia="Arial" w:hAnsi="Arial"/>
          <w:sz w:val="18"/>
          <w:szCs w:val="18"/>
          <w:color w:val="auto"/>
        </w:rPr>
      </w:pPr>
    </w:p>
    <w:p>
      <w:pPr>
        <w:ind w:left="980" w:right="79" w:hanging="329"/>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establishing and maintaining commercially viable supply relationships with third parties or establishing our own manufacturing capabilities and infrastructure;</w:t>
      </w:r>
    </w:p>
    <w:p>
      <w:pPr>
        <w:spacing w:after="0" w:line="181" w:lineRule="exact"/>
        <w:rPr>
          <w:rFonts w:ascii="Arial" w:cs="Arial" w:eastAsia="Arial" w:hAnsi="Arial"/>
          <w:sz w:val="18"/>
          <w:szCs w:val="18"/>
          <w:color w:val="auto"/>
        </w:rPr>
      </w:pPr>
    </w:p>
    <w:p>
      <w:pPr>
        <w:ind w:left="980" w:right="299" w:hanging="329"/>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w:t>
      </w:r>
    </w:p>
    <w:p>
      <w:pPr>
        <w:spacing w:after="0" w:line="248" w:lineRule="exact"/>
        <w:rPr>
          <w:rFonts w:ascii="Arial" w:cs="Arial" w:eastAsia="Arial" w:hAnsi="Arial"/>
          <w:sz w:val="16"/>
          <w:szCs w:val="16"/>
          <w:color w:val="auto"/>
        </w:rPr>
      </w:pPr>
    </w:p>
    <w:p>
      <w:pPr>
        <w:ind w:left="980" w:right="359" w:hanging="329"/>
        <w:spacing w:after="0" w:line="223"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right="99" w:firstLine="648"/>
        <w:spacing w:after="0" w:line="217" w:lineRule="exact"/>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w:t>
      </w:r>
      <w:r>
        <w:rPr>
          <w:rFonts w:ascii="MS PGothic" w:cs="MS PGothic" w:eastAsia="MS PGothic" w:hAnsi="MS PGothic"/>
          <w:sz w:val="16"/>
          <w:szCs w:val="16"/>
          <w:color w:val="auto"/>
        </w:rPr>
        <w:t>‑</w:t>
      </w:r>
      <w:r>
        <w:rPr>
          <w:rFonts w:ascii="Arial" w:cs="Arial" w:eastAsia="Arial" w:hAnsi="Arial"/>
          <w:sz w:val="16"/>
          <w:szCs w:val="16"/>
          <w:color w:val="auto"/>
        </w:rPr>
        <w:t>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our lead product candidates, conducting pre</w:t>
      </w:r>
      <w:r>
        <w:rPr>
          <w:rFonts w:ascii="MS PGothic" w:cs="MS PGothic" w:eastAsia="MS PGothic" w:hAnsi="MS PGothic"/>
          <w:sz w:val="17"/>
          <w:szCs w:val="17"/>
          <w:color w:val="auto"/>
        </w:rPr>
        <w:t>‑</w:t>
      </w:r>
      <w:r>
        <w:rPr>
          <w:rFonts w:ascii="Arial" w:cs="Arial" w:eastAsia="Arial" w:hAnsi="Arial"/>
          <w:sz w:val="17"/>
          <w:szCs w:val="17"/>
          <w:color w:val="auto"/>
        </w:rPr>
        <w:t>clinical studies of our other product candidates, and identifying additional potential product candidates. 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marketing approvals, manufacture a commercial</w:t>
      </w:r>
      <w:r>
        <w:rPr>
          <w:rFonts w:ascii="MS PGothic" w:cs="MS PGothic" w:eastAsia="MS PGothic" w:hAnsi="MS PGothic"/>
          <w:sz w:val="17"/>
          <w:szCs w:val="17"/>
          <w:color w:val="auto"/>
        </w:rPr>
        <w:t>‑</w:t>
      </w:r>
      <w:r>
        <w:rPr>
          <w:rFonts w:ascii="Arial" w:cs="Arial" w:eastAsia="Arial" w:hAnsi="Arial"/>
          <w:sz w:val="17"/>
          <w:szCs w:val="17"/>
          <w:color w:val="auto"/>
        </w:rPr>
        <w:t>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81"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through 2020. As licensed product candidates progress through clinical development and 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we achieve certain amounts of sales of licensed products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$20,000,000. Under the MSK CD33 License, we are obligated to make potential payments of $550,000, $500,000 and $7,500,000 for clinical, regulatory and sales based milestones, respectively. In addition, we have committed to acquire certain personnel and laboratory services at MSK under a Master Data Services Agreement, or MDSA, and two separate Core Facility Service Agreements, or CFSAs. We have also entered into an Investigator</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Master Clinical Trial Agreement, or MCTA, under which we will provide drug product and funding for certain clinical trials at MSK under separate appendices to be executed. Additionally, we entered into a Sponsored Research Agreement, or the SRA, with MSK pursuant to which we agreed to pay MSK to conduct certain research projects over a period of five years related to the intellectual property licensed under the MSK License. We also entered into a Sponsored Research Agreement, or the CD33 SRA, in connection with the MSK CD33 License, pursuant to which we committed to provide aggregate research funding to MSK annually for a term of two years.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in connection with our Phase 2 trials for Study 101. Additionally, we entered into a Sublicense Agreement, or the MabVax Sublicense, with MabVax Therapeutics Holdings, Inc., or MabVax, pursuant to which MabVax granted us all of the exclusive rights granted to MabVax under its license agreement with MSK, or the MabVax</w:t>
      </w:r>
      <w:r>
        <w:rPr>
          <w:rFonts w:ascii="MS PGothic" w:cs="MS PGothic" w:eastAsia="MS PGothic" w:hAnsi="MS PGothic"/>
          <w:sz w:val="16"/>
          <w:szCs w:val="16"/>
          <w:color w:val="auto"/>
        </w:rPr>
        <w:t>‑</w:t>
      </w:r>
      <w:r>
        <w:rPr>
          <w:rFonts w:ascii="Arial" w:cs="Arial" w:eastAsia="Arial" w:hAnsi="Arial"/>
          <w:sz w:val="16"/>
          <w:szCs w:val="16"/>
          <w:color w:val="auto"/>
        </w:rPr>
        <w:t>MSK License, for a bi</w:t>
      </w:r>
      <w:r>
        <w:rPr>
          <w:rFonts w:ascii="MS PGothic" w:cs="MS PGothic" w:eastAsia="MS PGothic" w:hAnsi="MS PGothic"/>
          <w:sz w:val="16"/>
          <w:szCs w:val="16"/>
          <w:color w:val="auto"/>
        </w:rPr>
        <w:t>‑</w:t>
      </w:r>
      <w:r>
        <w:rPr>
          <w:rFonts w:ascii="Arial" w:cs="Arial" w:eastAsia="Arial" w:hAnsi="Arial"/>
          <w:sz w:val="16"/>
          <w:szCs w:val="16"/>
          <w:color w:val="auto"/>
        </w:rPr>
        <w:t>valent ganglioside based vaccine intended to treat NB, or the NB vaccine. In addition to the upfront payment of $700,000 that we have made under the terms of MabVax Sublicense, we have agreed to make an additional payment of $600,000 on the first anniversary of the MabVax Sublicense. We will also be responsible for any potential downstream payment obligations to MSK related to the NB vaccine that were specified in the MabVax</w:t>
      </w:r>
      <w:r>
        <w:rPr>
          <w:rFonts w:ascii="MS PGothic" w:cs="MS PGothic" w:eastAsia="MS PGothic" w:hAnsi="MS PGothic"/>
          <w:sz w:val="16"/>
          <w:szCs w:val="16"/>
          <w:color w:val="auto"/>
        </w:rPr>
        <w:t>‑</w:t>
      </w:r>
      <w:r>
        <w:rPr>
          <w:rFonts w:ascii="Arial" w:cs="Arial" w:eastAsia="Arial" w:hAnsi="Arial"/>
          <w:sz w:val="16"/>
          <w:szCs w:val="16"/>
          <w:color w:val="auto"/>
        </w:rPr>
        <w:t>MSK license agreement. This includes the obligation to pay development milestones totaling $1,400,000 and mid single</w:t>
      </w:r>
      <w:r>
        <w:rPr>
          <w:rFonts w:ascii="MS PGothic" w:cs="MS PGothic" w:eastAsia="MS PGothic" w:hAnsi="MS PGothic"/>
          <w:sz w:val="16"/>
          <w:szCs w:val="16"/>
          <w:color w:val="auto"/>
        </w:rPr>
        <w:t>‑</w:t>
      </w:r>
      <w:r>
        <w:rPr>
          <w:rFonts w:ascii="Arial" w:cs="Arial" w:eastAsia="Arial" w:hAnsi="Arial"/>
          <w:sz w:val="16"/>
          <w:szCs w:val="16"/>
          <w:color w:val="auto"/>
        </w:rPr>
        <w:t>digit royalty payments to MSK.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47"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Developing pharmaceutical products, including conducting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is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21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of December 31, 2018, we had approximately $147.8 million in cash and cash equivalents. We believe that our cash and cash equivalents, will be sufficient to fund our operations through the fourth quarter of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product candidates on terms unfavorable to us.</w:t>
      </w:r>
    </w:p>
    <w:p>
      <w:pPr>
        <w:spacing w:after="0" w:line="170"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w:t>
      </w:r>
      <w:r>
        <w:rPr>
          <w:rFonts w:ascii="MS PGothic" w:cs="MS PGothic" w:eastAsia="MS PGothic" w:hAnsi="MS PGothic"/>
          <w:sz w:val="16"/>
          <w:szCs w:val="16"/>
          <w:color w:val="auto"/>
        </w:rPr>
        <w:t>‑</w:t>
      </w:r>
      <w:r>
        <w:rPr>
          <w:rFonts w:ascii="Arial" w:cs="Arial" w:eastAsia="Arial" w:hAnsi="Arial"/>
          <w:sz w:val="16"/>
          <w:szCs w:val="16"/>
          <w:color w:val="auto"/>
        </w:rPr>
        <w:t>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which may adversely affect our management’s ability to oversee the development of our product candidates.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1" w:lineRule="exact"/>
        <w:rPr>
          <w:sz w:val="20"/>
          <w:szCs w:val="20"/>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980" w:right="20" w:hanging="329"/>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rFonts w:ascii="Arial" w:cs="Arial" w:eastAsia="Arial" w:hAnsi="Arial"/>
          <w:sz w:val="18"/>
          <w:szCs w:val="18"/>
          <w:color w:val="auto"/>
        </w:rPr>
      </w:pPr>
    </w:p>
    <w:p>
      <w:pPr>
        <w:ind w:left="980" w:right="120" w:hanging="329"/>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w:t>
      </w:r>
      <w:r>
        <w:rPr>
          <w:rFonts w:ascii="MS PGothic" w:cs="MS PGothic" w:eastAsia="MS PGothic" w:hAnsi="MS PGothic"/>
          <w:sz w:val="17"/>
          <w:szCs w:val="17"/>
          <w:color w:val="auto"/>
        </w:rPr>
        <w:t>‑</w:t>
      </w:r>
      <w:r>
        <w:rPr>
          <w:rFonts w:ascii="Arial" w:cs="Arial" w:eastAsia="Arial" w:hAnsi="Arial"/>
          <w:sz w:val="17"/>
          <w:szCs w:val="17"/>
          <w:color w:val="auto"/>
        </w:rPr>
        <w:t>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204" w:lineRule="exact"/>
        <w:rPr>
          <w:sz w:val="20"/>
          <w:szCs w:val="20"/>
          <w:color w:val="auto"/>
        </w:rPr>
      </w:pPr>
    </w:p>
    <w:p>
      <w:pPr>
        <w:jc w:val="both"/>
        <w:ind w:right="560"/>
        <w:spacing w:after="0" w:line="381" w:lineRule="auto"/>
        <w:rPr>
          <w:sz w:val="20"/>
          <w:szCs w:val="20"/>
          <w:color w:val="auto"/>
        </w:rPr>
      </w:pPr>
      <w:r>
        <w:rPr>
          <w:rFonts w:ascii="Arial" w:cs="Arial" w:eastAsia="Arial" w:hAnsi="Arial"/>
          <w:sz w:val="15"/>
          <w:szCs w:val="15"/>
          <w:b w:val="1"/>
          <w:bCs w:val="1"/>
          <w:i w:val="1"/>
          <w:iCs w:val="1"/>
          <w:color w:val="auto"/>
        </w:rPr>
        <w:t>We may expand our resources to pursue a particular product candidate or indication and fail to capitalize on other product candidates or indications that may be more profitable or for which there is a greater likelihood of success.</w:t>
      </w:r>
    </w:p>
    <w:p>
      <w:pPr>
        <w:spacing w:after="0" w:line="10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cases in which it would have been more advantageous for us to retain sole development and commercialization rights to such product candidate or product.</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78" w:lineRule="exact"/>
        <w:rPr>
          <w:sz w:val="20"/>
          <w:szCs w:val="20"/>
          <w:color w:val="auto"/>
        </w:rPr>
      </w:pPr>
    </w:p>
    <w:p>
      <w:pPr>
        <w:ind w:right="80" w:firstLine="648"/>
        <w:spacing w:after="0" w:line="217" w:lineRule="exact"/>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being a public company, we will be required, 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to furnish a report by our management on, among other things, the effectiveness of our internal control over financial reporting beginning with the annual report for our fiscal year 2019.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audit of our financial statements for the year ended December 31, 2017 it was determined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we lack a sufficient number of trained professionals with an appropriate level of accounting knowledge, training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 to: (a) design and maintain formal accounting policies, procedures and controls over the fair presentation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(b) analyze, record and disclose complex accounting matters timely and accurately, including</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share</w:t>
      </w:r>
      <w:r>
        <w:rPr>
          <w:rFonts w:ascii="MS PGothic" w:cs="MS PGothic" w:eastAsia="MS PGothic" w:hAnsi="MS PGothic"/>
          <w:sz w:val="16"/>
          <w:szCs w:val="16"/>
          <w:color w:val="auto"/>
        </w:rPr>
        <w:t>‑</w:t>
      </w:r>
      <w:r>
        <w:rPr>
          <w:rFonts w:ascii="Arial" w:cs="Arial" w:eastAsia="Arial" w:hAnsi="Arial"/>
          <w:sz w:val="16"/>
          <w:szCs w:val="16"/>
          <w:color w:val="auto"/>
        </w:rPr>
        <w:t>based compensation arrangements and accounting for license arrangements; and (c) design and maintain controls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and review of account reconciliations, journal entries and financial statements, including maintaining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appropriate segregation of duties.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6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have hired finance professionals in 2018 with the plan to help mitigate the identified material weaknesses and are evaluating the implementation of additional procedures to address these material weaknesses.</w:t>
      </w:r>
    </w:p>
    <w:p>
      <w:pPr>
        <w:spacing w:after="0" w:line="14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cannot assure you however that these or other measures will fully remediate the material weaknesses described above in a timely manner. We have commenced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3"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the filing of this annual report on Form 10-K with the SEC, or the date we are no longer an “emerging growth company” as defined in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JOBS Act, if we take advantage (as we expect to do) of the exemptions contained in the JOBS Act. We will remain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 for up to five years, although if the market value of our common stock that is held by</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affiliates exceeds $700.0 million as of June 30 of any year before that time, we would cease to be an “emerging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as of December 31 of that year. At such time, our independent registered public accounting firm may issue a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is adverse in the event it is not satisfied with the level at which our controls are documented, designed or operating.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remediation efforts may not enable us to avoid material weaknesses in our internal control over financial reporting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87" w:lineRule="exact"/>
        <w:rPr>
          <w:sz w:val="20"/>
          <w:szCs w:val="20"/>
          <w:color w:val="auto"/>
        </w:rPr>
      </w:pPr>
    </w:p>
    <w:p>
      <w:pPr>
        <w:ind w:right="100" w:firstLine="648"/>
        <w:spacing w:after="0" w:line="217" w:lineRule="exact"/>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w:t>
      </w:r>
      <w:r>
        <w:rPr>
          <w:rFonts w:ascii="MS PGothic" w:cs="MS PGothic" w:eastAsia="MS PGothic" w:hAnsi="MS PGothic"/>
          <w:sz w:val="16"/>
          <w:szCs w:val="16"/>
          <w:color w:val="auto"/>
        </w:rPr>
        <w:t>‑</w:t>
      </w:r>
      <w:r>
        <w:rPr>
          <w:rFonts w:ascii="Arial" w:cs="Arial" w:eastAsia="Arial" w:hAnsi="Arial"/>
          <w:sz w:val="16"/>
          <w:szCs w:val="16"/>
          <w:color w:val="auto"/>
        </w:rPr>
        <w:t>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20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170" w:lineRule="exact"/>
        <w:rPr>
          <w:sz w:val="20"/>
          <w:szCs w:val="20"/>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980" w:right="22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980" w:right="480" w:hanging="329"/>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extent of any required post</w:t>
      </w:r>
      <w:r>
        <w:rPr>
          <w:rFonts w:ascii="MS PGothic" w:cs="MS PGothic" w:eastAsia="MS PGothic" w:hAnsi="MS PGothic"/>
          <w:sz w:val="18"/>
          <w:szCs w:val="18"/>
          <w:color w:val="auto"/>
        </w:rPr>
        <w:t>‑</w:t>
      </w:r>
      <w:r>
        <w:rPr>
          <w:rFonts w:ascii="Arial" w:cs="Arial" w:eastAsia="Arial" w:hAnsi="Arial"/>
          <w:sz w:val="18"/>
          <w:szCs w:val="18"/>
          <w:color w:val="auto"/>
        </w:rPr>
        <w:t>marketing approval commitments to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880" w:hanging="329"/>
        <w:spacing w:after="0" w:line="223" w:lineRule="exact"/>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of supply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raw materials and drug product suppliers and manufacturers;</w:t>
      </w:r>
    </w:p>
    <w:p>
      <w:pPr>
        <w:spacing w:after="0" w:line="203" w:lineRule="exact"/>
        <w:rPr>
          <w:rFonts w:ascii="Arial" w:cs="Arial" w:eastAsia="Arial" w:hAnsi="Arial"/>
          <w:sz w:val="18"/>
          <w:szCs w:val="18"/>
          <w:color w:val="auto"/>
        </w:rPr>
      </w:pPr>
    </w:p>
    <w:p>
      <w:pPr>
        <w:ind w:left="980" w:right="20" w:hanging="329"/>
        <w:spacing w:after="0" w:line="223" w:lineRule="exact"/>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obtain finished products that are appropriately packaged for sale;</w:t>
      </w:r>
    </w:p>
    <w:p>
      <w:pPr>
        <w:spacing w:after="0" w:line="203" w:lineRule="exact"/>
        <w:rPr>
          <w:rFonts w:ascii="Arial" w:cs="Arial" w:eastAsia="Arial" w:hAnsi="Arial"/>
          <w:sz w:val="18"/>
          <w:szCs w:val="18"/>
          <w:color w:val="auto"/>
        </w:rPr>
      </w:pPr>
    </w:p>
    <w:p>
      <w:pPr>
        <w:ind w:left="980" w:right="48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980" w:right="120" w:hanging="329"/>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 launch of our products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w:t>
      </w:r>
      <w:r>
        <w:rPr>
          <w:rFonts w:ascii="MS PGothic" w:cs="MS PGothic" w:eastAsia="MS PGothic" w:hAnsi="MS PGothic"/>
          <w:sz w:val="17"/>
          <w:szCs w:val="17"/>
          <w:color w:val="auto"/>
        </w:rPr>
        <w:t>‑</w:t>
      </w:r>
      <w:r>
        <w:rPr>
          <w:rFonts w:ascii="Arial" w:cs="Arial" w:eastAsia="Arial" w:hAnsi="Arial"/>
          <w:sz w:val="17"/>
          <w:szCs w:val="17"/>
          <w:color w:val="auto"/>
        </w:rPr>
        <w:t>party payors; and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58"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w:t>
      </w:r>
      <w:r>
        <w:rPr>
          <w:rFonts w:ascii="MS PGothic" w:cs="MS PGothic" w:eastAsia="MS PGothic" w:hAnsi="MS PGothic"/>
          <w:sz w:val="17"/>
          <w:szCs w:val="17"/>
          <w:color w:val="auto"/>
        </w:rPr>
        <w:t>‑</w:t>
      </w:r>
      <w:r>
        <w:rPr>
          <w:rFonts w:ascii="Arial" w:cs="Arial" w:eastAsia="Arial" w:hAnsi="Arial"/>
          <w:sz w:val="17"/>
          <w:szCs w:val="17"/>
          <w:color w:val="auto"/>
        </w:rPr>
        <w:t>clinical studies and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 may not be predictive of the success of later clinical trials, and interim results of a clinical trial, such as the results of our ongoing clinical trials of our lead product candidates, do not necessarily predict final results. Moreover,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data are often susceptible to varying interpretations and analyses, and many companies that have believed their product candidates performed satisfactorily in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have nonetheless failed to obtain marketing approval of their drugs.</w:t>
      </w:r>
    </w:p>
    <w:p>
      <w:pPr>
        <w:spacing w:after="0" w:line="20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and it may indicate that the market opportunity for our product candidates is smaller than we expect.</w:t>
      </w:r>
    </w:p>
    <w:p>
      <w:pPr>
        <w:spacing w:after="0" w:line="187"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and broader indications, including use of our product candidates for front</w:t>
      </w:r>
      <w:r>
        <w:rPr>
          <w:rFonts w:ascii="MS PGothic" w:cs="MS PGothic" w:eastAsia="MS PGothic" w:hAnsi="MS PGothic"/>
          <w:sz w:val="17"/>
          <w:szCs w:val="17"/>
          <w:color w:val="auto"/>
        </w:rPr>
        <w:t>‑</w:t>
      </w:r>
      <w:r>
        <w:rPr>
          <w:rFonts w:ascii="Arial" w:cs="Arial" w:eastAsia="Arial" w:hAnsi="Arial"/>
          <w:sz w:val="17"/>
          <w:szCs w:val="17"/>
          <w:color w:val="auto"/>
        </w:rPr>
        <w:t>line and second</w:t>
      </w:r>
      <w:r>
        <w:rPr>
          <w:rFonts w:ascii="MS PGothic" w:cs="MS PGothic" w:eastAsia="MS PGothic" w:hAnsi="MS PGothic"/>
          <w:sz w:val="17"/>
          <w:szCs w:val="17"/>
          <w:color w:val="auto"/>
        </w:rPr>
        <w:t>‑</w:t>
      </w:r>
      <w:r>
        <w:rPr>
          <w:rFonts w:ascii="Arial" w:cs="Arial" w:eastAsia="Arial" w:hAnsi="Arial"/>
          <w:sz w:val="17"/>
          <w:szCs w:val="17"/>
          <w:color w:val="auto"/>
        </w:rPr>
        <w:t>line therapy.</w:t>
      </w:r>
    </w:p>
    <w:p>
      <w:pPr>
        <w:spacing w:after="0" w:line="206" w:lineRule="exact"/>
        <w:rPr>
          <w:sz w:val="20"/>
          <w:szCs w:val="20"/>
          <w:color w:val="auto"/>
        </w:rPr>
      </w:pPr>
    </w:p>
    <w:p>
      <w:pPr>
        <w:ind w:right="60" w:firstLine="648"/>
        <w:spacing w:after="0" w:line="219" w:lineRule="exact"/>
        <w:rPr>
          <w:sz w:val="20"/>
          <w:szCs w:val="20"/>
          <w:color w:val="auto"/>
        </w:rPr>
      </w:pPr>
      <w:r>
        <w:rPr>
          <w:rFonts w:ascii="Arial" w:cs="Arial" w:eastAsia="Arial" w:hAnsi="Arial"/>
          <w:sz w:val="18"/>
          <w:szCs w:val="18"/>
          <w:color w:val="auto"/>
        </w:rPr>
        <w:t>We expect to initially seek approval of some of our product candidates as second or third</w:t>
      </w:r>
      <w:r>
        <w:rPr>
          <w:rFonts w:ascii="MS PGothic" w:cs="MS PGothic" w:eastAsia="MS PGothic" w:hAnsi="MS PGothic"/>
          <w:sz w:val="18"/>
          <w:szCs w:val="18"/>
          <w:color w:val="auto"/>
        </w:rPr>
        <w:t>‑</w:t>
      </w:r>
      <w:r>
        <w:rPr>
          <w:rFonts w:ascii="Arial" w:cs="Arial" w:eastAsia="Arial" w:hAnsi="Arial"/>
          <w:sz w:val="18"/>
          <w:szCs w:val="18"/>
          <w:color w:val="auto"/>
        </w:rPr>
        <w:t>line therapies for patients who have failed other approved treatments. Subsequently, for those product candidates that prove to be sufficiently beneficial, if any, we would expect to seek approval as a second</w:t>
      </w:r>
      <w:r>
        <w:rPr>
          <w:rFonts w:ascii="MS PGothic" w:cs="MS PGothic" w:eastAsia="MS PGothic" w:hAnsi="MS PGothic"/>
          <w:sz w:val="18"/>
          <w:szCs w:val="18"/>
          <w:color w:val="auto"/>
        </w:rPr>
        <w:t>‑</w:t>
      </w:r>
      <w:r>
        <w:rPr>
          <w:rFonts w:ascii="Arial" w:cs="Arial" w:eastAsia="Arial" w:hAnsi="Arial"/>
          <w:sz w:val="18"/>
          <w:szCs w:val="18"/>
          <w:color w:val="auto"/>
        </w:rPr>
        <w:t>line therapy and potentially as a front</w:t>
      </w:r>
      <w:r>
        <w:rPr>
          <w:rFonts w:ascii="MS PGothic" w:cs="MS PGothic" w:eastAsia="MS PGothic" w:hAnsi="MS PGothic"/>
          <w:sz w:val="18"/>
          <w:szCs w:val="18"/>
          <w:color w:val="auto"/>
        </w:rPr>
        <w:t>‑</w:t>
      </w:r>
      <w:r>
        <w:rPr>
          <w:rFonts w:ascii="Arial" w:cs="Arial" w:eastAsia="Arial" w:hAnsi="Arial"/>
          <w:sz w:val="18"/>
          <w:szCs w:val="18"/>
          <w:color w:val="auto"/>
        </w:rPr>
        <w:t>line therapy, but there is no guarantee that our product candidates, even if approved for third</w:t>
      </w:r>
      <w:r>
        <w:rPr>
          <w:rFonts w:ascii="MS PGothic" w:cs="MS PGothic" w:eastAsia="MS PGothic" w:hAnsi="MS PGothic"/>
          <w:sz w:val="18"/>
          <w:szCs w:val="18"/>
          <w:color w:val="auto"/>
        </w:rPr>
        <w:t>‑</w:t>
      </w:r>
      <w:r>
        <w:rPr>
          <w:rFonts w:ascii="Arial" w:cs="Arial" w:eastAsia="Arial" w:hAnsi="Arial"/>
          <w:sz w:val="18"/>
          <w:szCs w:val="18"/>
          <w:color w:val="auto"/>
        </w:rPr>
        <w:t>line therapy, would be approved for second</w:t>
      </w:r>
      <w:r>
        <w:rPr>
          <w:rFonts w:ascii="MS PGothic" w:cs="MS PGothic" w:eastAsia="MS PGothic" w:hAnsi="MS PGothic"/>
          <w:sz w:val="18"/>
          <w:szCs w:val="18"/>
          <w:color w:val="auto"/>
        </w:rPr>
        <w:t>‑</w:t>
      </w:r>
      <w:r>
        <w:rPr>
          <w:rFonts w:ascii="Arial" w:cs="Arial" w:eastAsia="Arial" w:hAnsi="Arial"/>
          <w:sz w:val="18"/>
          <w:szCs w:val="18"/>
          <w:color w:val="auto"/>
        </w:rPr>
        <w:t>line or front</w:t>
      </w:r>
      <w:r>
        <w:rPr>
          <w:rFonts w:ascii="MS PGothic" w:cs="MS PGothic" w:eastAsia="MS PGothic" w:hAnsi="MS PGothic"/>
          <w:sz w:val="18"/>
          <w:szCs w:val="18"/>
          <w:color w:val="auto"/>
        </w:rPr>
        <w:t>‑</w:t>
      </w:r>
      <w:r>
        <w:rPr>
          <w:rFonts w:ascii="Arial" w:cs="Arial" w:eastAsia="Arial" w:hAnsi="Arial"/>
          <w:sz w:val="18"/>
          <w:szCs w:val="18"/>
          <w:color w:val="auto"/>
        </w:rPr>
        <w:t>line therapy. In addition, we may have to conduct additional clinical trials prior to gaining approval for second</w:t>
      </w:r>
      <w:r>
        <w:rPr>
          <w:rFonts w:ascii="MS PGothic" w:cs="MS PGothic" w:eastAsia="MS PGothic" w:hAnsi="MS PGothic"/>
          <w:sz w:val="18"/>
          <w:szCs w:val="18"/>
          <w:color w:val="auto"/>
        </w:rPr>
        <w:t>‑</w:t>
      </w:r>
      <w:r>
        <w:rPr>
          <w:rFonts w:ascii="Arial" w:cs="Arial" w:eastAsia="Arial" w:hAnsi="Arial"/>
          <w:sz w:val="18"/>
          <w:szCs w:val="18"/>
          <w:color w:val="auto"/>
        </w:rPr>
        <w:t>line or front</w:t>
      </w:r>
      <w:r>
        <w:rPr>
          <w:rFonts w:ascii="MS PGothic" w:cs="MS PGothic" w:eastAsia="MS PGothic" w:hAnsi="MS PGothic"/>
          <w:sz w:val="18"/>
          <w:szCs w:val="18"/>
          <w:color w:val="auto"/>
        </w:rPr>
        <w:t>‑</w:t>
      </w:r>
      <w:r>
        <w:rPr>
          <w:rFonts w:ascii="Arial" w:cs="Arial" w:eastAsia="Arial" w:hAnsi="Arial"/>
          <w:sz w:val="18"/>
          <w:szCs w:val="18"/>
          <w:color w:val="auto"/>
        </w:rPr>
        <w:t>line therapy.</w:t>
      </w:r>
    </w:p>
    <w:p>
      <w:pPr>
        <w:spacing w:after="0" w:line="2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980" w:right="26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980" w:right="360" w:hanging="329"/>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cancer treatment, potential patients and their doctors may be inclined to only use conventional therapies, such as chemotherapy and radiation, rather than enroll patients in any future clinical trial.</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8" w:lineRule="exact"/>
        <w:rPr>
          <w:sz w:val="20"/>
          <w:szCs w:val="20"/>
          <w:color w:val="auto"/>
        </w:rPr>
      </w:pPr>
    </w:p>
    <w:p>
      <w:pPr>
        <w:ind w:right="160" w:firstLine="648"/>
        <w:spacing w:after="0" w:line="219" w:lineRule="exact"/>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w:t>
      </w:r>
      <w:r>
        <w:rPr>
          <w:rFonts w:ascii="MS PGothic" w:cs="MS PGothic" w:eastAsia="MS PGothic" w:hAnsi="MS PGothic"/>
          <w:sz w:val="18"/>
          <w:szCs w:val="18"/>
          <w:color w:val="auto"/>
        </w:rPr>
        <w:t>‑</w:t>
      </w:r>
      <w:r>
        <w:rPr>
          <w:rFonts w:ascii="Arial" w:cs="Arial" w:eastAsia="Arial" w:hAnsi="Arial"/>
          <w:sz w:val="18"/>
          <w:szCs w:val="18"/>
          <w:color w:val="auto"/>
        </w:rPr>
        <w:t>term toxicities among patients treated with our lead product candidates.</w:t>
      </w:r>
    </w:p>
    <w:p>
      <w:pPr>
        <w:spacing w:after="0" w:line="20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Treatment</w:t>
      </w:r>
      <w:r>
        <w:rPr>
          <w:rFonts w:ascii="MS PGothic" w:cs="MS PGothic" w:eastAsia="MS PGothic" w:hAnsi="MS PGothic"/>
          <w:sz w:val="17"/>
          <w:szCs w:val="17"/>
          <w:color w:val="auto"/>
        </w:rPr>
        <w:t>‑</w:t>
      </w:r>
      <w:r>
        <w:rPr>
          <w:rFonts w:ascii="Arial" w:cs="Arial" w:eastAsia="Arial" w:hAnsi="Arial"/>
          <w:sz w:val="17"/>
          <w:szCs w:val="17"/>
          <w:color w:val="auto"/>
        </w:rPr>
        <w: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205"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w:t>
      </w:r>
      <w:r>
        <w:rPr>
          <w:rFonts w:ascii="MS PGothic" w:cs="MS PGothic" w:eastAsia="MS PGothic" w:hAnsi="MS PGothic"/>
          <w:sz w:val="16"/>
          <w:szCs w:val="16"/>
          <w:color w:val="auto"/>
        </w:rPr>
        <w:t>‑</w:t>
      </w:r>
      <w:r>
        <w:rPr>
          <w:rFonts w:ascii="Arial" w:cs="Arial" w:eastAsia="Arial" w:hAnsi="Arial"/>
          <w:sz w:val="16"/>
          <w:szCs w:val="16"/>
          <w:color w:val="auto"/>
        </w:rPr>
        <w:t>term follow</w:t>
      </w:r>
      <w:r>
        <w:rPr>
          <w:rFonts w:ascii="MS PGothic" w:cs="MS PGothic" w:eastAsia="MS PGothic" w:hAnsi="MS PGothic"/>
          <w:sz w:val="16"/>
          <w:szCs w:val="16"/>
          <w:color w:val="auto"/>
        </w:rPr>
        <w:t>‑</w:t>
      </w:r>
      <w:r>
        <w:rPr>
          <w:rFonts w:ascii="Arial" w:cs="Arial" w:eastAsia="Arial" w:hAnsi="Arial"/>
          <w:sz w:val="16"/>
          <w:szCs w:val="16"/>
          <w:color w:val="auto"/>
        </w:rPr>
        <w:t>up observation period recommended or required for patients who receive treatment using our products, a number of potentially significant negative consequences could result, including:</w:t>
      </w:r>
    </w:p>
    <w:p>
      <w:pPr>
        <w:spacing w:after="0" w:line="205"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980" w:right="78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may narrow the indications for use or require additional warnings on the label, such as a “black box” warning or a contraindication, or impose distribution or use restrictions;</w:t>
      </w:r>
    </w:p>
    <w:p>
      <w:pPr>
        <w:spacing w:after="0" w:line="170" w:lineRule="exact"/>
        <w:rPr>
          <w:rFonts w:ascii="Arial" w:cs="Arial" w:eastAsia="Arial" w:hAnsi="Arial"/>
          <w:sz w:val="18"/>
          <w:szCs w:val="18"/>
          <w:color w:val="auto"/>
        </w:rPr>
      </w:pPr>
    </w:p>
    <w:p>
      <w:pPr>
        <w:ind w:left="980" w:right="60" w:hanging="329"/>
        <w:spacing w:after="0" w:line="286"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560" w:hanging="329"/>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right="60"/>
        <w:spacing w:after="0" w:line="219" w:lineRule="exact"/>
        <w:rPr>
          <w:sz w:val="20"/>
          <w:szCs w:val="20"/>
          <w:color w:val="auto"/>
        </w:rPr>
      </w:pPr>
      <w:r>
        <w:rPr>
          <w:rFonts w:ascii="Arial" w:cs="Arial" w:eastAsia="Arial" w:hAnsi="Arial"/>
          <w:sz w:val="16"/>
          <w:szCs w:val="16"/>
          <w:b w:val="1"/>
          <w:bCs w:val="1"/>
          <w:i w:val="1"/>
          <w:iCs w:val="1"/>
          <w:color w:val="auto"/>
        </w:rPr>
        <w:t>The outcome of pre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204"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Success in pre</w:t>
      </w:r>
      <w:r>
        <w:rPr>
          <w:rFonts w:ascii="MS PGothic" w:cs="MS PGothic" w:eastAsia="MS PGothic" w:hAnsi="MS PGothic"/>
          <w:sz w:val="16"/>
          <w:szCs w:val="16"/>
          <w:color w:val="auto"/>
        </w:rPr>
        <w:t>‑</w:t>
      </w:r>
      <w:r>
        <w:rPr>
          <w:rFonts w:ascii="Arial" w:cs="Arial" w:eastAsia="Arial" w:hAnsi="Arial"/>
          <w:sz w:val="16"/>
          <w:szCs w:val="16"/>
          <w:color w:val="auto"/>
        </w:rPr>
        <w:t>clinical studies and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does not mean that future larger registration clinical trials will be successful because product candidates in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 may fail to demonstrate sufficient safety and efficacy to the satisfaction of the FDA and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despite having progressed through pre</w:t>
      </w:r>
      <w:r>
        <w:rPr>
          <w:rFonts w:ascii="MS PGothic" w:cs="MS PGothic" w:eastAsia="MS PGothic" w:hAnsi="MS PGothic"/>
          <w:sz w:val="16"/>
          <w:szCs w:val="16"/>
          <w:color w:val="auto"/>
        </w:rPr>
        <w:t>‑</w:t>
      </w:r>
      <w:r>
        <w:rPr>
          <w:rFonts w:ascii="Arial" w:cs="Arial" w:eastAsia="Arial" w:hAnsi="Arial"/>
          <w:sz w:val="16"/>
          <w:szCs w:val="16"/>
          <w:color w:val="auto"/>
        </w:rPr>
        <w:t>clinical studies and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Product candidates that have shown promising results in pre</w:t>
      </w:r>
      <w:r>
        <w:rPr>
          <w:rFonts w:ascii="MS PGothic" w:cs="MS PGothic" w:eastAsia="MS PGothic" w:hAnsi="MS PGothic"/>
          <w:sz w:val="16"/>
          <w:szCs w:val="16"/>
          <w:color w:val="auto"/>
        </w:rPr>
        <w:t>‑</w:t>
      </w:r>
      <w:r>
        <w:rPr>
          <w:rFonts w:ascii="Arial" w:cs="Arial" w:eastAsia="Arial" w:hAnsi="Arial"/>
          <w:sz w:val="16"/>
          <w:szCs w:val="16"/>
          <w:color w:val="auto"/>
        </w:rPr>
        <w:t>clinical studies and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may still suffer significant setbacks in subsequent clinical trials. Additionally, the outcome of pre</w:t>
      </w:r>
      <w:r>
        <w:rPr>
          <w:rFonts w:ascii="MS PGothic" w:cs="MS PGothic" w:eastAsia="MS PGothic" w:hAnsi="MS PGothic"/>
          <w:sz w:val="16"/>
          <w:szCs w:val="16"/>
          <w:color w:val="auto"/>
        </w:rPr>
        <w:t>‑</w:t>
      </w:r>
      <w:r>
        <w:rPr>
          <w:rFonts w:ascii="Arial" w:cs="Arial" w:eastAsia="Arial" w:hAnsi="Arial"/>
          <w:sz w:val="16"/>
          <w:szCs w:val="16"/>
          <w:color w:val="auto"/>
        </w:rPr>
        <w:t>clinical studies and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may not be predictive of the success of larger,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3"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8"/>
          <w:szCs w:val="18"/>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w:t>
      </w:r>
      <w:r>
        <w:rPr>
          <w:rFonts w:ascii="MS PGothic" w:cs="MS PGothic" w:eastAsia="MS PGothic" w:hAnsi="MS PGothic"/>
          <w:sz w:val="18"/>
          <w:szCs w:val="18"/>
          <w:color w:val="auto"/>
        </w:rPr>
        <w:t>‑</w:t>
      </w:r>
      <w:r>
        <w:rPr>
          <w:rFonts w:ascii="Arial" w:cs="Arial" w:eastAsia="Arial" w:hAnsi="Arial"/>
          <w:sz w:val="18"/>
          <w:szCs w:val="18"/>
          <w:color w:val="auto"/>
        </w:rPr>
        <w:t>clinical studies and earlier clinical trials.</w:t>
      </w:r>
    </w:p>
    <w:p>
      <w:pPr>
        <w:spacing w:after="0" w:line="20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9"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IND, which allows otherwise unaffected parts of the clinical work to proceed under the IND. The FDA stated that the</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proposed acceptance criterion for the ADCC</w:t>
      </w:r>
      <w:r>
        <w:rPr>
          <w:rFonts w:ascii="MS PGothic" w:cs="MS PGothic" w:eastAsia="MS PGothic" w:hAnsi="MS PGothic"/>
          <w:sz w:val="17"/>
          <w:szCs w:val="17"/>
          <w:color w:val="auto"/>
        </w:rPr>
        <w:t>‑</w:t>
      </w:r>
      <w:r>
        <w:rPr>
          <w:rFonts w:ascii="Arial" w:cs="Arial" w:eastAsia="Arial" w:hAnsi="Arial"/>
          <w:sz w:val="17"/>
          <w:szCs w:val="17"/>
          <w:color w:val="auto"/>
        </w:rPr>
        <w:t>CD16, ADCC</w:t>
      </w:r>
      <w:r>
        <w:rPr>
          <w:rFonts w:ascii="MS PGothic" w:cs="MS PGothic" w:eastAsia="MS PGothic" w:hAnsi="MS PGothic"/>
          <w:sz w:val="17"/>
          <w:szCs w:val="17"/>
          <w:color w:val="auto"/>
        </w:rPr>
        <w:t>‑</w:t>
      </w:r>
      <w:r>
        <w:rPr>
          <w:rFonts w:ascii="Arial" w:cs="Arial" w:eastAsia="Arial" w:hAnsi="Arial"/>
          <w:sz w:val="17"/>
          <w:szCs w:val="17"/>
          <w:color w:val="auto"/>
        </w:rPr>
        <w:t>CD32, and CDC assays were too wide to provide sufficient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control over these attributes, which are critical for safety and efficacy. ADCC and CDC refer to antibody dependent</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cell</w:t>
      </w:r>
      <w:r>
        <w:rPr>
          <w:rFonts w:ascii="MS PGothic" w:cs="MS PGothic" w:eastAsia="MS PGothic" w:hAnsi="MS PGothic"/>
          <w:sz w:val="17"/>
          <w:szCs w:val="17"/>
          <w:color w:val="auto"/>
        </w:rPr>
        <w:t>‑</w:t>
      </w:r>
      <w:r>
        <w:rPr>
          <w:rFonts w:ascii="Arial" w:cs="Arial" w:eastAsia="Arial" w:hAnsi="Arial"/>
          <w:sz w:val="17"/>
          <w:szCs w:val="17"/>
          <w:color w:val="auto"/>
        </w:rPr>
        <w:t>mediated cytotoxicity and complement</w:t>
      </w:r>
      <w:r>
        <w:rPr>
          <w:rFonts w:ascii="MS PGothic" w:cs="MS PGothic" w:eastAsia="MS PGothic" w:hAnsi="MS PGothic"/>
          <w:sz w:val="17"/>
          <w:szCs w:val="17"/>
          <w:color w:val="auto"/>
        </w:rPr>
        <w:t>‑</w:t>
      </w:r>
      <w:r>
        <w:rPr>
          <w:rFonts w:ascii="Arial" w:cs="Arial" w:eastAsia="Arial" w:hAnsi="Arial"/>
          <w:sz w:val="17"/>
          <w:szCs w:val="17"/>
          <w:color w:val="auto"/>
        </w:rPr>
        <w:t>dependent cytotoxicity, respectively. We submitted a response to the FDA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2018, and met with the FDA in April 2018. Subsequently, we submitted a complete response to the partial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 to the FDA in May 2018 and the partial clinical hold was removed in June 2018. One or more clinical trials of our lead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may be subject to additional clinical holds in the future, which may ultimately delay or otherwise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the clinical development of our lead product candidates.</w:t>
      </w:r>
    </w:p>
    <w:p>
      <w:pPr>
        <w:spacing w:after="0" w:line="21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In addition, we have initiated Study 101 and Study 201 to form the primary basis for our planned BLAs, to establish comparability of study population and phamacokinetics analysis with Study 03</w:t>
      </w:r>
      <w:r>
        <w:rPr>
          <w:rFonts w:ascii="MS PGothic" w:cs="MS PGothic" w:eastAsia="MS PGothic" w:hAnsi="MS PGothic"/>
          <w:sz w:val="17"/>
          <w:szCs w:val="17"/>
          <w:color w:val="auto"/>
        </w:rPr>
        <w:t>‑</w:t>
      </w:r>
      <w:r>
        <w:rPr>
          <w:rFonts w:ascii="Arial" w:cs="Arial" w:eastAsia="Arial" w:hAnsi="Arial"/>
          <w:sz w:val="17"/>
          <w:szCs w:val="17"/>
          <w:color w:val="auto"/>
        </w:rPr>
        <w:t>133 and Study 12</w:t>
      </w:r>
      <w:r>
        <w:rPr>
          <w:rFonts w:ascii="MS PGothic" w:cs="MS PGothic" w:eastAsia="MS PGothic" w:hAnsi="MS PGothic"/>
          <w:sz w:val="17"/>
          <w:szCs w:val="17"/>
          <w:color w:val="auto"/>
        </w:rPr>
        <w:t>‑</w:t>
      </w:r>
      <w:r>
        <w:rPr>
          <w:rFonts w:ascii="Arial" w:cs="Arial" w:eastAsia="Arial" w:hAnsi="Arial"/>
          <w:sz w:val="17"/>
          <w:szCs w:val="17"/>
          <w:color w:val="auto"/>
        </w:rPr>
        <w:t>230, respectively, and to satisfy the confirmatory study and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Further, our product candidates may not be approved even if they achieve their primary endpoints in Phase 3 trials or other pivotal trials. The FDA or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may disagree with our trial design, our interpretation of data from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The FDA or other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may not approve the labeling claims that we believe would be necessary or desirable for the successful commercialization of our product candidates.</w:t>
      </w:r>
    </w:p>
    <w:p>
      <w:pPr>
        <w:spacing w:after="0" w:line="208"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w:t>
      </w:r>
      <w:r>
        <w:rPr>
          <w:rFonts w:ascii="MS PGothic" w:cs="MS PGothic" w:eastAsia="MS PGothic" w:hAnsi="MS PGothic"/>
          <w:sz w:val="16"/>
          <w:szCs w:val="16"/>
          <w:color w:val="auto"/>
        </w:rPr>
        <w:t>‑</w:t>
      </w:r>
      <w:r>
        <w:rPr>
          <w:rFonts w:ascii="Arial" w:cs="Arial" w:eastAsia="Arial" w:hAnsi="Arial"/>
          <w:sz w:val="16"/>
          <w:szCs w:val="16"/>
          <w:color w:val="auto"/>
        </w:rPr>
        <w:t>clinical studies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studies, and, with respect to approval in the United States, to the satisfaction of the FDA, that the product candidate is safe and effective for use for that target indication. There is no assurance that the FDA or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will consider our future clinical trials to be sufficient to serve as the basis for approval of one of our product candidates for any indication. The FDA and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20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our cash and cash equivalents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67" w:lineRule="exact"/>
        <w:rPr>
          <w:sz w:val="20"/>
          <w:szCs w:val="20"/>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product candidates may not succeed in pre</w:t>
      </w:r>
      <w:r>
        <w:rPr>
          <w:rFonts w:ascii="MS PGothic" w:cs="MS PGothic" w:eastAsia="MS PGothic" w:hAnsi="MS PGothic"/>
          <w:sz w:val="18"/>
          <w:szCs w:val="18"/>
          <w:color w:val="auto"/>
        </w:rPr>
        <w:t>‑</w:t>
      </w:r>
      <w:r>
        <w:rPr>
          <w:rFonts w:ascii="Arial" w:cs="Arial" w:eastAsia="Arial" w:hAnsi="Arial"/>
          <w:sz w:val="18"/>
          <w:szCs w:val="18"/>
          <w:color w:val="auto"/>
        </w:rPr>
        <w:t>clinical or clinical testing;</w:t>
      </w:r>
    </w:p>
    <w:p>
      <w:pPr>
        <w:spacing w:after="0" w:line="225" w:lineRule="exact"/>
        <w:rPr>
          <w:rFonts w:ascii="Arial" w:cs="Arial" w:eastAsia="Arial" w:hAnsi="Arial"/>
          <w:sz w:val="18"/>
          <w:szCs w:val="18"/>
          <w:color w:val="auto"/>
        </w:rPr>
      </w:pPr>
    </w:p>
    <w:p>
      <w:pPr>
        <w:ind w:left="980" w:right="360" w:hanging="329"/>
        <w:spacing w:after="0" w:line="342"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auto"/>
        </w:rPr>
      </w:pPr>
    </w:p>
    <w:p>
      <w:pPr>
        <w:ind w:left="980" w:right="180" w:hanging="329"/>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980" w:right="20" w:hanging="329"/>
        <w:spacing w:after="0" w:line="223" w:lineRule="exact"/>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w:t>
      </w:r>
      <w:r>
        <w:rPr>
          <w:rFonts w:ascii="MS PGothic" w:cs="MS PGothic" w:eastAsia="MS PGothic" w:hAnsi="MS PGothic"/>
          <w:sz w:val="18"/>
          <w:szCs w:val="18"/>
          <w:color w:val="auto"/>
        </w:rPr>
        <w:t>‑</w:t>
      </w:r>
      <w:r>
        <w:rPr>
          <w:rFonts w:ascii="Arial" w:cs="Arial" w:eastAsia="Arial" w:hAnsi="Arial"/>
          <w:sz w:val="18"/>
          <w:szCs w:val="18"/>
          <w:color w:val="auto"/>
        </w:rPr>
        <w:t>party payors, if applicable.</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1"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w:t>
      </w:r>
      <w:r>
        <w:rPr>
          <w:rFonts w:ascii="MS PGothic" w:cs="MS PGothic" w:eastAsia="MS PGothic" w:hAnsi="MS PGothic"/>
          <w:sz w:val="17"/>
          <w:szCs w:val="17"/>
          <w:color w:val="auto"/>
        </w:rPr>
        <w:t>‑</w:t>
      </w:r>
      <w:r>
        <w:rPr>
          <w:rFonts w:ascii="Arial" w:cs="Arial" w:eastAsia="Arial" w:hAnsi="Arial"/>
          <w:sz w:val="17"/>
          <w:szCs w:val="17"/>
          <w:color w:val="auto"/>
        </w:rPr>
        <w:t>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203" w:lineRule="exact"/>
        <w:rPr>
          <w:sz w:val="20"/>
          <w:szCs w:val="20"/>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980" w:right="100" w:hanging="329"/>
        <w:spacing w:after="0" w:line="223" w:lineRule="exact"/>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w:t>
      </w:r>
      <w:r>
        <w:rPr>
          <w:rFonts w:ascii="MS PGothic" w:cs="MS PGothic" w:eastAsia="MS PGothic" w:hAnsi="MS PGothic"/>
          <w:sz w:val="18"/>
          <w:szCs w:val="18"/>
          <w:color w:val="auto"/>
        </w:rPr>
        <w:t>‑</w:t>
      </w:r>
      <w:r>
        <w:rPr>
          <w:rFonts w:ascii="Arial" w:cs="Arial" w:eastAsia="Arial" w:hAnsi="Arial"/>
          <w:sz w:val="18"/>
          <w:szCs w:val="18"/>
          <w:color w:val="auto"/>
        </w:rPr>
        <w:t>term follow</w:t>
      </w:r>
      <w:r>
        <w:rPr>
          <w:rFonts w:ascii="MS PGothic" w:cs="MS PGothic" w:eastAsia="MS PGothic" w:hAnsi="MS PGothic"/>
          <w:sz w:val="18"/>
          <w:szCs w:val="18"/>
          <w:color w:val="auto"/>
        </w:rPr>
        <w:t>‑</w:t>
      </w:r>
      <w:r>
        <w:rPr>
          <w:rFonts w:ascii="Arial" w:cs="Arial" w:eastAsia="Arial" w:hAnsi="Arial"/>
          <w:sz w:val="18"/>
          <w:szCs w:val="18"/>
          <w:color w:val="auto"/>
        </w:rPr>
        <w:t>up for all patients who receive the product;</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treatment guidelines as a first</w:t>
      </w:r>
      <w:r>
        <w:rPr>
          <w:rFonts w:ascii="MS PGothic" w:cs="MS PGothic" w:eastAsia="MS PGothic" w:hAnsi="MS PGothic"/>
          <w:sz w:val="16"/>
          <w:szCs w:val="16"/>
          <w:color w:val="auto"/>
        </w:rPr>
        <w:t>‑</w:t>
      </w:r>
      <w:r>
        <w:rPr>
          <w:rFonts w:ascii="Arial" w:cs="Arial" w:eastAsia="Arial" w:hAnsi="Arial"/>
          <w:sz w:val="16"/>
          <w:szCs w:val="16"/>
          <w:color w:val="auto"/>
        </w:rPr>
        <w:t>, second</w:t>
      </w:r>
      <w:r>
        <w:rPr>
          <w:rFonts w:ascii="MS PGothic" w:cs="MS PGothic" w:eastAsia="MS PGothic" w:hAnsi="MS PGothic"/>
          <w:sz w:val="16"/>
          <w:szCs w:val="16"/>
          <w:color w:val="auto"/>
        </w:rPr>
        <w:t>‑</w:t>
      </w:r>
      <w:r>
        <w:rPr>
          <w:rFonts w:ascii="Arial" w:cs="Arial" w:eastAsia="Arial" w:hAnsi="Arial"/>
          <w:sz w:val="16"/>
          <w:szCs w:val="16"/>
          <w:color w:val="auto"/>
        </w:rPr>
        <w:t xml:space="preserve"> or third</w:t>
      </w:r>
      <w:r>
        <w:rPr>
          <w:rFonts w:ascii="MS PGothic" w:cs="MS PGothic" w:eastAsia="MS PGothic" w:hAnsi="MS PGothic"/>
          <w:sz w:val="16"/>
          <w:szCs w:val="16"/>
          <w:color w:val="auto"/>
        </w:rPr>
        <w:t>‑</w:t>
      </w:r>
      <w:r>
        <w:rPr>
          <w:rFonts w:ascii="Arial" w:cs="Arial" w:eastAsia="Arial" w:hAnsi="Arial"/>
          <w:sz w:val="16"/>
          <w:szCs w:val="16"/>
          <w:color w:val="auto"/>
        </w:rPr>
        <w:t>line therapy;</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ability, or the ability of any potential future collaborators, to offer the product for sale at competitive prices;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 and</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currently have only a limited marketing and sales organization and have only limited experience in marketing products. We may not be successful in commercializing our product candidates if and when they are approved unless we are able to expand our sales and marketing capabilities or enter into agreements with third parties to sell and market such approved products.</w:t>
      </w:r>
    </w:p>
    <w:p>
      <w:pPr>
        <w:spacing w:after="0" w:line="18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We only have a limited sales or marketing infrastructure and have only limited experience in the sale or marketing of pharmaceutical drugs. We are not currently a party to a strategic collaboration that provides us with access to a collaborator’s resources in selling or marketing drugs. To achieve commercial success for any approved drug we must either further develop a sales and marketing organization or outsource these functions to strategic collaborators and other third parties. In the future, we may choose to build a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some of our product candidates if and when they are approved, or enter into collaborations with respect to the sale and marketing of our product candidates.</w:t>
      </w:r>
    </w:p>
    <w:p>
      <w:pPr>
        <w:spacing w:after="0" w:line="207"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right="280" w:hanging="329"/>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70" w:lineRule="exact"/>
        <w:rPr>
          <w:rFonts w:ascii="Arial" w:cs="Arial" w:eastAsia="Arial" w:hAnsi="Arial"/>
          <w:sz w:val="18"/>
          <w:szCs w:val="18"/>
          <w:color w:val="auto"/>
        </w:rPr>
      </w:pPr>
    </w:p>
    <w:p>
      <w:pPr>
        <w:ind w:left="980" w:right="820" w:hanging="329"/>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980" w:hanging="329"/>
        <w:spacing w:after="0" w:line="184" w:lineRule="exact"/>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inability to obtain sufficient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and governmental agencies.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further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1" w:lineRule="exact"/>
        <w:rPr>
          <w:sz w:val="20"/>
          <w:szCs w:val="20"/>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980" w:right="80" w:hanging="329"/>
        <w:spacing w:after="0" w:line="221" w:lineRule="exact"/>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w:t>
      </w:r>
      <w:r>
        <w:rPr>
          <w:rFonts w:ascii="MS PGothic" w:cs="MS PGothic" w:eastAsia="MS PGothic" w:hAnsi="MS PGothic"/>
          <w:sz w:val="18"/>
          <w:szCs w:val="18"/>
          <w:color w:val="auto"/>
        </w:rPr>
        <w:t>‑</w:t>
      </w:r>
      <w:r>
        <w:rPr>
          <w:rFonts w:ascii="Arial" w:cs="Arial" w:eastAsia="Arial" w:hAnsi="Arial"/>
          <w:sz w:val="18"/>
          <w:szCs w:val="18"/>
          <w:color w:val="auto"/>
        </w:rPr>
        <w:t>Money Laundering Program as required by the Bank Secrecy Act and its implementing regulations, or comparable foreign laws;</w:t>
      </w:r>
    </w:p>
    <w:p>
      <w:pPr>
        <w:spacing w:after="0" w:line="201" w:lineRule="exact"/>
        <w:rPr>
          <w:rFonts w:ascii="Arial" w:cs="Arial" w:eastAsia="Arial" w:hAnsi="Arial"/>
          <w:sz w:val="18"/>
          <w:szCs w:val="18"/>
          <w:color w:val="auto"/>
        </w:rPr>
      </w:pPr>
    </w:p>
    <w:p>
      <w:pPr>
        <w:ind w:left="980" w:right="180" w:hanging="329"/>
        <w:spacing w:after="0" w:line="30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980" w:right="380" w:hanging="329"/>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business interruptions resulting from geo</w:t>
      </w:r>
      <w:r>
        <w:rPr>
          <w:rFonts w:ascii="MS PGothic" w:cs="MS PGothic" w:eastAsia="MS PGothic" w:hAnsi="MS PGothic"/>
          <w:sz w:val="18"/>
          <w:szCs w:val="18"/>
          <w:color w:val="auto"/>
        </w:rPr>
        <w:t>‑</w:t>
      </w:r>
      <w:r>
        <w:rPr>
          <w:rFonts w:ascii="Arial" w:cs="Arial" w:eastAsia="Arial" w:hAnsi="Arial"/>
          <w:sz w:val="18"/>
          <w:szCs w:val="18"/>
          <w:color w:val="auto"/>
        </w:rPr>
        <w:t>political actions, including war and terrorism.</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biopharmaceutical industry, and the market for developing antibody</w:t>
      </w:r>
      <w:r>
        <w:rPr>
          <w:rFonts w:ascii="MS PGothic" w:cs="MS PGothic" w:eastAsia="MS PGothic" w:hAnsi="MS PGothic"/>
          <w:sz w:val="17"/>
          <w:szCs w:val="17"/>
          <w:color w:val="auto"/>
        </w:rPr>
        <w:t>‑</w:t>
      </w:r>
      <w:r>
        <w:rPr>
          <w:rFonts w:ascii="Arial" w:cs="Arial" w:eastAsia="Arial" w:hAnsi="Arial"/>
          <w:sz w:val="17"/>
          <w:szCs w:val="17"/>
          <w:color w:val="auto"/>
        </w:rPr>
        <w:t>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w:t>
      </w:r>
      <w:r>
        <w:rPr>
          <w:rFonts w:ascii="MS PGothic" w:cs="MS PGothic" w:eastAsia="MS PGothic" w:hAnsi="MS PGothic"/>
          <w:sz w:val="17"/>
          <w:szCs w:val="17"/>
          <w:color w:val="auto"/>
        </w:rPr>
        <w:t>‑</w:t>
      </w:r>
      <w:r>
        <w:rPr>
          <w:rFonts w:ascii="Arial" w:cs="Arial" w:eastAsia="Arial" w:hAnsi="Arial"/>
          <w:sz w:val="17"/>
          <w:szCs w:val="17"/>
          <w:color w:val="auto"/>
        </w:rPr>
        <w:t>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208"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Specifically, MacroGenics, Inc. and Daiichi Sankyo Co. are developing antibodies against B7</w:t>
      </w:r>
      <w:r>
        <w:rPr>
          <w:rFonts w:ascii="MS PGothic" w:cs="MS PGothic" w:eastAsia="MS PGothic" w:hAnsi="MS PGothic"/>
          <w:sz w:val="17"/>
          <w:szCs w:val="17"/>
          <w:color w:val="auto"/>
        </w:rPr>
        <w:t>‑</w:t>
      </w:r>
      <w:r>
        <w:rPr>
          <w:rFonts w:ascii="Arial" w:cs="Arial" w:eastAsia="Arial" w:hAnsi="Arial"/>
          <w:sz w:val="17"/>
          <w:szCs w:val="17"/>
          <w:color w:val="auto"/>
        </w:rPr>
        <w:t>H3. United Therapeutics Corporation has commercialized Unituxin (dinutuximab), an antibody against GD2, in the United States. United Therapeutics Corporation has also announced that it is developing a humanized GD2 antibody. In addition, naxitamab may face competition from dinutuximab beta, a similar antibody product against GD2 developed by Apeiron Biologics AG, or Apeiron, that was approved in Europe in May 2017 to treat high</w:t>
      </w:r>
      <w:r>
        <w:rPr>
          <w:rFonts w:ascii="MS PGothic" w:cs="MS PGothic" w:eastAsia="MS PGothic" w:hAnsi="MS PGothic"/>
          <w:sz w:val="17"/>
          <w:szCs w:val="17"/>
          <w:color w:val="auto"/>
        </w:rPr>
        <w:t>‑</w:t>
      </w:r>
      <w:r>
        <w:rPr>
          <w:rFonts w:ascii="Arial" w:cs="Arial" w:eastAsia="Arial" w:hAnsi="Arial"/>
          <w:sz w:val="17"/>
          <w:szCs w:val="17"/>
          <w:color w:val="auto"/>
        </w:rPr>
        <w:t>risk NB and R/R NB. Apeiron has previously announced plans to file for registration of dinutuximab beta in the U.S. in the first quarter of 2019. In October 2016, EUSA Pharma (UK) Ltd., or EUSA, announced that it had acquired global commercialization rights to dinutuximab beta, which is currently being commercialized under the name Qarziba</w:t>
      </w:r>
      <w:r>
        <w:rPr>
          <w:rFonts w:ascii="Arial" w:cs="Arial" w:eastAsia="Arial" w:hAnsi="Arial"/>
          <w:sz w:val="8"/>
          <w:szCs w:val="8"/>
          <w:color w:val="auto"/>
        </w:rPr>
        <w:t>®</w:t>
      </w:r>
      <w:r>
        <w:rPr>
          <w:rFonts w:ascii="Arial" w:cs="Arial" w:eastAsia="Arial" w:hAnsi="Arial"/>
          <w:sz w:val="17"/>
          <w:szCs w:val="17"/>
          <w:color w:val="auto"/>
        </w:rPr>
        <w:t xml:space="preserve"> in Europe.</w:t>
      </w:r>
    </w:p>
    <w:p>
      <w:pPr>
        <w:spacing w:after="0" w:line="2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7"/>
          <w:szCs w:val="17"/>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w:t>
      </w:r>
      <w:r>
        <w:rPr>
          <w:rFonts w:ascii="MS PGothic" w:cs="MS PGothic" w:eastAsia="MS PGothic" w:hAnsi="MS PGothic"/>
          <w:sz w:val="17"/>
          <w:szCs w:val="17"/>
          <w:color w:val="auto"/>
        </w:rPr>
        <w:t>‑</w:t>
      </w:r>
      <w:r>
        <w:rPr>
          <w:rFonts w:ascii="Arial" w:cs="Arial" w:eastAsia="Arial" w:hAnsi="Arial"/>
          <w:sz w:val="17"/>
          <w:szCs w:val="17"/>
          <w:color w:val="auto"/>
        </w:rPr>
        <w:t>term expenditures, issue securities that dilute our existing stockholders, or disrupt our management and business. In addition, we face significant competition in seeking appropriate strategic partners and the negotiation process is time</w:t>
      </w:r>
      <w:r>
        <w:rPr>
          <w:rFonts w:ascii="MS PGothic" w:cs="MS PGothic" w:eastAsia="MS PGothic" w:hAnsi="MS PGothic"/>
          <w:sz w:val="17"/>
          <w:szCs w:val="17"/>
          <w:color w:val="auto"/>
        </w:rPr>
        <w:t>‑</w:t>
      </w:r>
      <w:r>
        <w:rPr>
          <w:rFonts w:ascii="Arial" w:cs="Arial" w:eastAsia="Arial" w:hAnsi="Arial"/>
          <w:sz w:val="17"/>
          <w:szCs w:val="17"/>
          <w:color w:val="auto"/>
        </w:rPr>
        <w:t>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24" w:lineRule="exact"/>
        <w:rPr>
          <w:sz w:val="20"/>
          <w:szCs w:val="20"/>
          <w:color w:val="auto"/>
        </w:rPr>
      </w:pPr>
    </w:p>
    <w:p>
      <w:pPr>
        <w:ind w:left="980" w:right="40" w:hanging="329"/>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980" w:hanging="329"/>
        <w:spacing w:after="0" w:line="25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8" w:lineRule="exact"/>
        <w:rPr>
          <w:rFonts w:ascii="Arial" w:cs="Arial" w:eastAsia="Arial" w:hAnsi="Arial"/>
          <w:sz w:val="18"/>
          <w:szCs w:val="18"/>
          <w:color w:val="auto"/>
        </w:rPr>
      </w:pPr>
    </w:p>
    <w:p>
      <w:pPr>
        <w:jc w:val="both"/>
        <w:ind w:left="980" w:right="60" w:hanging="329"/>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480" w:hanging="329"/>
        <w:spacing w:after="0" w:line="308"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such third parties or any potential future collaborators could independently develop, or develop with third parties, products that compete directly or indirectly with our products or product candidates;</w:t>
      </w:r>
    </w:p>
    <w:p>
      <w:pPr>
        <w:spacing w:after="0" w:line="146" w:lineRule="exact"/>
        <w:rPr>
          <w:rFonts w:ascii="Arial" w:cs="Arial" w:eastAsia="Arial" w:hAnsi="Arial"/>
          <w:sz w:val="17"/>
          <w:szCs w:val="17"/>
          <w:color w:val="auto"/>
        </w:rPr>
      </w:pPr>
    </w:p>
    <w:p>
      <w:pPr>
        <w:ind w:left="980" w:right="60" w:hanging="329"/>
        <w:spacing w:after="0" w:line="259"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6" w:lineRule="exact"/>
        <w:rPr>
          <w:rFonts w:ascii="Arial" w:cs="Arial" w:eastAsia="Arial" w:hAnsi="Arial"/>
          <w:sz w:val="18"/>
          <w:szCs w:val="18"/>
          <w:color w:val="auto"/>
        </w:rPr>
      </w:pPr>
    </w:p>
    <w:p>
      <w:pPr>
        <w:ind w:left="980" w:right="520" w:hanging="329"/>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980" w:right="20" w:hanging="329"/>
        <w:spacing w:after="0" w:line="259"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980" w:right="20" w:hanging="329"/>
        <w:spacing w:after="0" w:line="286"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165" w:lineRule="exact"/>
        <w:rPr>
          <w:rFonts w:ascii="Arial" w:cs="Arial" w:eastAsia="Arial" w:hAnsi="Arial"/>
          <w:sz w:val="17"/>
          <w:szCs w:val="17"/>
          <w:color w:val="auto"/>
        </w:rPr>
      </w:pPr>
    </w:p>
    <w:p>
      <w:pPr>
        <w:ind w:left="980" w:right="440" w:hanging="329"/>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160" w:hanging="329"/>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181" w:lineRule="exact"/>
        <w:rPr>
          <w:rFonts w:ascii="Arial" w:cs="Arial" w:eastAsia="Arial" w:hAnsi="Arial"/>
          <w:sz w:val="18"/>
          <w:szCs w:val="18"/>
          <w:color w:val="auto"/>
        </w:rPr>
      </w:pPr>
    </w:p>
    <w:p>
      <w:pPr>
        <w:ind w:left="980" w:right="20" w:hanging="329"/>
        <w:spacing w:after="0" w:line="221" w:lineRule="exact"/>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own or co</w:t>
      </w:r>
      <w:r>
        <w:rPr>
          <w:rFonts w:ascii="MS PGothic" w:cs="MS PGothic" w:eastAsia="MS PGothic" w:hAnsi="MS PGothic"/>
          <w:sz w:val="18"/>
          <w:szCs w:val="18"/>
          <w:color w:val="auto"/>
        </w:rPr>
        <w:t>‑</w:t>
      </w:r>
      <w:r>
        <w:rPr>
          <w:rFonts w:ascii="Arial" w:cs="Arial" w:eastAsia="Arial" w:hAnsi="Arial"/>
          <w:sz w:val="18"/>
          <w:szCs w:val="18"/>
          <w:color w:val="auto"/>
        </w:rPr>
        <w:t>own intellectual property covering our products that results from our collaborating with them, and in such cases, we would not have the exclusive right to commercialize such intellectual property.</w:t>
      </w:r>
    </w:p>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research and development activities may involve the controlled use of potentially hazardous substances,</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including chemical and biological materials, by us or third parties, such as CROs and CMOs. The use of Iodine</w:t>
      </w:r>
      <w:r>
        <w:rPr>
          <w:rFonts w:ascii="MS PGothic" w:cs="MS PGothic" w:eastAsia="MS PGothic" w:hAnsi="MS PGothic"/>
          <w:sz w:val="17"/>
          <w:szCs w:val="17"/>
          <w:color w:val="auto"/>
        </w:rPr>
        <w:t>‑</w:t>
      </w:r>
      <w:r>
        <w:rPr>
          <w:rFonts w:ascii="Arial" w:cs="Arial" w:eastAsia="Arial" w:hAnsi="Arial"/>
          <w:sz w:val="17"/>
          <w:szCs w:val="17"/>
          <w:color w:val="auto"/>
        </w:rPr>
        <w:t>131,</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Iodine</w:t>
      </w:r>
      <w:r>
        <w:rPr>
          <w:rFonts w:ascii="MS PGothic" w:cs="MS PGothic" w:eastAsia="MS PGothic" w:hAnsi="MS PGothic"/>
          <w:sz w:val="16"/>
          <w:szCs w:val="16"/>
          <w:color w:val="auto"/>
        </w:rPr>
        <w:t>‑</w:t>
      </w:r>
      <w:r>
        <w:rPr>
          <w:rFonts w:ascii="Arial" w:cs="Arial" w:eastAsia="Arial" w:hAnsi="Arial"/>
          <w:sz w:val="16"/>
          <w:szCs w:val="16"/>
          <w:color w:val="auto"/>
        </w:rPr>
        <w:t>124 and Lutetium</w:t>
      </w:r>
      <w:r>
        <w:rPr>
          <w:rFonts w:ascii="MS PGothic" w:cs="MS PGothic" w:eastAsia="MS PGothic" w:hAnsi="MS PGothic"/>
          <w:sz w:val="16"/>
          <w:szCs w:val="16"/>
          <w:color w:val="auto"/>
        </w:rPr>
        <w:t>‑</w:t>
      </w:r>
      <w:r>
        <w:rPr>
          <w:rFonts w:ascii="Arial" w:cs="Arial" w:eastAsia="Arial" w:hAnsi="Arial"/>
          <w:sz w:val="16"/>
          <w:szCs w:val="16"/>
          <w:color w:val="auto"/>
        </w:rPr>
        <w:t>177</w:t>
      </w:r>
      <w:r>
        <w:rPr>
          <w:rFonts w:ascii="MS PGothic" w:cs="MS PGothic" w:eastAsia="MS PGothic" w:hAnsi="MS PGothic"/>
          <w:sz w:val="16"/>
          <w:szCs w:val="16"/>
          <w:color w:val="auto"/>
        </w:rPr>
        <w:t>‑</w:t>
      </w:r>
      <w:r>
        <w:rPr>
          <w:rFonts w:ascii="Arial" w:cs="Arial" w:eastAsia="Arial" w:hAnsi="Arial"/>
          <w:sz w:val="16"/>
          <w:szCs w:val="16"/>
          <w:color w:val="auto"/>
        </w:rPr>
        <w:t>labeled antibody treatments involves the inherent risk of exposure from gamma ray emissions,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can alter or harm healthy cells in the body. We and such third parties are subject to federal, state, and local laws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in the United States and Europe governing the use, manufacture, storage, handling, and disposal of medical and</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hazardous materials. Although we believe that our and such third</w:t>
      </w:r>
      <w:r>
        <w:rPr>
          <w:rFonts w:ascii="MS PGothic" w:cs="MS PGothic" w:eastAsia="MS PGothic" w:hAnsi="MS PGothic"/>
          <w:sz w:val="17"/>
          <w:szCs w:val="17"/>
          <w:color w:val="auto"/>
        </w:rPr>
        <w:t>‑</w:t>
      </w:r>
      <w:r>
        <w:rPr>
          <w:rFonts w:ascii="Arial" w:cs="Arial" w:eastAsia="Arial" w:hAnsi="Arial"/>
          <w:sz w:val="17"/>
          <w:szCs w:val="17"/>
          <w:color w:val="auto"/>
        </w:rPr>
        <w:t>parties’ procedures for using, handling, storing,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disposing of these materials comply with legally prescribed standards, we cannot completely eliminate the risk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contamination or injury resulting from medical or hazardous materials. As a result of any such contamination or injury,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incur liability or local, city, state, or federal authorities may curtail the use of these materials and interrupt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the event of an accident, we could be held liable for damages or penalized with fines, and the liability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 our resources. Compliance with applicable environmental laws and regulations is expensive, and current or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environmental regulations may impair our research, development and production efforts, which could harm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prospects, financial condition, or results of operations. We currently maintain insurance coverage for injuries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hazardous materials we use; however, future claims may exceed the amount of our coverage. Also, we do not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insurance coverage for pollution cleanup and removal. Currently the costs of complying with such federal, state, local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environmental regulations are not significant, and consist primarily of waste disposal expenses. However, they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become expensive, and current or future environmental laws or regulations may impair our research,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production and commercialization efforts.</w:t>
      </w:r>
    </w:p>
    <w:p>
      <w:pPr>
        <w:spacing w:after="0" w:line="211" w:lineRule="exact"/>
        <w:rPr>
          <w:sz w:val="20"/>
          <w:szCs w:val="20"/>
          <w:color w:val="auto"/>
        </w:rPr>
      </w:pPr>
    </w:p>
    <w:p>
      <w:pPr>
        <w:ind w:right="640"/>
        <w:spacing w:after="0" w:line="223" w:lineRule="exact"/>
        <w:rPr>
          <w:sz w:val="20"/>
          <w:szCs w:val="20"/>
          <w:color w:val="auto"/>
        </w:rPr>
      </w:pPr>
      <w:r>
        <w:rPr>
          <w:rFonts w:ascii="Arial" w:cs="Arial" w:eastAsia="Arial" w:hAnsi="Arial"/>
          <w:sz w:val="18"/>
          <w:szCs w:val="18"/>
          <w:b w:val="1"/>
          <w:bCs w:val="1"/>
          <w:i w:val="1"/>
          <w:iCs w:val="1"/>
          <w:color w:val="auto"/>
        </w:rPr>
        <w:t>Our internal computer systems, or those used by our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research institution collaborators, CROs or other contractors or consultants, may fail or suffer security breaches.</w:t>
      </w:r>
    </w:p>
    <w:p>
      <w:pPr>
        <w:spacing w:after="0" w:line="203"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w:t>
      </w:r>
      <w:r>
        <w:rPr>
          <w:rFonts w:ascii="MS PGothic" w:cs="MS PGothic" w:eastAsia="MS PGothic" w:hAnsi="MS PGothic"/>
          <w:sz w:val="17"/>
          <w:szCs w:val="17"/>
          <w:color w:val="auto"/>
        </w:rPr>
        <w:t>‑</w:t>
      </w:r>
      <w:r>
        <w:rPr>
          <w:rFonts w:ascii="Arial" w:cs="Arial" w:eastAsia="Arial" w:hAnsi="Arial"/>
          <w:sz w:val="17"/>
          <w:szCs w:val="17"/>
          <w:color w:val="auto"/>
        </w:rPr>
        <w:t>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Our operations,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w:t>
      </w:r>
      <w:r>
        <w:rPr>
          <w:rFonts w:ascii="MS PGothic" w:cs="MS PGothic" w:eastAsia="MS PGothic" w:hAnsi="MS PGothic"/>
          <w:sz w:val="16"/>
          <w:szCs w:val="16"/>
          <w:color w:val="auto"/>
        </w:rPr>
        <w:t>‑</w:t>
      </w:r>
      <w:r>
        <w:rPr>
          <w:rFonts w:ascii="Arial" w:cs="Arial" w:eastAsia="Arial" w:hAnsi="Arial"/>
          <w:sz w:val="16"/>
          <w:szCs w:val="16"/>
          <w:color w:val="auto"/>
        </w:rPr>
        <w:t>made disasters or business interruptions, for which we are predominantly self</w:t>
      </w:r>
      <w:r>
        <w:rPr>
          <w:rFonts w:ascii="MS PGothic" w:cs="MS PGothic" w:eastAsia="MS PGothic" w:hAnsi="MS PGothic"/>
          <w:sz w:val="16"/>
          <w:szCs w:val="16"/>
          <w:color w:val="auto"/>
        </w:rPr>
        <w:t>‑</w:t>
      </w:r>
      <w:r>
        <w:rPr>
          <w:rFonts w:ascii="Arial" w:cs="Arial" w:eastAsia="Arial" w:hAnsi="Arial"/>
          <w:sz w:val="16"/>
          <w:szCs w:val="16"/>
          <w:color w:val="auto"/>
        </w:rPr>
        <w:t>insured. In addition, we rely on our third</w:t>
      </w:r>
      <w:r>
        <w:rPr>
          <w:rFonts w:ascii="MS PGothic" w:cs="MS PGothic" w:eastAsia="MS PGothic" w:hAnsi="MS PGothic"/>
          <w:sz w:val="16"/>
          <w:szCs w:val="16"/>
          <w:color w:val="auto"/>
        </w:rPr>
        <w:t>‑</w:t>
      </w:r>
      <w:r>
        <w:rPr>
          <w:rFonts w:ascii="Arial" w:cs="Arial" w:eastAsia="Arial" w:hAnsi="Arial"/>
          <w:sz w:val="16"/>
          <w:szCs w:val="16"/>
          <w:color w:val="auto"/>
        </w:rPr>
        <w:t>party research institution collaborators for conducting research and development of our product candidates, and they may be affected by government shutdowns or withdrawn funding. The occurrence of any of these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business disruptions could seriously harm our operations and financial condition and increase our costs and expenses. We rely on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produce and process our product candidates. Our ability to obtain clinical supplies of our product candidates could be disrupted if the operations of these suppliers are affected by a man</w:t>
      </w:r>
      <w:r>
        <w:rPr>
          <w:rFonts w:ascii="MS PGothic" w:cs="MS PGothic" w:eastAsia="MS PGothic" w:hAnsi="MS PGothic"/>
          <w:sz w:val="16"/>
          <w:szCs w:val="16"/>
          <w:color w:val="auto"/>
        </w:rPr>
        <w:t>‑</w:t>
      </w:r>
      <w:r>
        <w:rPr>
          <w:rFonts w:ascii="Arial" w:cs="Arial" w:eastAsia="Arial" w:hAnsi="Arial"/>
          <w:sz w:val="16"/>
          <w:szCs w:val="16"/>
          <w:color w:val="auto"/>
        </w:rPr>
        <w:t>made or natural disaster or other business interruption. Damage or extended periods of interruption to our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2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w:t>
      </w:r>
    </w:p>
    <w:p>
      <w:pPr>
        <w:spacing w:after="0" w:line="252" w:lineRule="auto"/>
        <w:rPr>
          <w:sz w:val="20"/>
          <w:szCs w:val="20"/>
          <w:color w:val="auto"/>
        </w:rPr>
      </w:pPr>
      <w:r>
        <w:rPr>
          <w:rFonts w:ascii="Arial" w:cs="Arial" w:eastAsia="Arial" w:hAnsi="Arial"/>
          <w:sz w:val="18"/>
          <w:szCs w:val="18"/>
          <w:color w:val="auto"/>
        </w:rPr>
        <w:t>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4" w:lineRule="exact"/>
        <w:rPr>
          <w:sz w:val="20"/>
          <w:szCs w:val="20"/>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collaborators. We currently carry $5.0 million of clinical trial insurance and expect to take out additional product liability insurance upon marketing approval of any of our product candidates. The amount of our current clinical trial and our future product liability insurance coverage that we may have, may not be adequate, we may be unable to maintain such insurance, or we may not be able to obtain additional or replacement insurance at a reasonable cost, if at all. Our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b w:val="1"/>
          <w:bCs w:val="1"/>
          <w:i w:val="1"/>
          <w:iCs w:val="1"/>
          <w:color w:val="auto"/>
        </w:rPr>
        <w:t>Third parties have sponsored most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20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w:t>
      </w:r>
      <w:r>
        <w:rPr>
          <w:rFonts w:ascii="MS PGothic" w:cs="MS PGothic" w:eastAsia="MS PGothic" w:hAnsi="MS PGothic"/>
          <w:sz w:val="16"/>
          <w:szCs w:val="16"/>
          <w:color w:val="auto"/>
        </w:rPr>
        <w:t>‑</w:t>
      </w:r>
      <w:r>
        <w:rPr>
          <w:rFonts w:ascii="Arial" w:cs="Arial" w:eastAsia="Arial" w:hAnsi="Arial"/>
          <w:sz w:val="16"/>
          <w:szCs w:val="16"/>
          <w:color w:val="auto"/>
        </w:rPr>
        <w:t>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w:t>
      </w:r>
      <w:r>
        <w:rPr>
          <w:rFonts w:ascii="MS PGothic" w:cs="MS PGothic" w:eastAsia="MS PGothic" w:hAnsi="MS PGothic"/>
          <w:sz w:val="16"/>
          <w:szCs w:val="16"/>
          <w:color w:val="auto"/>
        </w:rPr>
        <w:t>‑</w:t>
      </w:r>
      <w:r>
        <w:rPr>
          <w:rFonts w:ascii="Arial" w:cs="Arial" w:eastAsia="Arial" w:hAnsi="Arial"/>
          <w:sz w:val="16"/>
          <w:szCs w:val="16"/>
          <w:color w:val="auto"/>
        </w:rPr>
        <w:t>sponsored INDs, all of which will cause us to incur substantial additional expenses and may be subject to delay. Failure to obtain, or delays in obtaining, sponsorship of INDs or in filing new company</w:t>
      </w:r>
      <w:r>
        <w:rPr>
          <w:rFonts w:ascii="MS PGothic" w:cs="MS PGothic" w:eastAsia="MS PGothic" w:hAnsi="MS PGothic"/>
          <w:sz w:val="16"/>
          <w:szCs w:val="16"/>
          <w:color w:val="auto"/>
        </w:rPr>
        <w:t>‑</w:t>
      </w:r>
      <w:r>
        <w:rPr>
          <w:rFonts w:ascii="Arial" w:cs="Arial" w:eastAsia="Arial" w:hAnsi="Arial"/>
          <w:sz w:val="16"/>
          <w:szCs w:val="16"/>
          <w:color w:val="auto"/>
        </w:rPr>
        <w:t>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20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w:t>
      </w:r>
      <w:r>
        <w:rPr>
          <w:rFonts w:ascii="MS PGothic" w:cs="MS PGothic" w:eastAsia="MS PGothic" w:hAnsi="MS PGothic"/>
          <w:sz w:val="17"/>
          <w:szCs w:val="17"/>
          <w:color w:val="auto"/>
        </w:rPr>
        <w:t>‑</w:t>
      </w:r>
      <w:r>
        <w:rPr>
          <w:rFonts w:ascii="Arial" w:cs="Arial" w:eastAsia="Arial" w:hAnsi="Arial"/>
          <w:sz w:val="17"/>
          <w:szCs w:val="17"/>
          <w:color w:val="auto"/>
        </w:rPr>
        <w:t>related injuries or adverse effects in patients enrolled in these previous trials. As a result, we may be subject to unforeseen third</w:t>
      </w:r>
      <w:r>
        <w:rPr>
          <w:rFonts w:ascii="MS PGothic" w:cs="MS PGothic" w:eastAsia="MS PGothic" w:hAnsi="MS PGothic"/>
          <w:sz w:val="17"/>
          <w:szCs w:val="17"/>
          <w:color w:val="auto"/>
        </w:rPr>
        <w:t>‑</w:t>
      </w:r>
      <w:r>
        <w:rPr>
          <w:rFonts w:ascii="Arial" w:cs="Arial" w:eastAsia="Arial" w:hAnsi="Arial"/>
          <w:sz w:val="17"/>
          <w:szCs w:val="17"/>
          <w:color w:val="auto"/>
        </w:rPr>
        <w:t>party claims and delays in our potential future clinical trials. We may also be required to repeat in whole or in part clinical trials previously conducted by our third</w:t>
      </w:r>
      <w:r>
        <w:rPr>
          <w:rFonts w:ascii="MS PGothic" w:cs="MS PGothic" w:eastAsia="MS PGothic" w:hAnsi="MS PGothic"/>
          <w:sz w:val="17"/>
          <w:szCs w:val="17"/>
          <w:color w:val="auto"/>
        </w:rPr>
        <w:t>‑</w:t>
      </w:r>
      <w:r>
        <w:rPr>
          <w:rFonts w:ascii="Arial" w:cs="Arial" w:eastAsia="Arial" w:hAnsi="Arial"/>
          <w:sz w:val="17"/>
          <w:szCs w:val="17"/>
          <w:color w:val="auto"/>
        </w:rPr>
        <w:t>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202"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Moreover, we have so far been dependent on contractual arrangements with our third</w:t>
      </w:r>
      <w:r>
        <w:rPr>
          <w:rFonts w:ascii="MS PGothic" w:cs="MS PGothic" w:eastAsia="MS PGothic" w:hAnsi="MS PGothic"/>
          <w:sz w:val="17"/>
          <w:szCs w:val="17"/>
          <w:color w:val="auto"/>
        </w:rPr>
        <w:t>‑</w:t>
      </w:r>
      <w:r>
        <w:rPr>
          <w:rFonts w:ascii="Arial" w:cs="Arial" w:eastAsia="Arial" w:hAnsi="Arial"/>
          <w:sz w:val="17"/>
          <w:szCs w:val="17"/>
          <w:color w:val="auto"/>
        </w:rPr>
        <w:t>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w:t>
      </w:r>
      <w:r>
        <w:rPr>
          <w:rFonts w:ascii="MS PGothic" w:cs="MS PGothic" w:eastAsia="MS PGothic" w:hAnsi="MS PGothic"/>
          <w:sz w:val="17"/>
          <w:szCs w:val="17"/>
          <w:color w:val="auto"/>
        </w:rPr>
        <w:t>‑</w:t>
      </w:r>
      <w:r>
        <w:rPr>
          <w:rFonts w:ascii="Arial" w:cs="Arial" w:eastAsia="Arial" w:hAnsi="Arial"/>
          <w:sz w:val="17"/>
          <w:szCs w:val="17"/>
          <w:color w:val="auto"/>
        </w:rPr>
        <w:t>hand knowledge we might have gained had the completed trials been corporate</w:t>
      </w:r>
      <w:r>
        <w:rPr>
          <w:rFonts w:ascii="MS PGothic" w:cs="MS PGothic" w:eastAsia="MS PGothic" w:hAnsi="MS PGothic"/>
          <w:sz w:val="17"/>
          <w:szCs w:val="17"/>
          <w:color w:val="auto"/>
        </w:rPr>
        <w:t>‑</w:t>
      </w:r>
      <w:r>
        <w:rPr>
          <w:rFonts w:ascii="Arial" w:cs="Arial" w:eastAsia="Arial" w:hAnsi="Arial"/>
          <w:sz w:val="17"/>
          <w:szCs w:val="17"/>
          <w:color w:val="auto"/>
        </w:rPr>
        <w:t>sponsored trials, then our ability to design and conduct our planned corporate</w:t>
      </w:r>
      <w:r>
        <w:rPr>
          <w:rFonts w:ascii="MS PGothic" w:cs="MS PGothic" w:eastAsia="MS PGothic" w:hAnsi="MS PGothic"/>
          <w:sz w:val="17"/>
          <w:szCs w:val="17"/>
          <w:color w:val="auto"/>
        </w:rPr>
        <w:t>‑</w:t>
      </w:r>
      <w:r>
        <w:rPr>
          <w:rFonts w:ascii="Arial" w:cs="Arial" w:eastAsia="Arial" w:hAnsi="Arial"/>
          <w:sz w:val="17"/>
          <w:szCs w:val="17"/>
          <w:color w:val="auto"/>
        </w:rPr>
        <w:t>sponsored clinical trials may be adversely affected. Additionally, the FDA may disagree with the sufficiency of our right to reference the pre</w:t>
      </w:r>
      <w:r>
        <w:rPr>
          <w:rFonts w:ascii="MS PGothic" w:cs="MS PGothic" w:eastAsia="MS PGothic" w:hAnsi="MS PGothic"/>
          <w:sz w:val="17"/>
          <w:szCs w:val="17"/>
          <w:color w:val="auto"/>
        </w:rPr>
        <w:t>‑</w:t>
      </w:r>
      <w:r>
        <w:rPr>
          <w:rFonts w:ascii="Arial" w:cs="Arial" w:eastAsia="Arial" w:hAnsi="Arial"/>
          <w:sz w:val="17"/>
          <w:szCs w:val="17"/>
          <w:color w:val="auto"/>
        </w:rPr>
        <w:t>clinical, manufacturing, or clinical data generated by these prior investigator</w:t>
      </w:r>
      <w:r>
        <w:rPr>
          <w:rFonts w:ascii="MS PGothic" w:cs="MS PGothic" w:eastAsia="MS PGothic" w:hAnsi="MS PGothic"/>
          <w:sz w:val="17"/>
          <w:szCs w:val="17"/>
          <w:color w:val="auto"/>
        </w:rPr>
        <w:t>‑</w:t>
      </w:r>
      <w:r>
        <w:rPr>
          <w:rFonts w:ascii="Arial" w:cs="Arial" w:eastAsia="Arial" w:hAnsi="Arial"/>
          <w:sz w:val="17"/>
          <w:szCs w:val="17"/>
          <w:color w:val="auto"/>
        </w:rPr>
        <w:t>sponsored trials, or our interpretation of pre</w:t>
      </w:r>
      <w:r>
        <w:rPr>
          <w:rFonts w:ascii="MS PGothic" w:cs="MS PGothic" w:eastAsia="MS PGothic" w:hAnsi="MS PGothic"/>
          <w:sz w:val="17"/>
          <w:szCs w:val="17"/>
          <w:color w:val="auto"/>
        </w:rPr>
        <w:t>‑</w:t>
      </w:r>
      <w:r>
        <w:rPr>
          <w:rFonts w:ascii="Arial" w:cs="Arial" w:eastAsia="Arial" w:hAnsi="Arial"/>
          <w:sz w:val="17"/>
          <w:szCs w:val="17"/>
          <w:color w:val="auto"/>
        </w:rPr>
        <w:t>clinical, manufacturing, or clinical data from these clinical trials. Moreover, the FDA may require us to obtain and submit additional pre</w:t>
      </w:r>
      <w:r>
        <w:rPr>
          <w:rFonts w:ascii="MS PGothic" w:cs="MS PGothic" w:eastAsia="MS PGothic" w:hAnsi="MS PGothic"/>
          <w:sz w:val="17"/>
          <w:szCs w:val="17"/>
          <w:color w:val="auto"/>
        </w:rPr>
        <w:t>‑</w:t>
      </w:r>
      <w:r>
        <w:rPr>
          <w:rFonts w:ascii="Arial" w:cs="Arial" w:eastAsia="Arial" w:hAnsi="Arial"/>
          <w:sz w:val="17"/>
          <w:szCs w:val="17"/>
          <w:color w:val="auto"/>
        </w:rPr>
        <w:t>clinical, clinical, manufacturing, clinical, toxicology or other in vivo or in vitro datas before we may begin our planned trials and/or may not accept such additional data as adequate to begin our planned trials.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6"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w:t>
      </w:r>
      <w:r>
        <w:rPr>
          <w:rFonts w:ascii="MS PGothic" w:cs="MS PGothic" w:eastAsia="MS PGothic" w:hAnsi="MS PGothic"/>
          <w:sz w:val="16"/>
          <w:szCs w:val="16"/>
          <w:color w:val="auto"/>
        </w:rPr>
        <w:t>‑</w:t>
      </w:r>
      <w:r>
        <w:rPr>
          <w:rFonts w:ascii="Arial" w:cs="Arial" w:eastAsia="Arial" w:hAnsi="Arial"/>
          <w:sz w:val="16"/>
          <w:szCs w:val="16"/>
          <w:color w:val="auto"/>
        </w:rPr>
        <w:t>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3"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w:t>
      </w:r>
      <w:r>
        <w:rPr>
          <w:rFonts w:ascii="MS PGothic" w:cs="MS PGothic" w:eastAsia="MS PGothic" w:hAnsi="MS PGothic"/>
          <w:sz w:val="17"/>
          <w:szCs w:val="17"/>
          <w:color w:val="auto"/>
        </w:rPr>
        <w:t>‑</w:t>
      </w:r>
      <w:r>
        <w:rPr>
          <w:rFonts w:ascii="Arial" w:cs="Arial" w:eastAsia="Arial" w:hAnsi="Arial"/>
          <w:sz w:val="17"/>
          <w:szCs w:val="17"/>
          <w:color w:val="auto"/>
        </w:rPr>
        <w:t>reported interim data in making business decisions. Independent review of the data could fail to confirm the investigator</w:t>
      </w:r>
      <w:r>
        <w:rPr>
          <w:rFonts w:ascii="MS PGothic" w:cs="MS PGothic" w:eastAsia="MS PGothic" w:hAnsi="MS PGothic"/>
          <w:sz w:val="17"/>
          <w:szCs w:val="17"/>
          <w:color w:val="auto"/>
        </w:rPr>
        <w:t>‑</w:t>
      </w:r>
      <w:r>
        <w:rPr>
          <w:rFonts w:ascii="Arial" w:cs="Arial" w:eastAsia="Arial" w:hAnsi="Arial"/>
          <w:sz w:val="17"/>
          <w:szCs w:val="17"/>
          <w:color w:val="auto"/>
        </w:rPr>
        <w:t>reported interim data, which may lead to revisions in disclosed clinical trial results in the future. Any such revisions that reveal more negative data than previously disclosed investigator</w:t>
      </w:r>
      <w:r>
        <w:rPr>
          <w:rFonts w:ascii="MS PGothic" w:cs="MS PGothic" w:eastAsia="MS PGothic" w:hAnsi="MS PGothic"/>
          <w:sz w:val="17"/>
          <w:szCs w:val="17"/>
          <w:color w:val="auto"/>
        </w:rPr>
        <w:t>‑</w:t>
      </w:r>
      <w:r>
        <w:rPr>
          <w:rFonts w:ascii="Arial" w:cs="Arial" w:eastAsia="Arial" w:hAnsi="Arial"/>
          <w:sz w:val="17"/>
          <w:szCs w:val="17"/>
          <w:color w:val="auto"/>
        </w:rPr>
        <w:t>reported interim data could have an adverse impact on our business prospects and the trading price of our common stock. Such revisions could also reduce investor confidence in investigator</w:t>
      </w:r>
      <w:r>
        <w:rPr>
          <w:rFonts w:ascii="MS PGothic" w:cs="MS PGothic" w:eastAsia="MS PGothic" w:hAnsi="MS PGothic"/>
          <w:sz w:val="17"/>
          <w:szCs w:val="17"/>
          <w:color w:val="auto"/>
        </w:rPr>
        <w:t>‑</w:t>
      </w:r>
      <w:r>
        <w:rPr>
          <w:rFonts w:ascii="Arial" w:cs="Arial" w:eastAsia="Arial" w:hAnsi="Arial"/>
          <w:sz w:val="17"/>
          <w:szCs w:val="17"/>
          <w:color w:val="auto"/>
        </w:rPr>
        <w:t>reported interim data that we disclose in the future.</w:t>
      </w:r>
    </w:p>
    <w:p>
      <w:pPr>
        <w:spacing w:after="0" w:line="202" w:lineRule="exact"/>
        <w:rPr>
          <w:sz w:val="20"/>
          <w:szCs w:val="20"/>
          <w:color w:val="auto"/>
        </w:rPr>
      </w:pPr>
    </w:p>
    <w:p>
      <w:pPr>
        <w:ind w:right="60" w:firstLine="648"/>
        <w:spacing w:after="0" w:line="219"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205"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b w:val="1"/>
          <w:bCs w:val="1"/>
          <w:i w:val="1"/>
          <w:iCs w:val="1"/>
          <w:color w:val="auto"/>
        </w:rPr>
        <w:t>We will rely on third parties to manufacture our product candidates for our pre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fail to do so at acceptable quality levels or prices, or fail to maintain adequate compliance with CMC guidelines of the FDA.</w:t>
      </w:r>
    </w:p>
    <w:p>
      <w:pPr>
        <w:spacing w:after="0" w:line="20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do not currently own any facility that may be used as a clinical</w:t>
      </w:r>
      <w:r>
        <w:rPr>
          <w:rFonts w:ascii="MS PGothic" w:cs="MS PGothic" w:eastAsia="MS PGothic" w:hAnsi="MS PGothic"/>
          <w:sz w:val="17"/>
          <w:szCs w:val="17"/>
          <w:color w:val="auto"/>
        </w:rPr>
        <w:t>‑</w:t>
      </w:r>
      <w:r>
        <w:rPr>
          <w:rFonts w:ascii="Arial" w:cs="Arial" w:eastAsia="Arial" w:hAnsi="Arial"/>
          <w:sz w:val="17"/>
          <w:szCs w:val="17"/>
          <w:color w:val="auto"/>
        </w:rPr>
        <w:t>scale manufacturing and processing facility and we intend to rely on outside vendors to manufacture supplies and process our product candidates for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under the guidance of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w:t>
      </w:r>
      <w:r>
        <w:rPr>
          <w:rFonts w:ascii="MS PGothic" w:cs="MS PGothic" w:eastAsia="MS PGothic" w:hAnsi="MS PGothic"/>
          <w:sz w:val="17"/>
          <w:szCs w:val="17"/>
          <w:color w:val="auto"/>
        </w:rPr>
        <w:t>‑</w:t>
      </w:r>
      <w:r>
        <w:rPr>
          <w:rFonts w:ascii="Arial" w:cs="Arial" w:eastAsia="Arial" w:hAnsi="Arial"/>
          <w:sz w:val="17"/>
          <w:szCs w:val="17"/>
          <w:color w:val="auto"/>
        </w:rPr>
        <w:t>party research institution collaborators.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firstLine="648"/>
        <w:spacing w:after="0" w:line="219" w:lineRule="exact"/>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We have engaged a separate third</w:t>
      </w:r>
      <w:r>
        <w:rPr>
          <w:rFonts w:ascii="MS PGothic" w:cs="MS PGothic" w:eastAsia="MS PGothic" w:hAnsi="MS PGothic"/>
          <w:sz w:val="18"/>
          <w:szCs w:val="18"/>
          <w:color w:val="auto"/>
        </w:rPr>
        <w:t>‑</w:t>
      </w:r>
      <w:r>
        <w:rPr>
          <w:rFonts w:ascii="Arial" w:cs="Arial" w:eastAsia="Arial" w:hAnsi="Arial"/>
          <w:sz w:val="18"/>
          <w:szCs w:val="18"/>
          <w:color w:val="auto"/>
        </w:rPr>
        <w:t>party manufacturer to conduct fill</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finish and labeling services, as well as for the storage and distribution of our lead product candidates to clinical sites. We do not have a long</w:t>
      </w:r>
      <w:r>
        <w:rPr>
          <w:rFonts w:ascii="MS PGothic" w:cs="MS PGothic" w:eastAsia="MS PGothic" w:hAnsi="MS PGothic"/>
          <w:sz w:val="18"/>
          <w:szCs w:val="18"/>
          <w:color w:val="auto"/>
        </w:rPr>
        <w:t>‑</w:t>
      </w:r>
      <w:r>
        <w:rPr>
          <w:rFonts w:ascii="Arial" w:cs="Arial" w:eastAsia="Arial" w:hAnsi="Arial"/>
          <w:sz w:val="18"/>
          <w:szCs w:val="18"/>
          <w:color w:val="auto"/>
        </w:rPr>
        <w:t>term supply agreement with any of these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we purchase our required drug supplies on a purchase order basis.</w:t>
      </w:r>
    </w:p>
    <w:p>
      <w:pPr>
        <w:spacing w:after="0" w:line="206" w:lineRule="exact"/>
        <w:rPr>
          <w:sz w:val="20"/>
          <w:szCs w:val="20"/>
          <w:color w:val="auto"/>
        </w:rPr>
      </w:pPr>
    </w:p>
    <w:p>
      <w:pPr>
        <w:ind w:right="119" w:firstLine="648"/>
        <w:spacing w:after="0" w:line="219" w:lineRule="exact"/>
        <w:rPr>
          <w:sz w:val="20"/>
          <w:szCs w:val="20"/>
          <w:color w:val="auto"/>
        </w:rPr>
      </w:pPr>
      <w:r>
        <w:rPr>
          <w:rFonts w:ascii="Arial" w:cs="Arial" w:eastAsia="Arial" w:hAnsi="Arial"/>
          <w:sz w:val="18"/>
          <w:szCs w:val="18"/>
          <w:color w:val="auto"/>
        </w:rPr>
        <w:t>We expect to rely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third</w:t>
      </w:r>
      <w:r>
        <w:rPr>
          <w:rFonts w:ascii="MS PGothic" w:cs="MS PGothic" w:eastAsia="MS PGothic" w:hAnsi="MS PGothic"/>
          <w:sz w:val="18"/>
          <w:szCs w:val="18"/>
          <w:color w:val="auto"/>
        </w:rPr>
        <w:t>‑</w:t>
      </w:r>
      <w:r>
        <w:rPr>
          <w:rFonts w:ascii="Arial" w:cs="Arial" w:eastAsia="Arial" w:hAnsi="Arial"/>
          <w:sz w:val="18"/>
          <w:szCs w:val="18"/>
          <w:color w:val="auto"/>
        </w:rPr>
        <w:t>party collaborators for the manufacture of our product candidates for commercial supply of any of our product candidates for which we or any of our potential future collaborators obtain marketing approval. 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w:t>
      </w:r>
    </w:p>
    <w:p>
      <w:pPr>
        <w:spacing w:after="0" w:line="206" w:lineRule="exact"/>
        <w:rPr>
          <w:sz w:val="20"/>
          <w:szCs w:val="20"/>
          <w:color w:val="auto"/>
        </w:rPr>
      </w:pPr>
    </w:p>
    <w:p>
      <w:pPr>
        <w:ind w:left="980" w:right="19" w:hanging="329"/>
        <w:spacing w:after="0" w:line="25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8" w:lineRule="exact"/>
        <w:rPr>
          <w:rFonts w:ascii="Arial" w:cs="Arial" w:eastAsia="Arial" w:hAnsi="Arial"/>
          <w:sz w:val="18"/>
          <w:szCs w:val="18"/>
          <w:color w:val="auto"/>
        </w:rPr>
      </w:pPr>
    </w:p>
    <w:p>
      <w:pPr>
        <w:ind w:left="980" w:right="199" w:hanging="329"/>
        <w:spacing w:after="0" w:line="223"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might be unable to timely manufacture our product or produce the quantity and quality required to meet our clinical and commercial needs, if any;</w:t>
      </w:r>
    </w:p>
    <w:p>
      <w:pPr>
        <w:spacing w:after="0" w:line="203" w:lineRule="exact"/>
        <w:rPr>
          <w:rFonts w:ascii="Arial" w:cs="Arial" w:eastAsia="Arial" w:hAnsi="Arial"/>
          <w:sz w:val="18"/>
          <w:szCs w:val="18"/>
          <w:color w:val="auto"/>
        </w:rPr>
      </w:pPr>
    </w:p>
    <w:p>
      <w:pPr>
        <w:ind w:left="980" w:right="319" w:hanging="329"/>
        <w:spacing w:after="0" w:line="223"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may not be able to execute our manufacturing procedures and other logistical support requirements appropriately;</w:t>
      </w:r>
    </w:p>
    <w:p>
      <w:pPr>
        <w:spacing w:after="0" w:line="203" w:lineRule="exact"/>
        <w:rPr>
          <w:rFonts w:ascii="Arial" w:cs="Arial" w:eastAsia="Arial" w:hAnsi="Arial"/>
          <w:sz w:val="18"/>
          <w:szCs w:val="18"/>
          <w:color w:val="auto"/>
        </w:rPr>
      </w:pPr>
    </w:p>
    <w:p>
      <w:pPr>
        <w:ind w:left="980" w:right="99" w:hanging="329"/>
        <w:spacing w:after="0" w:line="220" w:lineRule="exact"/>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203" w:lineRule="exact"/>
        <w:rPr>
          <w:rFonts w:ascii="Arial" w:cs="Arial" w:eastAsia="Arial" w:hAnsi="Arial"/>
          <w:sz w:val="16"/>
          <w:szCs w:val="16"/>
          <w:color w:val="auto"/>
        </w:rPr>
      </w:pPr>
    </w:p>
    <w:p>
      <w:pPr>
        <w:ind w:left="980" w:right="399" w:hanging="329"/>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980" w:right="19" w:hanging="329"/>
        <w:spacing w:after="0" w:line="220"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are subject to ongoing periodic unannounced inspection by the FDA and corresponding state agencies to ensure strict compliance with cGMPs and other government regulations and corresponding foreign standards. We do not have control over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compliance with these and or any other applicable regulations and standards;</w:t>
      </w:r>
    </w:p>
    <w:p>
      <w:pPr>
        <w:spacing w:after="0" w:line="204" w:lineRule="exact"/>
        <w:rPr>
          <w:rFonts w:ascii="Arial" w:cs="Arial" w:eastAsia="Arial" w:hAnsi="Arial"/>
          <w:sz w:val="18"/>
          <w:szCs w:val="18"/>
          <w:color w:val="auto"/>
        </w:rPr>
      </w:pPr>
    </w:p>
    <w:p>
      <w:pPr>
        <w:ind w:left="980" w:right="499" w:hanging="329"/>
        <w:spacing w:after="0" w:line="223"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the manufacturing process for our products;</w:t>
      </w:r>
    </w:p>
    <w:p>
      <w:pPr>
        <w:spacing w:after="0" w:line="203" w:lineRule="exact"/>
        <w:rPr>
          <w:rFonts w:ascii="Arial" w:cs="Arial" w:eastAsia="Arial" w:hAnsi="Arial"/>
          <w:sz w:val="18"/>
          <w:szCs w:val="18"/>
          <w:color w:val="auto"/>
        </w:rPr>
      </w:pPr>
    </w:p>
    <w:p>
      <w:pPr>
        <w:ind w:left="980" w:right="359" w:hanging="329"/>
        <w:spacing w:after="0" w:line="223"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could breach, terminate or not renew their agreement with us at a time that is costly or inconvenient for us;</w:t>
      </w:r>
    </w:p>
    <w:p>
      <w:pPr>
        <w:spacing w:after="0" w:line="203" w:lineRule="exact"/>
        <w:rPr>
          <w:rFonts w:ascii="Arial" w:cs="Arial" w:eastAsia="Arial" w:hAnsi="Arial"/>
          <w:sz w:val="18"/>
          <w:szCs w:val="18"/>
          <w:color w:val="auto"/>
        </w:rPr>
      </w:pPr>
    </w:p>
    <w:p>
      <w:pPr>
        <w:ind w:left="980" w:right="179" w:hanging="329"/>
        <w:spacing w:after="0" w:line="31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46" w:lineRule="exact"/>
        <w:rPr>
          <w:rFonts w:ascii="Arial" w:cs="Arial" w:eastAsia="Arial" w:hAnsi="Arial"/>
          <w:sz w:val="16"/>
          <w:szCs w:val="16"/>
          <w:color w:val="auto"/>
        </w:rPr>
      </w:pPr>
    </w:p>
    <w:p>
      <w:pPr>
        <w:ind w:left="980" w:right="99" w:hanging="329"/>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40" w:hanging="329"/>
        <w:spacing w:after="0" w:line="220" w:lineRule="exact"/>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critical reagent suppliers may be subject to inclement weather, as well as natural or man</w:t>
      </w:r>
      <w:r>
        <w:rPr>
          <w:rFonts w:ascii="MS PGothic" w:cs="MS PGothic" w:eastAsia="MS PGothic" w:hAnsi="MS PGothic"/>
          <w:sz w:val="18"/>
          <w:szCs w:val="18"/>
          <w:color w:val="auto"/>
        </w:rPr>
        <w:t>‑</w:t>
      </w:r>
      <w:r>
        <w:rPr>
          <w:rFonts w:ascii="Arial" w:cs="Arial" w:eastAsia="Arial" w:hAnsi="Arial"/>
          <w:sz w:val="18"/>
          <w:szCs w:val="18"/>
          <w:color w:val="auto"/>
        </w:rPr>
        <w:t>made disasters; and</w:t>
      </w:r>
    </w:p>
    <w:p>
      <w:pPr>
        <w:spacing w:after="0" w:line="204" w:lineRule="exact"/>
        <w:rPr>
          <w:rFonts w:ascii="Arial" w:cs="Arial" w:eastAsia="Arial" w:hAnsi="Arial"/>
          <w:sz w:val="18"/>
          <w:szCs w:val="18"/>
          <w:color w:val="auto"/>
        </w:rPr>
      </w:pPr>
    </w:p>
    <w:p>
      <w:pPr>
        <w:ind w:left="980" w:right="200" w:hanging="329"/>
        <w:spacing w:after="0" w:line="223" w:lineRule="exact"/>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may have unacceptable or inconsistent product quality success rates and yields, and may have inadequate quality control systems.</w:t>
      </w:r>
    </w:p>
    <w:p>
      <w:pPr>
        <w:spacing w:after="0" w:line="203" w:lineRule="exact"/>
        <w:rPr>
          <w:sz w:val="20"/>
          <w:szCs w:val="20"/>
          <w:color w:val="auto"/>
        </w:rPr>
      </w:pPr>
    </w:p>
    <w:p>
      <w:pPr>
        <w:ind w:right="80" w:firstLine="648"/>
        <w:spacing w:after="0" w:line="217" w:lineRule="exact"/>
        <w:rPr>
          <w:sz w:val="20"/>
          <w:szCs w:val="20"/>
          <w:color w:val="auto"/>
        </w:rPr>
      </w:pPr>
      <w:r>
        <w:rPr>
          <w:rFonts w:ascii="Arial" w:cs="Arial" w:eastAsia="Arial" w:hAnsi="Arial"/>
          <w:sz w:val="17"/>
          <w:szCs w:val="17"/>
          <w:color w:val="auto"/>
        </w:rPr>
        <w:t>Each of these risks could delay or prevent the completion of our clinical trials, could delay any BLA submissions, and the approval of any of our product candidates by the FDA, result in higher costs or adversely impact commercialization of our product candidates. For example, during 2018 we experienced a shortage in the supply of Iodine</w:t>
      </w:r>
      <w:r>
        <w:rPr>
          <w:rFonts w:ascii="MS PGothic" w:cs="MS PGothic" w:eastAsia="MS PGothic" w:hAnsi="MS PGothic"/>
          <w:sz w:val="17"/>
          <w:szCs w:val="17"/>
          <w:color w:val="auto"/>
        </w:rPr>
        <w:t>‑</w:t>
      </w:r>
      <w:r>
        <w:rPr>
          <w:rFonts w:ascii="Arial" w:cs="Arial" w:eastAsia="Arial" w:hAnsi="Arial"/>
          <w:sz w:val="17"/>
          <w:szCs w:val="17"/>
          <w:color w:val="auto"/>
        </w:rPr>
        <w:t xml:space="preserve">131, one of the components of our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product candidate, from our single source supplier. We have established a relationship with an additional supplier which we believe will be able to provide us with adequate supplies of Iodine</w:t>
      </w:r>
      <w:r>
        <w:rPr>
          <w:rFonts w:ascii="MS PGothic" w:cs="MS PGothic" w:eastAsia="MS PGothic" w:hAnsi="MS PGothic"/>
          <w:sz w:val="17"/>
          <w:szCs w:val="17"/>
          <w:color w:val="auto"/>
        </w:rPr>
        <w:t>‑</w:t>
      </w:r>
      <w:r>
        <w:rPr>
          <w:rFonts w:ascii="Arial" w:cs="Arial" w:eastAsia="Arial" w:hAnsi="Arial"/>
          <w:sz w:val="17"/>
          <w:szCs w:val="17"/>
          <w:color w:val="auto"/>
        </w:rPr>
        <w:t xml:space="preserve">131. While we have not yet experienced any delays in the research and development of our </w:t>
      </w:r>
      <w:r>
        <w:rPr>
          <w:rFonts w:ascii="Arial" w:cs="Arial" w:eastAsia="Arial" w:hAnsi="Arial"/>
          <w:sz w:val="8"/>
          <w:szCs w:val="8"/>
          <w:color w:val="auto"/>
        </w:rPr>
        <w:t>131</w:t>
      </w:r>
      <w:r>
        <w:rPr>
          <w:rFonts w:ascii="Arial" w:cs="Arial" w:eastAsia="Arial" w:hAnsi="Arial"/>
          <w:sz w:val="17"/>
          <w:szCs w:val="17"/>
          <w:color w:val="auto"/>
        </w:rPr>
        <w:t>I</w:t>
      </w:r>
      <w:r>
        <w:rPr>
          <w:rFonts w:ascii="MS PGothic" w:cs="MS PGothic" w:eastAsia="MS PGothic" w:hAnsi="MS PGothic"/>
          <w:sz w:val="17"/>
          <w:szCs w:val="17"/>
          <w:color w:val="auto"/>
        </w:rPr>
        <w:t>‑</w:t>
      </w:r>
      <w:r>
        <w:rPr>
          <w:rFonts w:ascii="Arial" w:cs="Arial" w:eastAsia="Arial" w:hAnsi="Arial"/>
          <w:sz w:val="17"/>
          <w:szCs w:val="17"/>
          <w:color w:val="auto"/>
        </w:rPr>
        <w:t>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0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207"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w:t>
      </w:r>
      <w:r>
        <w:rPr>
          <w:rFonts w:ascii="MS PGothic" w:cs="MS PGothic" w:eastAsia="MS PGothic" w:hAnsi="MS PGothic"/>
          <w:sz w:val="17"/>
          <w:szCs w:val="17"/>
          <w:color w:val="auto"/>
        </w:rPr>
        <w:t>‑</w:t>
      </w:r>
      <w:r>
        <w:rPr>
          <w:rFonts w:ascii="Arial" w:cs="Arial" w:eastAsia="Arial" w:hAnsi="Arial"/>
          <w:sz w:val="17"/>
          <w:szCs w:val="17"/>
          <w:color w:val="auto"/>
        </w:rPr>
        <w:t>party manufacturer for fill</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203"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203" w:lineRule="exact"/>
        <w:rPr>
          <w:sz w:val="20"/>
          <w:szCs w:val="20"/>
          <w:color w:val="auto"/>
        </w:rPr>
      </w:pPr>
    </w:p>
    <w:p>
      <w:pPr>
        <w:ind w:right="400" w:firstLine="648"/>
        <w:spacing w:after="0" w:line="221" w:lineRule="exact"/>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w:t>
      </w:r>
      <w:r>
        <w:rPr>
          <w:rFonts w:ascii="MS PGothic" w:cs="MS PGothic" w:eastAsia="MS PGothic" w:hAnsi="MS PGothic"/>
          <w:sz w:val="18"/>
          <w:szCs w:val="18"/>
          <w:color w:val="auto"/>
        </w:rPr>
        <w:t>‑</w:t>
      </w:r>
      <w:r>
        <w:rPr>
          <w:rFonts w:ascii="Arial" w:cs="Arial" w:eastAsia="Arial" w:hAnsi="Arial"/>
          <w:sz w:val="18"/>
          <w:szCs w:val="18"/>
          <w:color w:val="auto"/>
        </w:rPr>
        <w:t>party research institutions for both capabilities.</w:t>
      </w:r>
    </w:p>
    <w:p>
      <w:pPr>
        <w:spacing w:after="0" w:line="202"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8"/>
          <w:szCs w:val="18"/>
          <w:color w:val="auto"/>
        </w:rPr>
        <w:t>Currently, MSK is conducting clinical trials to address pediatric R/R high</w:t>
      </w:r>
      <w:r>
        <w:rPr>
          <w:rFonts w:ascii="MS PGothic" w:cs="MS PGothic" w:eastAsia="MS PGothic" w:hAnsi="MS PGothic"/>
          <w:sz w:val="18"/>
          <w:szCs w:val="18"/>
          <w:color w:val="auto"/>
        </w:rPr>
        <w:t>‑</w:t>
      </w:r>
      <w:r>
        <w:rPr>
          <w:rFonts w:ascii="Arial" w:cs="Arial" w:eastAsia="Arial" w:hAnsi="Arial"/>
          <w:sz w:val="18"/>
          <w:szCs w:val="18"/>
          <w:color w:val="auto"/>
        </w:rPr>
        <w:t>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b w:val="1"/>
          <w:bCs w:val="1"/>
          <w:i w:val="1"/>
          <w:iCs w:val="1"/>
          <w:color w:val="auto"/>
        </w:rPr>
        <w:t>Our product candidates are biologics and the manufacture of our product candidates is complex. We, or any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manufacturers, may encounter difficulties in production, particularly with respect to process development or scaling</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203"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Our product candidates are biologics and the process of manufacturing them is complex, highly</w:t>
      </w:r>
      <w:r>
        <w:rPr>
          <w:rFonts w:ascii="MS PGothic" w:cs="MS PGothic" w:eastAsia="MS PGothic" w:hAnsi="MS PGothic"/>
          <w:sz w:val="16"/>
          <w:szCs w:val="16"/>
          <w:color w:val="auto"/>
        </w:rPr>
        <w:t>‑</w:t>
      </w:r>
      <w:r>
        <w:rPr>
          <w:rFonts w:ascii="Arial" w:cs="Arial" w:eastAsia="Arial" w:hAnsi="Arial"/>
          <w:sz w:val="16"/>
          <w:szCs w:val="16"/>
          <w:color w:val="auto"/>
        </w:rPr>
        <w:t>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203"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6"/>
          <w:szCs w:val="16"/>
          <w:color w:val="auto"/>
        </w:rPr>
        <w:t>Further, as product candidates are developed through pre</w:t>
      </w:r>
      <w:r>
        <w:rPr>
          <w:rFonts w:ascii="MS PGothic" w:cs="MS PGothic" w:eastAsia="MS PGothic" w:hAnsi="MS PGothic"/>
          <w:sz w:val="16"/>
          <w:szCs w:val="16"/>
          <w:color w:val="auto"/>
        </w:rPr>
        <w:t>‑</w:t>
      </w:r>
      <w:r>
        <w:rPr>
          <w:rFonts w:ascii="Arial" w:cs="Arial" w:eastAsia="Arial" w:hAnsi="Arial"/>
          <w:sz w:val="16"/>
          <w:szCs w:val="16"/>
          <w:color w:val="auto"/>
        </w:rPr>
        <w:t>clinical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w:t>
      </w:r>
      <w:r>
        <w:rPr>
          <w:rFonts w:ascii="MS PGothic" w:cs="MS PGothic" w:eastAsia="MS PGothic" w:hAnsi="MS PGothic"/>
          <w:sz w:val="16"/>
          <w:szCs w:val="16"/>
          <w:color w:val="auto"/>
        </w:rPr>
        <w:t>‑</w:t>
      </w:r>
      <w:r>
        <w:rPr>
          <w:rFonts w:ascii="Arial" w:cs="Arial" w:eastAsia="Arial" w:hAnsi="Arial"/>
          <w:sz w:val="16"/>
          <w:szCs w:val="16"/>
          <w:color w:val="auto"/>
        </w:rPr>
        <w:t>up our manufacturing process, we expect that we will need to obtain rights to and supplies of certain materials and equipment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 used as part of that process. We may not be able to obtain rights to such materials on commercially reasonable terms, or at all.</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w:t>
      </w:r>
      <w:r>
        <w:rPr>
          <w:rFonts w:ascii="MS PGothic" w:cs="MS PGothic" w:eastAsia="MS PGothic" w:hAnsi="MS PGothic"/>
          <w:sz w:val="16"/>
          <w:szCs w:val="16"/>
          <w:color w:val="auto"/>
        </w:rPr>
        <w:t>‑</w:t>
      </w:r>
      <w:r>
        <w:rPr>
          <w:rFonts w:ascii="Arial" w:cs="Arial" w:eastAsia="Arial" w:hAnsi="Arial"/>
          <w:sz w:val="16"/>
          <w:szCs w:val="16"/>
          <w:color w:val="auto"/>
        </w:rPr>
        <w: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Although we currently plan to retain all commercial rights to our product candidates, we may enter into strategic collaborations for the development, marketing and commercialization of all or some of our product candidates. If those collaborations are not successful, or if we are unable to establish any such collaborations, we may have to alter or delay our development and commercialization plans.</w:t>
      </w:r>
    </w:p>
    <w:p>
      <w:pPr>
        <w:spacing w:after="0" w:line="187"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w:t>
      </w:r>
      <w:r>
        <w:rPr>
          <w:rFonts w:ascii="MS PGothic" w:cs="MS PGothic" w:eastAsia="MS PGothic" w:hAnsi="MS PGothic"/>
          <w:sz w:val="16"/>
          <w:szCs w:val="16"/>
          <w:color w:val="auto"/>
        </w:rPr>
        <w:t>‑</w:t>
      </w:r>
      <w:r>
        <w:rPr>
          <w:rFonts w:ascii="Arial" w:cs="Arial" w:eastAsia="Arial" w:hAnsi="Arial"/>
          <w:sz w:val="16"/>
          <w:szCs w:val="16"/>
          <w:color w:val="auto"/>
        </w:rPr>
        <w:t>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25" w:lineRule="exact"/>
        <w:rPr>
          <w:sz w:val="20"/>
          <w:szCs w:val="20"/>
          <w:color w:val="auto"/>
        </w:rPr>
      </w:pPr>
    </w:p>
    <w:p>
      <w:pPr>
        <w:ind w:left="980" w:right="260" w:hanging="329"/>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980" w:right="240" w:hanging="329"/>
        <w:spacing w:after="0" w:line="279"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19" w:hanging="329"/>
        <w:spacing w:after="0" w:line="264"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1" w:lineRule="exact"/>
        <w:rPr>
          <w:rFonts w:ascii="Arial" w:cs="Arial" w:eastAsia="Arial" w:hAnsi="Arial"/>
          <w:sz w:val="18"/>
          <w:szCs w:val="18"/>
          <w:color w:val="auto"/>
        </w:rPr>
      </w:pPr>
    </w:p>
    <w:p>
      <w:pPr>
        <w:ind w:left="980" w:right="61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980" w:right="7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980" w:right="39" w:hanging="329"/>
        <w:spacing w:after="0" w:line="220" w:lineRule="exact"/>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3" w:lineRule="exact"/>
        <w:rPr>
          <w:rFonts w:ascii="Arial" w:cs="Arial" w:eastAsia="Arial" w:hAnsi="Arial"/>
          <w:sz w:val="16"/>
          <w:szCs w:val="16"/>
          <w:color w:val="auto"/>
        </w:rPr>
      </w:pPr>
    </w:p>
    <w:p>
      <w:pPr>
        <w:ind w:left="980" w:right="119" w:hanging="329"/>
        <w:spacing w:after="0" w:line="264"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1"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980" w:right="25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980" w:right="359" w:hanging="329"/>
        <w:spacing w:after="0" w:line="223" w:lineRule="exact"/>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be restricted under then</w:t>
      </w:r>
      <w:r>
        <w:rPr>
          <w:rFonts w:ascii="MS PGothic" w:cs="MS PGothic" w:eastAsia="MS PGothic" w:hAnsi="MS PGothic"/>
          <w:sz w:val="18"/>
          <w:szCs w:val="18"/>
          <w:color w:val="auto"/>
        </w:rPr>
        <w:t>‑</w:t>
      </w:r>
      <w:r>
        <w:rPr>
          <w:rFonts w:ascii="Arial" w:cs="Arial" w:eastAsia="Arial" w:hAnsi="Arial"/>
          <w:sz w:val="18"/>
          <w:szCs w:val="18"/>
          <w:color w:val="auto"/>
        </w:rPr>
        <w:t>existing collaboration agreements from entering into future agreements on certain terms with potential collaborators;</w:t>
      </w:r>
    </w:p>
    <w:p>
      <w:pPr>
        <w:spacing w:after="0" w:line="203" w:lineRule="exact"/>
        <w:rPr>
          <w:rFonts w:ascii="Arial" w:cs="Arial" w:eastAsia="Arial" w:hAnsi="Arial"/>
          <w:sz w:val="18"/>
          <w:szCs w:val="18"/>
          <w:color w:val="auto"/>
        </w:rPr>
      </w:pPr>
    </w:p>
    <w:p>
      <w:pPr>
        <w:ind w:left="980" w:right="19" w:hanging="329"/>
        <w:spacing w:after="0" w:line="308"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marketing and/or commercialization of the applicable product candidates;</w:t>
      </w:r>
    </w:p>
    <w:p>
      <w:pPr>
        <w:spacing w:after="0" w:line="146" w:lineRule="exact"/>
        <w:rPr>
          <w:rFonts w:ascii="Arial" w:cs="Arial" w:eastAsia="Arial" w:hAnsi="Arial"/>
          <w:sz w:val="17"/>
          <w:szCs w:val="17"/>
          <w:color w:val="auto"/>
        </w:rPr>
      </w:pPr>
    </w:p>
    <w:p>
      <w:pPr>
        <w:ind w:left="980" w:right="19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980" w:right="779" w:hanging="329"/>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right="379" w:firstLine="648"/>
        <w:spacing w:after="0" w:line="27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70" w:lineRule="exact"/>
        <w:rPr>
          <w:sz w:val="20"/>
          <w:szCs w:val="20"/>
          <w:color w:val="auto"/>
        </w:rPr>
      </w:pPr>
    </w:p>
    <w:p>
      <w:pPr>
        <w:ind w:right="39"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24" w:lineRule="exact"/>
        <w:rPr>
          <w:sz w:val="20"/>
          <w:szCs w:val="20"/>
          <w:color w:val="auto"/>
        </w:rPr>
      </w:pPr>
      <w:r>
        <w:rPr>
          <w:rFonts w:ascii="Arial" w:cs="Arial" w:eastAsia="Arial" w:hAnsi="Arial"/>
          <w:sz w:val="16"/>
          <w:szCs w:val="16"/>
          <w:b w:val="1"/>
          <w:bCs w:val="1"/>
          <w:i w:val="1"/>
          <w:iCs w:val="1"/>
          <w:color w:val="auto"/>
        </w:rPr>
        <w:t>Reimbursement decisions by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may have an adverse effect on pricing and market acceptance. If there is not sufficient reimbursement for our products, it is less likely that our products will be widely used.</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b w:val="1"/>
          <w:bCs w:val="1"/>
          <w:i w:val="1"/>
          <w:iCs w:val="1"/>
          <w:color w:val="auto"/>
        </w:rPr>
        <w:t>Even if we complete the necessary pre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clinical studies and clinical trials, the FDA regulatory approval process is lengthy, time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204"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we will not be permitted to market any biological drug product in the United States until we receive a Biologics License from the FDA. We plan to begin additional clinical trials with our lead product candidates in 2019 and 2020. We intend to conduct each of these clinical trials in the United States and Europe. We intend to discuss with the FDA and EMA submission of BLAs for respective approval of such product candidates as treatments for indications that currently lack FDA</w:t>
      </w:r>
      <w:r>
        <w:rPr>
          <w:rFonts w:ascii="MS PGothic" w:cs="MS PGothic" w:eastAsia="MS PGothic" w:hAnsi="MS PGothic"/>
          <w:sz w:val="16"/>
          <w:szCs w:val="16"/>
          <w:color w:val="auto"/>
        </w:rPr>
        <w:t>‑</w:t>
      </w:r>
      <w:r>
        <w:rPr>
          <w:rFonts w:ascii="Arial" w:cs="Arial" w:eastAsia="Arial" w:hAnsi="Arial"/>
          <w:sz w:val="16"/>
          <w:szCs w:val="16"/>
          <w:color w:val="auto"/>
        </w:rPr>
        <w:t>approved treatments.</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FDA standard for regular approval of a BLA generally requires two well</w:t>
      </w:r>
      <w:r>
        <w:rPr>
          <w:rFonts w:ascii="MS PGothic" w:cs="MS PGothic" w:eastAsia="MS PGothic" w:hAnsi="MS PGothic"/>
          <w:sz w:val="17"/>
          <w:szCs w:val="17"/>
          <w:color w:val="auto"/>
        </w:rPr>
        <w:t>‑</w:t>
      </w:r>
      <w:r>
        <w:rPr>
          <w:rFonts w:ascii="Arial" w:cs="Arial" w:eastAsia="Arial" w:hAnsi="Arial"/>
          <w:sz w:val="17"/>
          <w:szCs w:val="17"/>
          <w:color w:val="auto"/>
        </w:rPr>
        <w:t>controlled Phase 3 studies or one large and robust, well</w:t>
      </w:r>
      <w:r>
        <w:rPr>
          <w:rFonts w:ascii="MS PGothic" w:cs="MS PGothic" w:eastAsia="MS PGothic" w:hAnsi="MS PGothic"/>
          <w:sz w:val="17"/>
          <w:szCs w:val="17"/>
          <w:color w:val="auto"/>
        </w:rPr>
        <w:t>‑</w:t>
      </w:r>
      <w:r>
        <w:rPr>
          <w:rFonts w:ascii="Arial" w:cs="Arial" w:eastAsia="Arial" w:hAnsi="Arial"/>
          <w:sz w:val="17"/>
          <w:szCs w:val="17"/>
          <w:color w:val="auto"/>
        </w:rPr>
        <w:t>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illnesses and that provide meaningful therapeutic benefit over existing treatments may be eligible for accelerated approval and may be approved on the basis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w:t>
      </w:r>
      <w:r>
        <w:rPr>
          <w:rFonts w:ascii="MS PGothic" w:cs="MS PGothic" w:eastAsia="MS PGothic" w:hAnsi="MS PGothic"/>
          <w:sz w:val="17"/>
          <w:szCs w:val="17"/>
          <w:color w:val="auto"/>
        </w:rPr>
        <w:t>‑</w:t>
      </w:r>
      <w:r>
        <w:rPr>
          <w:rFonts w:ascii="Arial" w:cs="Arial" w:eastAsia="Arial" w:hAnsi="Arial"/>
          <w:sz w:val="17"/>
          <w:szCs w:val="17"/>
          <w:color w:val="auto"/>
        </w:rPr>
        <w: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20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w:t>
      </w:r>
      <w:r>
        <w:rPr>
          <w:rFonts w:ascii="MS PGothic" w:cs="MS PGothic" w:eastAsia="MS PGothic" w:hAnsi="MS PGothic"/>
          <w:sz w:val="17"/>
          <w:szCs w:val="17"/>
          <w:color w:val="auto"/>
        </w:rPr>
        <w:t>‑</w:t>
      </w:r>
      <w:r>
        <w:rPr>
          <w:rFonts w:ascii="Arial" w:cs="Arial" w:eastAsia="Arial" w:hAnsi="Arial"/>
          <w:sz w:val="17"/>
          <w:szCs w:val="17"/>
          <w:color w:val="auto"/>
        </w:rPr>
        <w:t>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19"/>
        <w:spacing w:after="0" w:line="259" w:lineRule="auto"/>
        <w:rPr>
          <w:sz w:val="20"/>
          <w:szCs w:val="20"/>
          <w:color w:val="auto"/>
        </w:rPr>
      </w:pPr>
      <w:r>
        <w:rPr>
          <w:rFonts w:ascii="Arial" w:cs="Arial" w:eastAsia="Arial" w:hAnsi="Arial"/>
          <w:sz w:val="18"/>
          <w:szCs w:val="18"/>
          <w:color w:val="auto"/>
        </w:rPr>
        <w:t>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87" w:lineRule="exact"/>
        <w:rPr>
          <w:sz w:val="20"/>
          <w:szCs w:val="20"/>
          <w:color w:val="auto"/>
        </w:rPr>
      </w:pPr>
    </w:p>
    <w:p>
      <w:pPr>
        <w:ind w:right="19" w:firstLine="648"/>
        <w:spacing w:after="0" w:line="217" w:lineRule="exact"/>
        <w:rPr>
          <w:sz w:val="20"/>
          <w:szCs w:val="20"/>
          <w:color w:val="auto"/>
        </w:rPr>
      </w:pPr>
      <w:r>
        <w:rPr>
          <w:rFonts w:ascii="Arial" w:cs="Arial" w:eastAsia="Arial" w:hAnsi="Arial"/>
          <w:sz w:val="17"/>
          <w:szCs w:val="17"/>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product not commercially viable.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980" w:right="139" w:hanging="329"/>
        <w:spacing w:after="0" w:line="342"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3" w:lineRule="exact"/>
        <w:rPr>
          <w:sz w:val="20"/>
          <w:szCs w:val="20"/>
          <w:color w:val="auto"/>
        </w:rPr>
      </w:pPr>
    </w:p>
    <w:p>
      <w:pPr>
        <w:ind w:right="79" w:firstLine="648"/>
        <w:spacing w:after="0" w:line="220" w:lineRule="exact"/>
        <w:rPr>
          <w:sz w:val="20"/>
          <w:szCs w:val="20"/>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980" w:right="219" w:hanging="329"/>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239" w:hanging="329"/>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980" w:right="19" w:hanging="329"/>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48" w:lineRule="exact"/>
        <w:rPr>
          <w:rFonts w:ascii="Arial" w:cs="Arial" w:eastAsia="Arial" w:hAnsi="Arial"/>
          <w:sz w:val="16"/>
          <w:szCs w:val="16"/>
          <w:color w:val="auto"/>
        </w:rPr>
      </w:pPr>
    </w:p>
    <w:p>
      <w:pPr>
        <w:ind w:left="980" w:right="599" w:hanging="329"/>
        <w:spacing w:after="0" w:line="223" w:lineRule="exact"/>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w:t>
      </w:r>
    </w:p>
    <w:p>
      <w:pPr>
        <w:spacing w:after="0" w:line="203" w:lineRule="exact"/>
        <w:rPr>
          <w:rFonts w:ascii="Arial" w:cs="Arial" w:eastAsia="Arial" w:hAnsi="Arial"/>
          <w:sz w:val="18"/>
          <w:szCs w:val="18"/>
          <w:color w:val="auto"/>
        </w:rPr>
      </w:pPr>
    </w:p>
    <w:p>
      <w:pPr>
        <w:ind w:left="980" w:right="99" w:hanging="329"/>
        <w:spacing w:after="0" w:line="342"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123" w:lineRule="exact"/>
        <w:rPr>
          <w:rFonts w:ascii="Arial" w:cs="Arial" w:eastAsia="Arial" w:hAnsi="Arial"/>
          <w:sz w:val="16"/>
          <w:szCs w:val="16"/>
          <w:color w:val="auto"/>
        </w:rPr>
      </w:pPr>
    </w:p>
    <w:p>
      <w:pPr>
        <w:ind w:left="980" w:right="459" w:hanging="329"/>
        <w:spacing w:after="0" w:line="224" w:lineRule="exact"/>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with which we contract for clinical and commercial supplies;</w:t>
      </w:r>
    </w:p>
    <w:p>
      <w:pPr>
        <w:spacing w:after="0" w:line="202" w:lineRule="exact"/>
        <w:rPr>
          <w:rFonts w:ascii="Arial" w:cs="Arial" w:eastAsia="Arial" w:hAnsi="Arial"/>
          <w:sz w:val="16"/>
          <w:szCs w:val="16"/>
          <w:color w:val="auto"/>
        </w:rPr>
      </w:pPr>
    </w:p>
    <w:p>
      <w:pPr>
        <w:ind w:left="980" w:right="79" w:hanging="329"/>
        <w:spacing w:after="0" w:line="308"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980" w:right="119" w:hanging="329"/>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1"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w:t>
      </w:r>
      <w:r>
        <w:rPr>
          <w:rFonts w:ascii="MS PGothic" w:cs="MS PGothic" w:eastAsia="MS PGothic" w:hAnsi="MS PGothic"/>
          <w:sz w:val="17"/>
          <w:szCs w:val="17"/>
          <w:color w:val="auto"/>
        </w:rPr>
        <w:t>‑</w:t>
      </w:r>
      <w:r>
        <w:rPr>
          <w:rFonts w:ascii="Arial" w:cs="Arial" w:eastAsia="Arial" w:hAnsi="Arial"/>
          <w:sz w:val="17"/>
          <w:szCs w:val="17"/>
          <w:color w:val="auto"/>
        </w:rPr>
        <w:t xml:space="preserve">clinical studies, clinical trials,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other studies and testing. In addition, varying interpretations of the data obtained from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could delay, limit or prevent marketing approval of a product candidate. Any</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24" w:lineRule="exact"/>
        <w:rPr>
          <w:sz w:val="20"/>
          <w:szCs w:val="20"/>
          <w:color w:val="auto"/>
        </w:rPr>
      </w:pPr>
      <w:r>
        <w:rPr>
          <w:rFonts w:ascii="Arial" w:cs="Arial" w:eastAsia="Arial" w:hAnsi="Arial"/>
          <w:sz w:val="17"/>
          <w:szCs w:val="17"/>
          <w:color w:val="auto"/>
        </w:rPr>
        <w:t>marketing approval we, or any collaborators we may have in the future,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drug not commercially viable.</w:t>
      </w:r>
    </w:p>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9"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diseases and those designated as orphan medicinal products.</w:t>
      </w:r>
    </w:p>
    <w:p>
      <w:pPr>
        <w:spacing w:after="0" w:line="20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1" w:lineRule="exact"/>
        <w:rPr>
          <w:sz w:val="20"/>
          <w:szCs w:val="20"/>
          <w:color w:val="auto"/>
        </w:rPr>
      </w:pPr>
    </w:p>
    <w:p>
      <w:pPr>
        <w:ind w:left="980" w:hanging="329"/>
        <w:spacing w:after="0" w:line="207" w:lineRule="exact"/>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medicinal product is positive;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jc w:val="both"/>
        <w:ind w:right="80" w:firstLine="648"/>
        <w:spacing w:after="0" w:line="221" w:lineRule="exact"/>
        <w:rPr>
          <w:sz w:val="20"/>
          <w:szCs w:val="20"/>
          <w:color w:val="auto"/>
        </w:rPr>
      </w:pPr>
      <w:r>
        <w:rPr>
          <w:rFonts w:ascii="Arial" w:cs="Arial" w:eastAsia="Arial" w:hAnsi="Arial"/>
          <w:sz w:val="17"/>
          <w:szCs w:val="17"/>
          <w:color w:val="auto"/>
        </w:rPr>
        <w:t>The granting of a conditional marketing authorization is restricted to situations in which only the clinical part of the application is not yet fully complete. Incomplete non</w:t>
      </w:r>
      <w:r>
        <w:rPr>
          <w:rFonts w:ascii="MS PGothic" w:cs="MS PGothic" w:eastAsia="MS PGothic" w:hAnsi="MS PGothic"/>
          <w:sz w:val="17"/>
          <w:szCs w:val="17"/>
          <w:color w:val="auto"/>
        </w:rPr>
        <w:t>‑</w:t>
      </w:r>
      <w:r>
        <w:rPr>
          <w:rFonts w:ascii="Arial" w:cs="Arial" w:eastAsia="Arial" w:hAnsi="Arial"/>
          <w:sz w:val="17"/>
          <w:szCs w:val="17"/>
          <w:color w:val="auto"/>
        </w:rPr>
        <w:t>clinical or quality data may only be accepted if duly justified and only in the case of a product intended to be used in emergency situations in response to public</w:t>
      </w:r>
      <w:r>
        <w:rPr>
          <w:rFonts w:ascii="MS PGothic" w:cs="MS PGothic" w:eastAsia="MS PGothic" w:hAnsi="MS PGothic"/>
          <w:sz w:val="17"/>
          <w:szCs w:val="17"/>
          <w:color w:val="auto"/>
        </w:rPr>
        <w:t>‑</w:t>
      </w:r>
      <w:r>
        <w:rPr>
          <w:rFonts w:ascii="Arial" w:cs="Arial" w:eastAsia="Arial" w:hAnsi="Arial"/>
          <w:sz w:val="17"/>
          <w:szCs w:val="17"/>
          <w:color w:val="auto"/>
        </w:rPr>
        <w:t>health threats.</w:t>
      </w:r>
    </w:p>
    <w:p>
      <w:pPr>
        <w:spacing w:after="0" w:line="202" w:lineRule="exact"/>
        <w:rPr>
          <w:sz w:val="20"/>
          <w:szCs w:val="20"/>
          <w:color w:val="auto"/>
        </w:rPr>
      </w:pPr>
    </w:p>
    <w:p>
      <w:pPr>
        <w:jc w:val="both"/>
        <w:ind w:right="320" w:firstLine="648"/>
        <w:spacing w:after="0" w:line="221" w:lineRule="exact"/>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w:t>
      </w:r>
      <w:r>
        <w:rPr>
          <w:rFonts w:ascii="MS PGothic" w:cs="MS PGothic" w:eastAsia="MS PGothic" w:hAnsi="MS PGothic"/>
          <w:sz w:val="16"/>
          <w:szCs w:val="16"/>
          <w:color w:val="auto"/>
        </w:rPr>
        <w:t>‑</w:t>
      </w:r>
      <w:r>
        <w:rPr>
          <w:rFonts w:ascii="Arial" w:cs="Arial" w:eastAsia="Arial" w:hAnsi="Arial"/>
          <w:sz w:val="16"/>
          <w:szCs w:val="16"/>
          <w:color w:val="auto"/>
        </w:rPr>
        <w:t>risk balance is positive. In addition, specific obligations may be imposed in relation to the collection of pharmacovigilance data.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right="200" w:firstLine="648"/>
        <w:spacing w:after="0" w:line="219" w:lineRule="exact"/>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studies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and product candidates in later stages of clinical trials may fail to show the desired safety and efficacy despite having progressed through pre</w:t>
      </w:r>
      <w:r>
        <w:rPr>
          <w:rFonts w:ascii="MS PGothic" w:cs="MS PGothic" w:eastAsia="MS PGothic" w:hAnsi="MS PGothic"/>
          <w:sz w:val="17"/>
          <w:szCs w:val="17"/>
          <w:color w:val="auto"/>
        </w:rPr>
        <w:t>‑</w:t>
      </w:r>
      <w:r>
        <w:rPr>
          <w:rFonts w:ascii="Arial" w:cs="Arial" w:eastAsia="Arial" w:hAnsi="Arial"/>
          <w:sz w:val="17"/>
          <w:szCs w:val="17"/>
          <w:color w:val="auto"/>
        </w:rPr>
        <w:t>clinical studies and initial clinical trials. In addition, our product candidates could fail to receive regulatory approval for many reasons, including the following:</w:t>
      </w:r>
    </w:p>
    <w:p>
      <w:pPr>
        <w:spacing w:after="0" w:line="205" w:lineRule="exact"/>
        <w:rPr>
          <w:sz w:val="20"/>
          <w:szCs w:val="20"/>
          <w:color w:val="auto"/>
        </w:rPr>
      </w:pPr>
    </w:p>
    <w:p>
      <w:pPr>
        <w:ind w:left="980" w:right="240" w:hanging="329"/>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w:t>
      </w:r>
      <w:r>
        <w:rPr>
          <w:rFonts w:ascii="MS PGothic" w:cs="MS PGothic" w:eastAsia="MS PGothic" w:hAnsi="MS PGothic"/>
          <w:sz w:val="18"/>
          <w:szCs w:val="18"/>
          <w:color w:val="auto"/>
        </w:rPr>
        <w:t>‑</w:t>
      </w:r>
      <w:r>
        <w:rPr>
          <w:rFonts w:ascii="Arial" w:cs="Arial" w:eastAsia="Arial" w:hAnsi="Arial"/>
          <w:sz w:val="18"/>
          <w:szCs w:val="18"/>
          <w:color w:val="auto"/>
        </w:rPr>
        <w:t>benefit ratios for their proposed indications are acceptable;</w:t>
      </w:r>
    </w:p>
    <w:p>
      <w:pPr>
        <w:spacing w:after="0" w:line="203" w:lineRule="exact"/>
        <w:rPr>
          <w:rFonts w:ascii="Arial" w:cs="Arial" w:eastAsia="Arial" w:hAnsi="Arial"/>
          <w:sz w:val="18"/>
          <w:szCs w:val="18"/>
          <w:color w:val="auto"/>
        </w:rPr>
      </w:pPr>
    </w:p>
    <w:p>
      <w:pPr>
        <w:ind w:left="980" w:right="40" w:hanging="329"/>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980" w:right="620" w:hanging="329"/>
        <w:spacing w:after="0" w:line="223"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w:t>
      </w:r>
    </w:p>
    <w:p>
      <w:pPr>
        <w:spacing w:after="0" w:line="203" w:lineRule="exact"/>
        <w:rPr>
          <w:rFonts w:ascii="Arial" w:cs="Arial" w:eastAsia="Arial" w:hAnsi="Arial"/>
          <w:sz w:val="18"/>
          <w:szCs w:val="18"/>
          <w:color w:val="auto"/>
        </w:rPr>
      </w:pPr>
    </w:p>
    <w:p>
      <w:pPr>
        <w:ind w:left="980" w:right="240" w:hanging="329"/>
        <w:spacing w:after="0" w:line="312"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6" w:lineRule="exact"/>
        <w:rPr>
          <w:rFonts w:ascii="Arial" w:cs="Arial" w:eastAsia="Arial" w:hAnsi="Arial"/>
          <w:sz w:val="16"/>
          <w:szCs w:val="16"/>
          <w:color w:val="auto"/>
        </w:rPr>
      </w:pPr>
    </w:p>
    <w:p>
      <w:pPr>
        <w:ind w:left="980" w:hanging="329"/>
        <w:spacing w:after="0" w:line="221"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facilities with which we contract for clinical and commercial supplies; and</w:t>
      </w:r>
    </w:p>
    <w:p>
      <w:pPr>
        <w:spacing w:after="0" w:line="201"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In addition, in the event of Brexit, European and worldwide economic or market conditions will be affected, which could lead 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instability in global financial markets.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seek BTD for one or more of our other product candidates. We may not receive such designation, and even if we do, such designation may not lead to a faster development or regulatory review or approval process.</w:t>
      </w:r>
    </w:p>
    <w:p>
      <w:pPr>
        <w:spacing w:after="0" w:line="12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2012, the FDA established BTD, which is intended to expedite the development and review of products that treat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204"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w:t>
      </w:r>
      <w:r>
        <w:rPr>
          <w:rFonts w:ascii="MS PGothic" w:cs="MS PGothic" w:eastAsia="MS PGothic" w:hAnsi="MS PGothic"/>
          <w:sz w:val="18"/>
          <w:szCs w:val="18"/>
          <w:color w:val="auto"/>
        </w:rPr>
        <w:t>‑</w:t>
      </w:r>
      <w:r>
        <w:rPr>
          <w:rFonts w:ascii="Arial" w:cs="Arial" w:eastAsia="Arial" w:hAnsi="Arial"/>
          <w:sz w:val="18"/>
          <w:szCs w:val="18"/>
          <w:color w:val="auto"/>
        </w:rPr>
        <w:t>month review cycle or at all. BTD does not change the standards for product approval.</w:t>
      </w:r>
    </w:p>
    <w:p>
      <w:pPr>
        <w:spacing w:after="0" w:line="204"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 xml:space="preserve">In June 2017, </w:t>
      </w:r>
      <w:r>
        <w:rPr>
          <w:rFonts w:ascii="Arial" w:cs="Arial" w:eastAsia="Arial" w:hAnsi="Arial"/>
          <w:sz w:val="7"/>
          <w:szCs w:val="7"/>
          <w:color w:val="auto"/>
        </w:rPr>
        <w:t>131</w:t>
      </w:r>
      <w:r>
        <w:rPr>
          <w:rFonts w:ascii="Arial" w:cs="Arial" w:eastAsia="Arial" w:hAnsi="Arial"/>
          <w:sz w:val="16"/>
          <w:szCs w:val="16"/>
          <w:color w:val="auto"/>
        </w:rPr>
        <w:t>I</w:t>
      </w:r>
      <w:r>
        <w:rPr>
          <w:rFonts w:ascii="MS PGothic" w:cs="MS PGothic" w:eastAsia="MS PGothic" w:hAnsi="MS PGothic"/>
          <w:sz w:val="16"/>
          <w:szCs w:val="16"/>
          <w:color w:val="auto"/>
        </w:rPr>
        <w:t>‑</w:t>
      </w:r>
      <w:r>
        <w:rPr>
          <w:rFonts w:ascii="Arial" w:cs="Arial" w:eastAsia="Arial" w:hAnsi="Arial"/>
          <w:sz w:val="16"/>
          <w:szCs w:val="16"/>
          <w:color w:val="auto"/>
        </w:rPr>
        <w:t>omburtamab received BTD for the treatment of pediatric patients with R/R NB who have CNS/LM</w:t>
      </w:r>
    </w:p>
    <w:p>
      <w:pPr>
        <w:spacing w:after="0" w:line="4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from NB. In addition, on August 20, 2018, naxitamab received BTD in combination with GM</w:t>
      </w:r>
      <w:r>
        <w:rPr>
          <w:rFonts w:ascii="MS PGothic" w:cs="MS PGothic" w:eastAsia="MS PGothic" w:hAnsi="MS PGothic"/>
          <w:sz w:val="17"/>
          <w:szCs w:val="17"/>
          <w:color w:val="auto"/>
        </w:rPr>
        <w:t>‑</w:t>
      </w:r>
      <w:r>
        <w:rPr>
          <w:rFonts w:ascii="Arial" w:cs="Arial" w:eastAsia="Arial" w:hAnsi="Arial"/>
          <w:sz w:val="17"/>
          <w:szCs w:val="17"/>
          <w:color w:val="auto"/>
        </w:rPr>
        <w:t>CSF, for the treatment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high</w:t>
      </w:r>
      <w:r>
        <w:rPr>
          <w:rFonts w:ascii="MS PGothic" w:cs="MS PGothic" w:eastAsia="MS PGothic" w:hAnsi="MS PGothic"/>
          <w:sz w:val="16"/>
          <w:szCs w:val="16"/>
          <w:color w:val="auto"/>
        </w:rPr>
        <w:t>‑</w:t>
      </w:r>
      <w:r>
        <w:rPr>
          <w:rFonts w:ascii="Arial" w:cs="Arial" w:eastAsia="Arial" w:hAnsi="Arial"/>
          <w:sz w:val="16"/>
          <w:szCs w:val="16"/>
          <w:color w:val="auto"/>
        </w:rPr>
        <w:t>risk NB refractory to initial therapy or with incomplete response to salvage therapy in patients greater than 12 months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 with persistent, refractory disease limited to bone marrow with or without evidence of concurrent bone involvement.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seek BTD for some or all of our other product candidates, but we may never receive such BTD, or, if received,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our product candidates may not be expedited or benefited by such designation.</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2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United States where there is no reasonable expectation that the cost of developing the drug will be recovered from sales in the United States. In August 2016, the FDA granted ODD to omburtamab for the treatment of CNS/LM from NB. In April 2017, the EMA granted ODD to omburtamab for the treatment of CNS/LM from NB.</w:t>
      </w:r>
    </w:p>
    <w:p>
      <w:pPr>
        <w:spacing w:after="0" w:line="166"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the MSK License provide that MSK is entitled to receive 40% to 50% of any income generated from the sale of first such PRV, and 33% of any income generated from the sale of any subsequent PRV or the sale of other comparable incentives provided by any non</w:t>
      </w:r>
      <w:r>
        <w:rPr>
          <w:rFonts w:ascii="MS PGothic" w:cs="MS PGothic" w:eastAsia="MS PGothic" w:hAnsi="MS PGothic"/>
          <w:sz w:val="16"/>
          <w:szCs w:val="16"/>
          <w:color w:val="auto"/>
        </w:rPr>
        <w:t>‑</w:t>
      </w:r>
      <w:r>
        <w:rPr>
          <w:rFonts w:ascii="Arial" w:cs="Arial" w:eastAsia="Arial" w:hAnsi="Arial"/>
          <w:sz w:val="16"/>
          <w:szCs w:val="16"/>
          <w:color w:val="auto"/>
        </w:rPr>
        <w:t>U.S. jurisdiction. Additionally, the terms of the MSK CD33 License provide that MSK is entitled to receive 25% of any income generated from the sale of any PRV or the sale of other comparable incentives provided by any non</w:t>
      </w:r>
      <w:r>
        <w:rPr>
          <w:rFonts w:ascii="MS PGothic" w:cs="MS PGothic" w:eastAsia="MS PGothic" w:hAnsi="MS PGothic"/>
          <w:sz w:val="16"/>
          <w:szCs w:val="16"/>
          <w:color w:val="auto"/>
        </w:rPr>
        <w:t>‑</w:t>
      </w:r>
      <w:r>
        <w:rPr>
          <w:rFonts w:ascii="Arial" w:cs="Arial" w:eastAsia="Arial" w:hAnsi="Arial"/>
          <w:sz w:val="16"/>
          <w:szCs w:val="16"/>
          <w:color w:val="auto"/>
        </w:rPr>
        <w:t>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w:t>
      </w:r>
      <w:r>
        <w:rPr>
          <w:rFonts w:ascii="MS PGothic" w:cs="MS PGothic" w:eastAsia="MS PGothic" w:hAnsi="MS PGothic"/>
          <w:sz w:val="17"/>
          <w:szCs w:val="17"/>
          <w:color w:val="auto"/>
        </w:rPr>
        <w:t>‑</w:t>
      </w:r>
      <w:r>
        <w:rPr>
          <w:rFonts w:ascii="Arial" w:cs="Arial" w:eastAsia="Arial" w:hAnsi="Arial"/>
          <w:sz w:val="17"/>
          <w:szCs w:val="17"/>
          <w:color w:val="auto"/>
        </w:rPr>
        <w:t>designated indication due to the uncertainties associated with developing pharmaceutical products. In addition, exclusive marketing rights in the United States may be limited if we seek approval for an indication broader than the orphan</w:t>
      </w:r>
      <w:r>
        <w:rPr>
          <w:rFonts w:ascii="MS PGothic" w:cs="MS PGothic" w:eastAsia="MS PGothic" w:hAnsi="MS PGothic"/>
          <w:sz w:val="17"/>
          <w:szCs w:val="17"/>
          <w:color w:val="auto"/>
        </w:rPr>
        <w:t>‑</w:t>
      </w:r>
      <w:r>
        <w:rPr>
          <w:rFonts w:ascii="Arial" w:cs="Arial" w:eastAsia="Arial" w:hAnsi="Arial"/>
          <w:sz w:val="17"/>
          <w:szCs w:val="17"/>
          <w:color w:val="auto"/>
        </w:rPr>
        <w:t>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208"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31"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Once marketing approval has been granted, an approved drug and its manufacturer and marketer are subject to ongoing review and extensive regulation.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87"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The FDA may also impose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87"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If we, and our future potential collaborators, are not able to comply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regulations may have a negative effect on our operating results and financial condition.</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5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one” provisions may apply not only to agency regulations, but also to significant agency guidance documents. In addition, on February 24, 2017, President Trump issued an Executive Order directing each affected agency to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designate an agency official as a “Regulatory Reform Officer” and establish a “Regulatory Reform Task Force” to implement the two</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0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70"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The FDA and other agencies, including the Department of Justice, or the DOJ, closely regulate and monitor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or our potential future collaborators, do not market any of our product candidates for which we, or they, receive marketing approval for only their approved indications, we, or they, may be subject to warnings or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20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1" w:lineRule="exact"/>
        <w:rPr>
          <w:sz w:val="20"/>
          <w:szCs w:val="20"/>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restrictions on coverage by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1"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20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3"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In March 2010, then</w:t>
      </w:r>
      <w:r>
        <w:rPr>
          <w:rFonts w:ascii="MS PGothic" w:cs="MS PGothic" w:eastAsia="MS PGothic" w:hAnsi="MS PGothic"/>
          <w:sz w:val="18"/>
          <w:szCs w:val="18"/>
          <w:color w:val="auto"/>
        </w:rPr>
        <w:t>‑</w:t>
      </w:r>
      <w:r>
        <w:rPr>
          <w:rFonts w:ascii="Arial" w:cs="Arial" w:eastAsia="Arial" w:hAnsi="Arial"/>
          <w:sz w:val="18"/>
          <w:szCs w:val="18"/>
          <w:color w:val="auto"/>
        </w:rPr>
        <w:t>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204" w:lineRule="exact"/>
        <w:rPr>
          <w:sz w:val="20"/>
          <w:szCs w:val="20"/>
          <w:color w:val="auto"/>
        </w:rPr>
      </w:pPr>
    </w:p>
    <w:p>
      <w:pPr>
        <w:ind w:left="980" w:right="160" w:hanging="329"/>
        <w:spacing w:after="0" w:line="223" w:lineRule="exact"/>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annual, non</w:t>
      </w:r>
      <w:r>
        <w:rPr>
          <w:rFonts w:ascii="MS PGothic" w:cs="MS PGothic" w:eastAsia="MS PGothic" w:hAnsi="MS PGothic"/>
          <w:sz w:val="18"/>
          <w:szCs w:val="18"/>
          <w:color w:val="auto"/>
        </w:rPr>
        <w:t>‑</w:t>
      </w:r>
      <w:r>
        <w:rPr>
          <w:rFonts w:ascii="Arial" w:cs="Arial" w:eastAsia="Arial" w:hAnsi="Arial"/>
          <w:sz w:val="18"/>
          <w:szCs w:val="18"/>
          <w:color w:val="auto"/>
        </w:rPr>
        <w:t>deductible fee on any entity that manufactures or imports specified branded prescription drugs and biologic agents;</w:t>
      </w:r>
    </w:p>
    <w:p>
      <w:pPr>
        <w:spacing w:after="0" w:line="203" w:lineRule="exact"/>
        <w:rPr>
          <w:rFonts w:ascii="Arial" w:cs="Arial" w:eastAsia="Arial" w:hAnsi="Arial"/>
          <w:sz w:val="18"/>
          <w:szCs w:val="18"/>
          <w:color w:val="auto"/>
        </w:rPr>
      </w:pPr>
    </w:p>
    <w:p>
      <w:pPr>
        <w:ind w:left="980" w:right="420" w:hanging="329"/>
        <w:spacing w:after="0" w:line="264"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1" w:lineRule="exact"/>
        <w:rPr>
          <w:rFonts w:ascii="Arial" w:cs="Arial" w:eastAsia="Arial" w:hAnsi="Arial"/>
          <w:sz w:val="18"/>
          <w:szCs w:val="18"/>
          <w:color w:val="auto"/>
        </w:rPr>
      </w:pPr>
    </w:p>
    <w:p>
      <w:pPr>
        <w:ind w:left="980" w:right="200" w:hanging="329"/>
        <w:spacing w:after="0" w:line="224" w:lineRule="exact"/>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w:t>
      </w:r>
      <w:r>
        <w:rPr>
          <w:rFonts w:ascii="MS PGothic" w:cs="MS PGothic" w:eastAsia="MS PGothic" w:hAnsi="MS PGothic"/>
          <w:sz w:val="17"/>
          <w:szCs w:val="17"/>
          <w:color w:val="auto"/>
        </w:rPr>
        <w:t>‑</w:t>
      </w:r>
      <w:r>
        <w:rPr>
          <w:rFonts w:ascii="Arial" w:cs="Arial" w:eastAsia="Arial" w:hAnsi="Arial"/>
          <w:sz w:val="17"/>
          <w:szCs w:val="17"/>
          <w:color w:val="auto"/>
        </w:rPr>
        <w:t>Kickback Statute, new government investigative powers and enhanced penalties for non</w:t>
      </w:r>
      <w:r>
        <w:rPr>
          <w:rFonts w:ascii="MS PGothic" w:cs="MS PGothic" w:eastAsia="MS PGothic" w:hAnsi="MS PGothic"/>
          <w:sz w:val="17"/>
          <w:szCs w:val="17"/>
          <w:color w:val="auto"/>
        </w:rPr>
        <w:t>‑</w:t>
      </w:r>
      <w:r>
        <w:rPr>
          <w:rFonts w:ascii="Arial" w:cs="Arial" w:eastAsia="Arial" w:hAnsi="Arial"/>
          <w:sz w:val="17"/>
          <w:szCs w:val="17"/>
          <w:color w:val="auto"/>
        </w:rPr>
        <w:t>compliance;</w:t>
      </w:r>
    </w:p>
    <w:p>
      <w:pPr>
        <w:spacing w:after="0" w:line="201" w:lineRule="exact"/>
        <w:rPr>
          <w:rFonts w:ascii="Arial" w:cs="Arial" w:eastAsia="Arial" w:hAnsi="Arial"/>
          <w:sz w:val="17"/>
          <w:szCs w:val="17"/>
          <w:color w:val="auto"/>
        </w:rPr>
      </w:pPr>
    </w:p>
    <w:p>
      <w:pPr>
        <w:ind w:left="980" w:right="400" w:hanging="329"/>
        <w:spacing w:after="0" w:line="220" w:lineRule="exact"/>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204" w:lineRule="exact"/>
        <w:rPr>
          <w:rFonts w:ascii="Arial" w:cs="Arial" w:eastAsia="Arial" w:hAnsi="Arial"/>
          <w:sz w:val="18"/>
          <w:szCs w:val="18"/>
          <w:color w:val="auto"/>
        </w:rPr>
      </w:pPr>
    </w:p>
    <w:p>
      <w:pPr>
        <w:ind w:left="980" w:hanging="329"/>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40" w:hanging="329"/>
        <w:spacing w:after="0" w:line="286" w:lineRule="auto"/>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248" w:lineRule="exact"/>
        <w:rPr>
          <w:rFonts w:ascii="Arial" w:cs="Arial" w:eastAsia="Arial" w:hAnsi="Arial"/>
          <w:sz w:val="16"/>
          <w:szCs w:val="16"/>
          <w:color w:val="auto"/>
        </w:rPr>
      </w:pPr>
    </w:p>
    <w:p>
      <w:pPr>
        <w:ind w:left="980" w:right="60" w:hanging="329"/>
        <w:spacing w:after="0" w:line="223" w:lineRule="exact"/>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 and</w:t>
      </w:r>
    </w:p>
    <w:p>
      <w:pPr>
        <w:spacing w:after="0" w:line="203" w:lineRule="exact"/>
        <w:rPr>
          <w:rFonts w:ascii="Arial" w:cs="Arial" w:eastAsia="Arial" w:hAnsi="Arial"/>
          <w:sz w:val="18"/>
          <w:szCs w:val="18"/>
          <w:color w:val="auto"/>
        </w:rPr>
      </w:pPr>
    </w:p>
    <w:p>
      <w:pPr>
        <w:ind w:left="980" w:right="20" w:hanging="329"/>
        <w:spacing w:after="0" w:line="264"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President Trump has also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w:t>
      </w:r>
      <w:r>
        <w:rPr>
          <w:rFonts w:ascii="MS PGothic" w:cs="MS PGothic" w:eastAsia="MS PGothic" w:hAnsi="MS PGothic"/>
          <w:sz w:val="16"/>
          <w:szCs w:val="16"/>
          <w:color w:val="auto"/>
        </w:rPr>
        <w:t>‑</w:t>
      </w:r>
      <w:r>
        <w:rPr>
          <w:rFonts w:ascii="Arial" w:cs="Arial" w:eastAsia="Arial" w:hAnsi="Arial"/>
          <w:sz w:val="16"/>
          <w:szCs w:val="16"/>
          <w:color w:val="auto"/>
        </w:rPr>
        <w:t>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continue to be proposals by legislators at both the federal and state levels, regulators and third party payors to keep healthcare costs down while expanding individual healthcare benefits.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203"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Legislative and regulatory proposals have also been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8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which may render our product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candidates, if approved, not commercially viable or may adversely affect our anticipated future revenues and gross margins.</w:t>
      </w:r>
    </w:p>
    <w:p>
      <w:pPr>
        <w:spacing w:after="0" w:line="248" w:lineRule="exact"/>
        <w:rPr>
          <w:sz w:val="20"/>
          <w:szCs w:val="20"/>
          <w:color w:val="auto"/>
        </w:rPr>
      </w:pPr>
    </w:p>
    <w:p>
      <w:pPr>
        <w:jc w:val="both"/>
        <w:ind w:right="11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71" w:lineRule="exact"/>
        <w:rPr>
          <w:sz w:val="20"/>
          <w:szCs w:val="20"/>
          <w:color w:val="auto"/>
        </w:rPr>
      </w:pPr>
    </w:p>
    <w:p>
      <w:pPr>
        <w:ind w:right="39"/>
        <w:spacing w:after="0" w:line="221" w:lineRule="exact"/>
        <w:rPr>
          <w:sz w:val="20"/>
          <w:szCs w:val="20"/>
          <w:color w:val="auto"/>
        </w:rPr>
      </w:pPr>
      <w:r>
        <w:rPr>
          <w:rFonts w:ascii="Arial" w:cs="Arial" w:eastAsia="Arial" w:hAnsi="Arial"/>
          <w:sz w:val="15"/>
          <w:szCs w:val="15"/>
          <w:b w:val="1"/>
          <w:bCs w:val="1"/>
          <w:i w:val="1"/>
          <w:iCs w:val="1"/>
          <w:color w:val="auto"/>
        </w:rPr>
        <w:t>Our relationships with healthcare providers, physicians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penalties, including criminal sanctions, civil penalties, contractual damages, reputational harm and diminished profits and future earnings.</w:t>
      </w:r>
    </w:p>
    <w:p>
      <w:pPr>
        <w:spacing w:after="0" w:line="202" w:lineRule="exact"/>
        <w:rPr>
          <w:sz w:val="20"/>
          <w:szCs w:val="20"/>
          <w:color w:val="auto"/>
        </w:rPr>
      </w:pPr>
    </w:p>
    <w:p>
      <w:pPr>
        <w:ind w:right="259" w:firstLine="648"/>
        <w:spacing w:after="0" w:line="218" w:lineRule="exact"/>
        <w:rPr>
          <w:sz w:val="20"/>
          <w:szCs w:val="20"/>
          <w:color w:val="auto"/>
        </w:rPr>
      </w:pPr>
      <w:r>
        <w:rPr>
          <w:rFonts w:ascii="Arial" w:cs="Arial" w:eastAsia="Arial" w:hAnsi="Arial"/>
          <w:sz w:val="17"/>
          <w:szCs w:val="17"/>
          <w:color w:val="auto"/>
        </w:rPr>
        <w:t>Our relationships with healthcare providers, physicians and third</w:t>
      </w:r>
      <w:r>
        <w:rPr>
          <w:rFonts w:ascii="MS PGothic" w:cs="MS PGothic" w:eastAsia="MS PGothic" w:hAnsi="MS PGothic"/>
          <w:sz w:val="17"/>
          <w:szCs w:val="17"/>
          <w:color w:val="auto"/>
        </w:rPr>
        <w:t>‑</w:t>
      </w:r>
      <w:r>
        <w:rPr>
          <w:rFonts w:ascii="Arial" w:cs="Arial" w:eastAsia="Arial" w:hAnsi="Arial"/>
          <w:sz w:val="17"/>
          <w:szCs w:val="17"/>
          <w:color w:val="auto"/>
        </w:rPr>
        <w:t>party payors will subject us to additional healthcare statutory and regulatory requirements and enforcement by the federal government and the states and foreign governments in which we conduct our business. Our future arrangements with healthcare providers, physicians and third</w:t>
      </w:r>
      <w:r>
        <w:rPr>
          <w:rFonts w:ascii="MS PGothic" w:cs="MS PGothic" w:eastAsia="MS PGothic" w:hAnsi="MS PGothic"/>
          <w:sz w:val="17"/>
          <w:szCs w:val="17"/>
          <w:color w:val="auto"/>
        </w:rPr>
        <w:t>‑</w:t>
      </w:r>
      <w:r>
        <w:rPr>
          <w:rFonts w:ascii="Arial" w:cs="Arial" w:eastAsia="Arial" w:hAnsi="Arial"/>
          <w:sz w:val="17"/>
          <w:szCs w:val="17"/>
          <w:color w:val="auto"/>
        </w:rPr>
        <w:t>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206" w:lineRule="exact"/>
        <w:rPr>
          <w:sz w:val="20"/>
          <w:szCs w:val="20"/>
          <w:color w:val="auto"/>
        </w:rPr>
      </w:pPr>
    </w:p>
    <w:p>
      <w:pPr>
        <w:ind w:left="980" w:right="19" w:hanging="329"/>
        <w:spacing w:after="0" w:line="219" w:lineRule="exact"/>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Anti</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Kickback Statute</w:t>
      </w:r>
      <w:r>
        <w:rPr>
          <w:rFonts w:ascii="Arial" w:cs="Arial" w:eastAsia="Arial" w:hAnsi="Arial"/>
          <w:sz w:val="17"/>
          <w:szCs w:val="17"/>
          <w:color w:val="auto"/>
        </w:rPr>
        <w:t>—the federal healthcare anti</w:t>
      </w:r>
      <w:r>
        <w:rPr>
          <w:rFonts w:ascii="MS PGothic" w:cs="MS PGothic" w:eastAsia="MS PGothic" w:hAnsi="MS PGothic"/>
          <w:sz w:val="17"/>
          <w:szCs w:val="17"/>
          <w:color w:val="auto"/>
        </w:rPr>
        <w:t>‑</w:t>
      </w:r>
      <w:r>
        <w:rPr>
          <w:rFonts w:ascii="Arial" w:cs="Arial" w:eastAsia="Arial" w:hAnsi="Arial"/>
          <w:sz w:val="17"/>
          <w:szCs w:val="17"/>
          <w:color w:val="auto"/>
        </w:rPr>
        <w:t>kickback statute prohibits, among other things, persons from</w:t>
      </w:r>
      <w:r>
        <w:rPr>
          <w:rFonts w:ascii="Arial" w:cs="Arial" w:eastAsia="Arial" w:hAnsi="Arial"/>
          <w:sz w:val="17"/>
          <w:szCs w:val="17"/>
          <w:i w:val="1"/>
          <w:iCs w:val="1"/>
          <w:color w:val="auto"/>
        </w:rPr>
        <w:t xml:space="preserve"> </w:t>
      </w:r>
      <w:r>
        <w:rPr>
          <w:rFonts w:ascii="Arial" w:cs="Arial" w:eastAsia="Arial" w:hAnsi="Arial"/>
          <w:sz w:val="17"/>
          <w:szCs w:val="17"/>
          <w:color w:val="auto"/>
        </w:rPr>
        <w:t>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02" w:lineRule="exact"/>
        <w:rPr>
          <w:rFonts w:ascii="Arial" w:cs="Arial" w:eastAsia="Arial" w:hAnsi="Arial"/>
          <w:sz w:val="17"/>
          <w:szCs w:val="17"/>
          <w:color w:val="auto"/>
        </w:rPr>
      </w:pPr>
    </w:p>
    <w:p>
      <w:pPr>
        <w:ind w:left="980" w:right="59" w:hanging="329"/>
        <w:spacing w:after="0" w:line="218" w:lineRule="exact"/>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False Claims Act</w:t>
      </w:r>
      <w:r>
        <w:rPr>
          <w:rFonts w:ascii="Arial" w:cs="Arial" w:eastAsia="Arial" w:hAnsi="Arial"/>
          <w:sz w:val="16"/>
          <w:szCs w:val="16"/>
          <w:color w:val="auto"/>
        </w:rPr>
        <w:t>—the federal False Claims Act imposes criminal and civil penalties, including through civil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w:t>
      </w:r>
      <w:r>
        <w:rPr>
          <w:rFonts w:ascii="MS PGothic" w:cs="MS PGothic" w:eastAsia="MS PGothic" w:hAnsi="MS PGothic"/>
          <w:sz w:val="16"/>
          <w:szCs w:val="16"/>
          <w:color w:val="auto"/>
        </w:rPr>
        <w:t>‑</w:t>
      </w:r>
      <w:r>
        <w:rPr>
          <w:rFonts w:ascii="Arial" w:cs="Arial" w:eastAsia="Arial" w:hAnsi="Arial"/>
          <w:sz w:val="16"/>
          <w:szCs w:val="16"/>
          <w:color w:val="auto"/>
        </w:rPr>
        <w:t>claim penalties, currently set at $5,500 to $11,000 per false claim;</w:t>
      </w:r>
    </w:p>
    <w:p>
      <w:pPr>
        <w:spacing w:after="0" w:line="206" w:lineRule="exact"/>
        <w:rPr>
          <w:rFonts w:ascii="Arial" w:cs="Arial" w:eastAsia="Arial" w:hAnsi="Arial"/>
          <w:sz w:val="16"/>
          <w:szCs w:val="16"/>
          <w:color w:val="auto"/>
        </w:rPr>
      </w:pPr>
    </w:p>
    <w:p>
      <w:pPr>
        <w:ind w:left="980" w:right="19" w:hanging="329"/>
        <w:spacing w:after="0" w:line="217" w:lineRule="exact"/>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imposes criminal</w:t>
      </w:r>
      <w:r>
        <w:rPr>
          <w:rFonts w:ascii="Arial" w:cs="Arial" w:eastAsia="Arial" w:hAnsi="Arial"/>
          <w:sz w:val="17"/>
          <w:szCs w:val="17"/>
          <w:i w:val="1"/>
          <w:iCs w:val="1"/>
          <w:color w:val="auto"/>
        </w:rPr>
        <w:t xml:space="preserve"> </w:t>
      </w:r>
      <w:r>
        <w:rPr>
          <w:rFonts w:ascii="Arial" w:cs="Arial" w:eastAsia="Arial" w:hAnsi="Arial"/>
          <w:sz w:val="17"/>
          <w:szCs w:val="17"/>
          <w:color w:val="auto"/>
        </w:rPr>
        <w:t>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208" w:lineRule="exact"/>
        <w:rPr>
          <w:rFonts w:ascii="Arial" w:cs="Arial" w:eastAsia="Arial" w:hAnsi="Arial"/>
          <w:sz w:val="17"/>
          <w:szCs w:val="17"/>
          <w:color w:val="auto"/>
        </w:rPr>
      </w:pPr>
    </w:p>
    <w:p>
      <w:pPr>
        <w:ind w:left="980" w:right="39" w:hanging="329"/>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certain covered entity healthcare providers, health plans, and healthcare clearinghouse as well as their business associates that perform certain services involving the use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7" w:lineRule="exact"/>
        <w:rPr>
          <w:sz w:val="20"/>
          <w:szCs w:val="20"/>
          <w:color w:val="auto"/>
        </w:rPr>
      </w:pPr>
    </w:p>
    <w:p>
      <w:pPr>
        <w:ind w:left="980" w:right="40" w:hanging="329"/>
        <w:spacing w:after="0" w:line="290"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w:t>
      </w:r>
      <w:r>
        <w:rPr>
          <w:rFonts w:ascii="Arial" w:cs="Arial" w:eastAsia="Arial" w:hAnsi="Arial"/>
          <w:sz w:val="16"/>
          <w:szCs w:val="16"/>
          <w:i w:val="1"/>
          <w:iCs w:val="1"/>
          <w:color w:val="auto"/>
        </w:rPr>
        <w:t xml:space="preserve"> </w:t>
      </w:r>
      <w:r>
        <w:rPr>
          <w:rFonts w:ascii="Arial" w:cs="Arial" w:eastAsia="Arial" w:hAnsi="Arial"/>
          <w:sz w:val="16"/>
          <w:szCs w:val="16"/>
          <w:color w:val="auto"/>
        </w:rPr>
        <w:t>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6" w:lineRule="exact"/>
        <w:rPr>
          <w:rFonts w:ascii="Arial" w:cs="Arial" w:eastAsia="Arial" w:hAnsi="Arial"/>
          <w:sz w:val="16"/>
          <w:szCs w:val="16"/>
          <w:color w:val="auto"/>
        </w:rPr>
      </w:pPr>
    </w:p>
    <w:p>
      <w:pPr>
        <w:ind w:left="980" w:right="240" w:hanging="329"/>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devices; and</w:t>
      </w:r>
    </w:p>
    <w:p>
      <w:pPr>
        <w:spacing w:after="0" w:line="170" w:lineRule="exact"/>
        <w:rPr>
          <w:rFonts w:ascii="Arial" w:cs="Arial" w:eastAsia="Arial" w:hAnsi="Arial"/>
          <w:sz w:val="18"/>
          <w:szCs w:val="18"/>
          <w:color w:val="auto"/>
        </w:rPr>
      </w:pPr>
    </w:p>
    <w:p>
      <w:pPr>
        <w:ind w:left="980" w:right="60" w:hanging="329"/>
        <w:spacing w:after="0" w:line="220" w:lineRule="exact"/>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that may apply to sales or marketing arrangements and claims involving healthcare items or services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w:t>
      </w:r>
    </w:p>
    <w:p>
      <w:pPr>
        <w:spacing w:after="0" w:line="20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w:t>
      </w:r>
      <w:r>
        <w:rPr>
          <w:rFonts w:ascii="MS PGothic" w:cs="MS PGothic" w:eastAsia="MS PGothic" w:hAnsi="MS PGothic"/>
          <w:sz w:val="17"/>
          <w:szCs w:val="17"/>
          <w:color w:val="auto"/>
        </w:rPr>
        <w:t>‑</w:t>
      </w:r>
      <w:r>
        <w:rPr>
          <w:rFonts w:ascii="Arial" w:cs="Arial" w:eastAsia="Arial" w:hAnsi="Arial"/>
          <w:sz w:val="17"/>
          <w:szCs w:val="17"/>
          <w:color w:val="auto"/>
        </w:rPr>
        <w:t>funded healthcare programs.</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200" w:firstLine="648"/>
        <w:spacing w:after="0" w:line="221" w:lineRule="exact"/>
        <w:rPr>
          <w:sz w:val="20"/>
          <w:szCs w:val="20"/>
          <w:color w:val="auto"/>
        </w:rPr>
      </w:pPr>
      <w:r>
        <w:rPr>
          <w:rFonts w:ascii="Arial" w:cs="Arial" w:eastAsia="Arial" w:hAnsi="Arial"/>
          <w:sz w:val="16"/>
          <w:szCs w:val="16"/>
          <w:color w:val="auto"/>
        </w:rPr>
        <w:t>Successful sales of our product candidates, if approved, depend on the availability of adequate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In addition, because our product candidates represent relatively new approaches to the treatment of cancer, we cannot accurately estimate the potential revenue from our product candidates.</w:t>
      </w:r>
    </w:p>
    <w:p>
      <w:pPr>
        <w:spacing w:after="0" w:line="202" w:lineRule="exact"/>
        <w:rPr>
          <w:sz w:val="20"/>
          <w:szCs w:val="20"/>
          <w:color w:val="auto"/>
        </w:rPr>
      </w:pPr>
    </w:p>
    <w:p>
      <w:pPr>
        <w:jc w:val="both"/>
        <w:ind w:right="100" w:firstLine="648"/>
        <w:spacing w:after="0" w:line="221" w:lineRule="exact"/>
        <w:rPr>
          <w:sz w:val="20"/>
          <w:szCs w:val="20"/>
          <w:color w:val="auto"/>
        </w:rPr>
      </w:pPr>
      <w:r>
        <w:rPr>
          <w:rFonts w:ascii="Arial" w:cs="Arial" w:eastAsia="Arial" w:hAnsi="Arial"/>
          <w:sz w:val="16"/>
          <w:szCs w:val="16"/>
          <w:color w:val="auto"/>
        </w:rPr>
        <w:t>Patients who are provided medical treatment for their conditions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drugs and treatments they will cover and the amount of reimbursement. Coverage and reimbursement by a third</w:t>
      </w:r>
      <w:r>
        <w:rPr>
          <w:rFonts w:ascii="MS PGothic" w:cs="MS PGothic" w:eastAsia="MS PGothic" w:hAnsi="MS PGothic"/>
          <w:sz w:val="18"/>
          <w:szCs w:val="18"/>
          <w:color w:val="auto"/>
        </w:rPr>
        <w:t>‑</w:t>
      </w:r>
      <w:r>
        <w:rPr>
          <w:rFonts w:ascii="Arial" w:cs="Arial" w:eastAsia="Arial" w:hAnsi="Arial"/>
          <w:sz w:val="18"/>
          <w:szCs w:val="18"/>
          <w:color w:val="auto"/>
        </w:rPr>
        <w:t>party payor may depend upon a number of factors, including the third</w:t>
      </w:r>
      <w:r>
        <w:rPr>
          <w:rFonts w:ascii="MS PGothic" w:cs="MS PGothic" w:eastAsia="MS PGothic" w:hAnsi="MS PGothic"/>
          <w:sz w:val="18"/>
          <w:szCs w:val="18"/>
          <w:color w:val="auto"/>
        </w:rPr>
        <w:t>‑</w:t>
      </w:r>
      <w:r>
        <w:rPr>
          <w:rFonts w:ascii="Arial" w:cs="Arial" w:eastAsia="Arial" w:hAnsi="Arial"/>
          <w:sz w:val="18"/>
          <w:szCs w:val="18"/>
          <w:color w:val="auto"/>
        </w:rPr>
        <w:t>party payor’s determination that use of a product is:</w:t>
      </w:r>
    </w:p>
    <w:p>
      <w:pPr>
        <w:spacing w:after="0" w:line="204" w:lineRule="exact"/>
        <w:rPr>
          <w:sz w:val="20"/>
          <w:szCs w:val="20"/>
          <w:color w:val="auto"/>
        </w:rPr>
      </w:pPr>
    </w:p>
    <w:p>
      <w:pPr>
        <w:ind w:left="980" w:hanging="329"/>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In the United States, no uniform policy of coverage and reimbursement for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As a result, obtaining coverage and reimbursement approval of a product from a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 is a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process that could require us to provide to each payor supporting scientific, clinical and cost</w:t>
      </w:r>
      <w:r>
        <w:rPr>
          <w:rFonts w:ascii="MS PGothic" w:cs="MS PGothic" w:eastAsia="MS PGothic" w:hAnsi="MS PGothic"/>
          <w:sz w:val="17"/>
          <w:szCs w:val="17"/>
          <w:color w:val="auto"/>
        </w:rPr>
        <w:t>‑</w:t>
      </w:r>
      <w:r>
        <w:rPr>
          <w:rFonts w:ascii="Arial" w:cs="Arial" w:eastAsia="Arial" w:hAnsi="Arial"/>
          <w:sz w:val="17"/>
          <w:szCs w:val="17"/>
          <w:color w:val="auto"/>
        </w:rPr>
        <w:t>effectiveness data for the use of our products on a payor</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payor basis, with no assurance that coverage and adequate reimbursement will be obtained. Even if we obtain coverage for a given product, the resulting reimbursement payment rates might not be adequate for us to achieve or sustain profitability or may require co</w:t>
      </w:r>
      <w:r>
        <w:rPr>
          <w:rFonts w:ascii="MS PGothic" w:cs="MS PGothic" w:eastAsia="MS PGothic" w:hAnsi="MS PGothic"/>
          <w:sz w:val="17"/>
          <w:szCs w:val="17"/>
          <w:color w:val="auto"/>
        </w:rPr>
        <w:t>‑</w:t>
      </w:r>
      <w:r>
        <w:rPr>
          <w:rFonts w:ascii="Arial" w:cs="Arial" w:eastAsia="Arial" w:hAnsi="Arial"/>
          <w:sz w:val="17"/>
          <w:szCs w:val="17"/>
          <w:color w:val="auto"/>
        </w:rPr>
        <w:t>payments that patients find unacceptably high. Additionally, third</w:t>
      </w:r>
      <w:r>
        <w:rPr>
          <w:rFonts w:ascii="MS PGothic" w:cs="MS PGothic" w:eastAsia="MS PGothic" w:hAnsi="MS PGothic"/>
          <w:sz w:val="17"/>
          <w:szCs w:val="17"/>
          <w:color w:val="auto"/>
        </w:rPr>
        <w:t>‑</w:t>
      </w:r>
      <w:r>
        <w:rPr>
          <w:rFonts w:ascii="Arial" w:cs="Arial" w:eastAsia="Arial" w:hAnsi="Arial"/>
          <w:sz w:val="17"/>
          <w:szCs w:val="17"/>
          <w:color w:val="auto"/>
        </w:rPr>
        <w:t>party payors may not cover, or provide adequate reimbursement for, long</w:t>
      </w:r>
      <w:r>
        <w:rPr>
          <w:rFonts w:ascii="MS PGothic" w:cs="MS PGothic" w:eastAsia="MS PGothic" w:hAnsi="MS PGothic"/>
          <w:sz w:val="17"/>
          <w:szCs w:val="17"/>
          <w:color w:val="auto"/>
        </w:rPr>
        <w:t>‑</w:t>
      </w:r>
      <w:r>
        <w:rPr>
          <w:rFonts w:ascii="Arial" w:cs="Arial" w:eastAsia="Arial" w:hAnsi="Arial"/>
          <w:sz w:val="17"/>
          <w:szCs w:val="17"/>
          <w:color w:val="auto"/>
        </w:rPr>
        <w:t>term follow</w:t>
      </w:r>
      <w:r>
        <w:rPr>
          <w:rFonts w:ascii="MS PGothic" w:cs="MS PGothic" w:eastAsia="MS PGothic" w:hAnsi="MS PGothic"/>
          <w:sz w:val="17"/>
          <w:szCs w:val="17"/>
          <w:color w:val="auto"/>
        </w:rPr>
        <w:t>‑</w:t>
      </w:r>
      <w:r>
        <w:rPr>
          <w:rFonts w:ascii="Arial" w:cs="Arial" w:eastAsia="Arial" w:hAnsi="Arial"/>
          <w:sz w:val="17"/>
          <w:szCs w:val="17"/>
          <w:color w:val="auto"/>
        </w:rPr>
        <w:t>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w:t>
      </w:r>
      <w:r>
        <w:rPr>
          <w:rFonts w:ascii="MS PGothic" w:cs="MS PGothic" w:eastAsia="MS PGothic" w:hAnsi="MS PGothic"/>
          <w:sz w:val="17"/>
          <w:szCs w:val="17"/>
          <w:color w:val="auto"/>
        </w:rPr>
        <w:t>‑</w:t>
      </w:r>
      <w:r>
        <w:rPr>
          <w:rFonts w:ascii="Arial" w:cs="Arial" w:eastAsia="Arial" w:hAnsi="Arial"/>
          <w:sz w:val="17"/>
          <w:szCs w:val="17"/>
          <w:color w:val="auto"/>
        </w:rPr>
        <w:t>term follow up evaluations, the risk that coverage and reimbursement rates may be inadequate for us to achieve profitability may be greater.</w:t>
      </w:r>
    </w:p>
    <w:p>
      <w:pPr>
        <w:spacing w:after="0" w:line="209"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for our product candidates and may be affected by existing and future health care reform measures.</w:t>
      </w:r>
    </w:p>
    <w:p>
      <w:pPr>
        <w:spacing w:after="0" w:line="20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structuring and commission(s), certain customer incentive programs and other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67"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w:t>
      </w:r>
      <w:r>
        <w:rPr>
          <w:rFonts w:ascii="MS PGothic" w:cs="MS PGothic" w:eastAsia="MS PGothic" w:hAnsi="MS PGothic"/>
          <w:sz w:val="17"/>
          <w:szCs w:val="17"/>
          <w:color w:val="auto"/>
        </w:rPr>
        <w:t>‑</w:t>
      </w:r>
      <w:r>
        <w:rPr>
          <w:rFonts w:ascii="Arial" w:cs="Arial" w:eastAsia="Arial" w:hAnsi="Arial"/>
          <w:sz w:val="17"/>
          <w:szCs w:val="17"/>
          <w:color w:val="auto"/>
        </w:rPr>
        <w:t>bribery provisions of the FCPA are enforced primarily by the DOJ.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Securities and Exchange Commission, or SEC, is involved with enforcement of the books and records provisions of the FCPA.</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3"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w:t>
      </w:r>
      <w:r>
        <w:rPr>
          <w:rFonts w:ascii="MS PGothic" w:cs="MS PGothic" w:eastAsia="MS PGothic" w:hAnsi="MS PGothic"/>
          <w:sz w:val="18"/>
          <w:szCs w:val="18"/>
          <w:color w:val="auto"/>
        </w:rPr>
        <w:t>‑</w:t>
      </w:r>
      <w:r>
        <w:rPr>
          <w:rFonts w:ascii="Arial" w:cs="Arial" w:eastAsia="Arial" w:hAnsi="Arial"/>
          <w:sz w:val="18"/>
          <w:szCs w:val="18"/>
          <w:color w:val="auto"/>
        </w:rPr>
        <w:t>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failure to comply with laws governing international business practices may result in substantial penalties,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including suspension or debarment from government contracting. Violation of the FCPA or other export control,</w:t>
      </w:r>
    </w:p>
    <w:p>
      <w:pPr>
        <w:spacing w:after="0" w:line="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anti</w:t>
      </w:r>
      <w:r>
        <w:rPr>
          <w:rFonts w:ascii="MS PGothic" w:cs="MS PGothic" w:eastAsia="MS PGothic" w:hAnsi="MS PGothic"/>
          <w:sz w:val="17"/>
          <w:szCs w:val="17"/>
          <w:color w:val="auto"/>
        </w:rPr>
        <w:t>‑</w:t>
      </w:r>
      <w:r>
        <w:rPr>
          <w:rFonts w:ascii="Arial" w:cs="Arial" w:eastAsia="Arial" w:hAnsi="Arial"/>
          <w:sz w:val="17"/>
          <w:szCs w:val="17"/>
          <w:color w:val="auto"/>
        </w:rPr>
        <w:t>corruption, anti</w:t>
      </w:r>
      <w:r>
        <w:rPr>
          <w:rFonts w:ascii="MS PGothic" w:cs="MS PGothic" w:eastAsia="MS PGothic" w:hAnsi="MS PGothic"/>
          <w:sz w:val="17"/>
          <w:szCs w:val="17"/>
          <w:color w:val="auto"/>
        </w:rPr>
        <w:t>‑</w:t>
      </w:r>
      <w:r>
        <w:rPr>
          <w:rFonts w:ascii="Arial" w:cs="Arial" w:eastAsia="Arial" w:hAnsi="Arial"/>
          <w:sz w:val="17"/>
          <w:szCs w:val="17"/>
          <w:color w:val="auto"/>
        </w:rPr>
        <w:t>money laundering and anti</w:t>
      </w:r>
      <w:r>
        <w:rPr>
          <w:rFonts w:ascii="MS PGothic" w:cs="MS PGothic" w:eastAsia="MS PGothic" w:hAnsi="MS PGothic"/>
          <w:sz w:val="17"/>
          <w:szCs w:val="17"/>
          <w:color w:val="auto"/>
        </w:rPr>
        <w:t>‑</w:t>
      </w:r>
      <w:r>
        <w:rPr>
          <w:rFonts w:ascii="Arial" w:cs="Arial" w:eastAsia="Arial" w:hAnsi="Arial"/>
          <w:sz w:val="17"/>
          <w:szCs w:val="17"/>
          <w:color w:val="auto"/>
        </w:rPr>
        <w:t>terrorism laws or regulations can result in significant civil and criminal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penalties. Indictment alone under the FCPA can lead to suspension of the right to do business with the U.S. government until</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pending claims are resolved. Conviction of a violation of the FCPA can result in long</w:t>
      </w:r>
      <w:r>
        <w:rPr>
          <w:rFonts w:ascii="MS PGothic" w:cs="MS PGothic" w:eastAsia="MS PGothic" w:hAnsi="MS PGothic"/>
          <w:sz w:val="18"/>
          <w:szCs w:val="18"/>
          <w:color w:val="auto"/>
        </w:rPr>
        <w:t>‑</w:t>
      </w:r>
      <w:r>
        <w:rPr>
          <w:rFonts w:ascii="Arial" w:cs="Arial" w:eastAsia="Arial" w:hAnsi="Arial"/>
          <w:sz w:val="18"/>
          <w:szCs w:val="18"/>
          <w:color w:val="auto"/>
        </w:rPr>
        <w:t>term disqualification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government contractor. The termination of a government contract or relationship as a result of our failure to satisfy any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laws governing international business practices would have a negative impact on our operations and harm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reputation and ability to procure government contracts. The SEC also may suspend or bar issuers from trading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U.S. exchanges for violations of the FCPA’s accounting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7"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206"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The patenting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66"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We currently in</w:t>
      </w:r>
      <w:r>
        <w:rPr>
          <w:rFonts w:ascii="MS PGothic" w:cs="MS PGothic" w:eastAsia="MS PGothic" w:hAnsi="MS PGothic"/>
          <w:sz w:val="16"/>
          <w:szCs w:val="16"/>
          <w:color w:val="auto"/>
        </w:rPr>
        <w:t>‑</w:t>
      </w:r>
      <w:r>
        <w:rPr>
          <w:rFonts w:ascii="Arial" w:cs="Arial" w:eastAsia="Arial" w:hAnsi="Arial"/>
          <w:sz w:val="16"/>
          <w:szCs w:val="16"/>
          <w:color w:val="auto"/>
        </w:rPr>
        <w:t>license certain intellectual property from MSK. In the future we may in</w:t>
      </w:r>
      <w:r>
        <w:rPr>
          <w:rFonts w:ascii="MS PGothic" w:cs="MS PGothic" w:eastAsia="MS PGothic" w:hAnsi="MS PGothic"/>
          <w:sz w:val="16"/>
          <w:szCs w:val="16"/>
          <w:color w:val="auto"/>
        </w:rPr>
        <w:t>‑</w:t>
      </w:r>
      <w:r>
        <w:rPr>
          <w:rFonts w:ascii="Arial" w:cs="Arial" w:eastAsia="Arial" w:hAnsi="Arial"/>
          <w:sz w:val="16"/>
          <w:szCs w:val="16"/>
          <w:color w:val="auto"/>
        </w:rPr>
        <w:t>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w:t>
      </w:r>
      <w:r>
        <w:rPr>
          <w:rFonts w:ascii="MS PGothic" w:cs="MS PGothic" w:eastAsia="MS PGothic" w:hAnsi="MS PGothic"/>
          <w:sz w:val="16"/>
          <w:szCs w:val="16"/>
          <w:color w:val="auto"/>
        </w:rPr>
        <w:t>‑</w:t>
      </w:r>
      <w:r>
        <w:rPr>
          <w:rFonts w:ascii="Arial" w:cs="Arial" w:eastAsia="Arial" w:hAnsi="Arial"/>
          <w:sz w:val="16"/>
          <w:szCs w:val="16"/>
          <w:color w:val="auto"/>
        </w:rPr>
        <w:t>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w:t>
      </w:r>
      <w:r>
        <w:rPr>
          <w:rFonts w:ascii="MS PGothic" w:cs="MS PGothic" w:eastAsia="MS PGothic" w:hAnsi="MS PGothic"/>
          <w:sz w:val="16"/>
          <w:szCs w:val="16"/>
          <w:color w:val="auto"/>
        </w:rPr>
        <w:t>‑</w:t>
      </w:r>
      <w:r>
        <w:rPr>
          <w:rFonts w:ascii="Arial" w:cs="Arial" w:eastAsia="Arial" w:hAnsi="Arial"/>
          <w:sz w:val="16"/>
          <w:szCs w:val="16"/>
          <w:color w:val="auto"/>
        </w:rPr>
        <w:t>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08"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growth of our business may depend in part on our ability to acquire or in</w:t>
      </w:r>
      <w:r>
        <w:rPr>
          <w:rFonts w:ascii="MS PGothic" w:cs="MS PGothic" w:eastAsia="MS PGothic" w:hAnsi="MS PGothic"/>
          <w:sz w:val="16"/>
          <w:szCs w:val="16"/>
          <w:color w:val="auto"/>
        </w:rPr>
        <w:t>‑</w:t>
      </w:r>
      <w:r>
        <w:rPr>
          <w:rFonts w:ascii="Arial" w:cs="Arial" w:eastAsia="Arial" w:hAnsi="Arial"/>
          <w:sz w:val="16"/>
          <w:szCs w:val="16"/>
          <w:color w:val="auto"/>
        </w:rPr>
        <w:t>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w:t>
      </w:r>
      <w:r>
        <w:rPr>
          <w:rFonts w:ascii="MS PGothic" w:cs="MS PGothic" w:eastAsia="MS PGothic" w:hAnsi="MS PGothic"/>
          <w:sz w:val="16"/>
          <w:szCs w:val="16"/>
          <w:color w:val="auto"/>
        </w:rPr>
        <w:t>‑</w:t>
      </w:r>
      <w:r>
        <w:rPr>
          <w:rFonts w:ascii="Arial" w:cs="Arial" w:eastAsia="Arial" w:hAnsi="Arial"/>
          <w:sz w:val="16"/>
          <w:szCs w:val="16"/>
          <w:color w:val="auto"/>
        </w:rPr>
        <w:t>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relevant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w:t>
      </w:r>
      <w:r>
        <w:rPr>
          <w:rFonts w:ascii="MS PGothic" w:cs="MS PGothic" w:eastAsia="MS PGothic" w:hAnsi="MS PGothic"/>
          <w:sz w:val="16"/>
          <w:szCs w:val="16"/>
          <w:color w:val="auto"/>
        </w:rPr>
        <w:t>‑</w:t>
      </w:r>
      <w:r>
        <w:rPr>
          <w:rFonts w:ascii="Arial" w:cs="Arial" w:eastAsia="Arial" w:hAnsi="Arial"/>
          <w:sz w:val="16"/>
          <w:szCs w:val="16"/>
          <w:color w:val="auto"/>
        </w:rPr>
        <w:t>exclusive, which may allow our competitors to access the same technologies licensed to us.</w:t>
      </w:r>
    </w:p>
    <w:p>
      <w:pPr>
        <w:spacing w:after="0" w:line="20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Additionally, we sometimes collaborate with academic and other institutions, such as MSK, to accelerate our pre</w:t>
      </w:r>
      <w:r>
        <w:rPr>
          <w:rFonts w:ascii="MS PGothic" w:cs="MS PGothic" w:eastAsia="MS PGothic" w:hAnsi="MS PGothic"/>
          <w:sz w:val="17"/>
          <w:szCs w:val="17"/>
          <w:color w:val="auto"/>
        </w:rPr>
        <w:t>‑</w:t>
      </w:r>
      <w:r>
        <w:rPr>
          <w:rFonts w:ascii="Arial" w:cs="Arial" w:eastAsia="Arial" w:hAnsi="Arial"/>
          <w:sz w:val="17"/>
          <w:szCs w:val="17"/>
          <w:color w:val="auto"/>
        </w:rPr>
        <w:t>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or to maintain the existing intellectual property rights we have, we may have to abandon development of such program and our business and financial condition could suffer.</w:t>
      </w:r>
    </w:p>
    <w:p>
      <w:pPr>
        <w:spacing w:after="0" w:line="20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The licensing and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practice, and companies that may be more established, or have greater resources than we do, may also be pursuing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5" w:lineRule="exact"/>
        <w:rPr>
          <w:sz w:val="20"/>
          <w:szCs w:val="20"/>
          <w:color w:val="auto"/>
        </w:rPr>
      </w:pPr>
    </w:p>
    <w:p>
      <w:pPr>
        <w:ind w:right="220" w:firstLine="648"/>
        <w:spacing w:after="0" w:line="224" w:lineRule="exact"/>
        <w:rPr>
          <w:sz w:val="20"/>
          <w:szCs w:val="20"/>
          <w:color w:val="auto"/>
        </w:rPr>
      </w:pPr>
      <w:r>
        <w:rPr>
          <w:rFonts w:ascii="Arial" w:cs="Arial" w:eastAsia="Arial" w:hAnsi="Arial"/>
          <w:sz w:val="17"/>
          <w:szCs w:val="17"/>
          <w:color w:val="auto"/>
        </w:rPr>
        <w:t>We are a party to license agreements with MSK and others, pursuant to which we in</w:t>
      </w:r>
      <w:r>
        <w:rPr>
          <w:rFonts w:ascii="MS PGothic" w:cs="MS PGothic" w:eastAsia="MS PGothic" w:hAnsi="MS PGothic"/>
          <w:sz w:val="17"/>
          <w:szCs w:val="17"/>
          <w:color w:val="auto"/>
        </w:rPr>
        <w:t>‑</w:t>
      </w:r>
      <w:r>
        <w:rPr>
          <w:rFonts w:ascii="Arial" w:cs="Arial" w:eastAsia="Arial" w:hAnsi="Arial"/>
          <w:sz w:val="17"/>
          <w:szCs w:val="17"/>
          <w:color w:val="auto"/>
        </w:rPr>
        <w:t>license key patent and patent applications for our product candidates, products and related proprietary technologies. These existing licenses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color w:val="auto"/>
        </w:rPr>
        <w:t>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divert the attention of key personnel from business operations or otherwise have a material adverse effect on our business.</w:t>
      </w:r>
    </w:p>
    <w:p>
      <w:pPr>
        <w:spacing w:after="0" w:line="205" w:lineRule="exact"/>
        <w:rPr>
          <w:sz w:val="20"/>
          <w:szCs w:val="20"/>
          <w:color w:val="auto"/>
        </w:rPr>
      </w:pPr>
    </w:p>
    <w:p>
      <w:pPr>
        <w:ind w:right="100"/>
        <w:spacing w:after="0" w:line="221" w:lineRule="exact"/>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licensed intellectual property or may result in alleged or actual infringement of the intellectual property rights of third parties.</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are highly uncertain. Our pending and future patent applications and in</w:t>
      </w:r>
      <w:r>
        <w:rPr>
          <w:rFonts w:ascii="MS PGothic" w:cs="MS PGothic" w:eastAsia="MS PGothic" w:hAnsi="MS PGothic"/>
          <w:sz w:val="16"/>
          <w:szCs w:val="16"/>
          <w:color w:val="auto"/>
        </w:rPr>
        <w:t>‑</w:t>
      </w:r>
      <w:r>
        <w:rPr>
          <w:rFonts w:ascii="Arial" w:cs="Arial" w:eastAsia="Arial" w:hAnsi="Arial"/>
          <w:sz w:val="16"/>
          <w:szCs w:val="16"/>
          <w:color w:val="auto"/>
        </w:rPr>
        <w:t>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w:t>
      </w:r>
      <w:r>
        <w:rPr>
          <w:rFonts w:ascii="MS PGothic" w:cs="MS PGothic" w:eastAsia="MS PGothic" w:hAnsi="MS PGothic"/>
          <w:sz w:val="16"/>
          <w:szCs w:val="16"/>
          <w:color w:val="auto"/>
        </w:rPr>
        <w:t>‑</w:t>
      </w:r>
      <w:r>
        <w:rPr>
          <w:rFonts w:ascii="Arial" w:cs="Arial" w:eastAsia="Arial" w:hAnsi="Arial"/>
          <w:sz w:val="16"/>
          <w:szCs w:val="16"/>
          <w:color w:val="auto"/>
        </w:rPr>
        <w:t>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are highly uncertain.</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w:t>
      </w:r>
      <w:r>
        <w:rPr>
          <w:rFonts w:ascii="MS PGothic" w:cs="MS PGothic" w:eastAsia="MS PGothic" w:hAnsi="MS PGothic"/>
          <w:sz w:val="16"/>
          <w:szCs w:val="16"/>
          <w:color w:val="auto"/>
        </w:rPr>
        <w:t>‑</w:t>
      </w:r>
      <w:r>
        <w:rPr>
          <w:rFonts w:ascii="Arial" w:cs="Arial" w:eastAsia="Arial" w:hAnsi="Arial"/>
          <w:sz w:val="16"/>
          <w:szCs w:val="16"/>
          <w:color w:val="auto"/>
        </w:rPr>
        <w:t>licensed patent applications and the enforcement or defense of the issued patents. In March 2013, under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America Invents Act, the United States moved from a “first to invent” to a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system. Under a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w:t>
      </w:r>
      <w:r>
        <w:rPr>
          <w:rFonts w:ascii="MS PGothic" w:cs="MS PGothic" w:eastAsia="MS PGothic" w:hAnsi="MS PGothic"/>
          <w:sz w:val="16"/>
          <w:szCs w:val="16"/>
          <w:color w:val="auto"/>
        </w:rPr>
        <w:t>‑</w:t>
      </w:r>
      <w:r>
        <w:rPr>
          <w:rFonts w:ascii="Arial" w:cs="Arial" w:eastAsia="Arial" w:hAnsi="Arial"/>
          <w:sz w:val="16"/>
          <w:szCs w:val="16"/>
          <w:color w:val="auto"/>
        </w:rPr>
        <w:t>grant review system. The effects of these changes are currently unclear as the USPTO only recently developed new regulations and procedures in connection with the America Invents Act and many of the substantive changes to patent law, including the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allow third parties to commercialize our products, product candidates and related technologies and compete directly with us, without payment to us, or result in our inability to manufacture or commercialize products without infringing third</w:t>
      </w:r>
      <w:r>
        <w:rPr>
          <w:rFonts w:ascii="MS PGothic" w:cs="MS PGothic" w:eastAsia="MS PGothic" w:hAnsi="MS PGothic"/>
          <w:sz w:val="16"/>
          <w:szCs w:val="16"/>
          <w:color w:val="auto"/>
        </w:rPr>
        <w:t>‑</w:t>
      </w:r>
      <w:r>
        <w:rPr>
          <w:rFonts w:ascii="Arial" w:cs="Arial" w:eastAsia="Arial" w:hAnsi="Arial"/>
          <w:sz w:val="16"/>
          <w:szCs w:val="16"/>
          <w:color w:val="auto"/>
        </w:rPr>
        <w:t>party patent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120" w:firstLine="648"/>
        <w:spacing w:after="0" w:line="224" w:lineRule="exact"/>
        <w:rPr>
          <w:sz w:val="20"/>
          <w:szCs w:val="20"/>
          <w:color w:val="auto"/>
        </w:rPr>
      </w:pPr>
      <w:r>
        <w:rPr>
          <w:rFonts w:ascii="Arial" w:cs="Arial" w:eastAsia="Arial" w:hAnsi="Arial"/>
          <w:sz w:val="17"/>
          <w:szCs w:val="17"/>
          <w:color w:val="auto"/>
        </w:rPr>
        <w:t>Even if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patent applications issue as patents, they may not issue in a form that will provide us with any meaningful protection, prevent competitors from competing with us or otherwise provide us with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any competitive advantage. Our competitors may be able to circumvent our owned or licensed patents by developing similar or alternative technologies or products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The issuance of a patent is not conclusive as to its scope, validity or enforceability, and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may be challenged in the courts or patent offices in the United States and abroad. Such challenges may result in the patent claims of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 portfolio may not provide us with sufficient rights to exclude others from commercializing products similar or identical to ours or otherwise provide us with a competitive advantage.</w:t>
      </w:r>
    </w:p>
    <w:p>
      <w:pPr>
        <w:spacing w:after="0" w:line="20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980" w:right="30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170" w:lineRule="exact"/>
        <w:rPr>
          <w:rFonts w:ascii="Arial" w:cs="Arial" w:eastAsia="Arial" w:hAnsi="Arial"/>
          <w:sz w:val="18"/>
          <w:szCs w:val="18"/>
          <w:color w:val="auto"/>
        </w:rPr>
      </w:pPr>
    </w:p>
    <w:p>
      <w:pPr>
        <w:ind w:left="980" w:right="400" w:hanging="329"/>
        <w:spacing w:after="0" w:line="308"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APIs in our current product candidates may eventually become commercially available in generic drug products, and no patent protection may be available with regard to formulation or method of use;</w:t>
      </w:r>
    </w:p>
    <w:p>
      <w:pPr>
        <w:spacing w:after="0" w:line="146" w:lineRule="exact"/>
        <w:rPr>
          <w:rFonts w:ascii="Arial" w:cs="Arial" w:eastAsia="Arial" w:hAnsi="Arial"/>
          <w:sz w:val="17"/>
          <w:szCs w:val="17"/>
          <w:color w:val="auto"/>
        </w:rPr>
      </w:pPr>
    </w:p>
    <w:p>
      <w:pPr>
        <w:ind w:left="980" w:right="120" w:hanging="329"/>
        <w:spacing w:after="0" w:line="221" w:lineRule="exact"/>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w:t>
      </w:r>
      <w:r>
        <w:rPr>
          <w:rFonts w:ascii="MS PGothic" w:cs="MS PGothic" w:eastAsia="MS PGothic" w:hAnsi="MS PGothic"/>
          <w:sz w:val="18"/>
          <w:szCs w:val="18"/>
          <w:color w:val="auto"/>
        </w:rPr>
        <w:t>‑</w:t>
      </w:r>
      <w:r>
        <w:rPr>
          <w:rFonts w:ascii="Arial" w:cs="Arial" w:eastAsia="Arial" w:hAnsi="Arial"/>
          <w:sz w:val="18"/>
          <w:szCs w:val="18"/>
          <w:color w:val="auto"/>
        </w:rPr>
        <w:t>licensed patents and patent applications funded by U.S. government grants, leading to the loss of patent rights;</w:t>
      </w:r>
    </w:p>
    <w:p>
      <w:pPr>
        <w:spacing w:after="0" w:line="201" w:lineRule="exact"/>
        <w:rPr>
          <w:rFonts w:ascii="Arial" w:cs="Arial" w:eastAsia="Arial" w:hAnsi="Arial"/>
          <w:sz w:val="18"/>
          <w:szCs w:val="18"/>
          <w:color w:val="auto"/>
        </w:rPr>
      </w:pPr>
    </w:p>
    <w:p>
      <w:pPr>
        <w:ind w:left="980" w:right="56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it is possible that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pending patent applications will not result in issued patents;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w:t>
      </w:r>
    </w:p>
    <w:p>
      <w:pPr>
        <w:spacing w:after="0" w:line="225" w:lineRule="exact"/>
        <w:rPr>
          <w:rFonts w:ascii="Arial" w:cs="Arial" w:eastAsia="Arial" w:hAnsi="Arial"/>
          <w:sz w:val="18"/>
          <w:szCs w:val="18"/>
          <w:color w:val="auto"/>
        </w:rPr>
      </w:pPr>
    </w:p>
    <w:p>
      <w:pPr>
        <w:ind w:left="980" w:right="100" w:hanging="329"/>
        <w:spacing w:after="0" w:line="308"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980" w:right="100" w:hanging="329"/>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980" w:right="100" w:hanging="329"/>
        <w:spacing w:after="0" w:line="223" w:lineRule="exact"/>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claims of our owned or in</w:t>
      </w:r>
      <w:r>
        <w:rPr>
          <w:rFonts w:ascii="MS PGothic" w:cs="MS PGothic" w:eastAsia="MS PGothic" w:hAnsi="MS PGothic"/>
          <w:sz w:val="18"/>
          <w:szCs w:val="18"/>
          <w:color w:val="auto"/>
        </w:rPr>
        <w:t>‑</w:t>
      </w:r>
      <w:r>
        <w:rPr>
          <w:rFonts w:ascii="Arial" w:cs="Arial" w:eastAsia="Arial" w:hAnsi="Arial"/>
          <w:sz w:val="18"/>
          <w:szCs w:val="18"/>
          <w:color w:val="auto"/>
        </w:rPr>
        <w:t>licensed issued patents or patent applications, if and when issued, may not cover our product candidates or products;</w:t>
      </w:r>
    </w:p>
    <w:p>
      <w:pPr>
        <w:spacing w:after="0" w:line="203" w:lineRule="exact"/>
        <w:rPr>
          <w:rFonts w:ascii="Arial" w:cs="Arial" w:eastAsia="Arial" w:hAnsi="Arial"/>
          <w:sz w:val="18"/>
          <w:szCs w:val="18"/>
          <w:color w:val="auto"/>
        </w:rPr>
      </w:pPr>
    </w:p>
    <w:p>
      <w:pPr>
        <w:ind w:left="980" w:right="40" w:hanging="329"/>
        <w:spacing w:after="0" w:line="224" w:lineRule="exact"/>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our owned or in</w:t>
      </w:r>
      <w:r>
        <w:rPr>
          <w:rFonts w:ascii="MS PGothic" w:cs="MS PGothic" w:eastAsia="MS PGothic" w:hAnsi="MS PGothic"/>
          <w:sz w:val="17"/>
          <w:szCs w:val="17"/>
          <w:color w:val="auto"/>
        </w:rPr>
        <w:t>‑</w:t>
      </w:r>
      <w:r>
        <w:rPr>
          <w:rFonts w:ascii="Arial" w:cs="Arial" w:eastAsia="Arial" w:hAnsi="Arial"/>
          <w:sz w:val="17"/>
          <w:szCs w:val="17"/>
          <w:color w:val="auto"/>
        </w:rPr>
        <w:t>licensed issued patents may not provide us with any competitive advantages, may be narrowed in scope, or be held invalid or unenforceable as a result of legal challenges by third parties;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0" w:hanging="329"/>
        <w:spacing w:after="0" w:line="221" w:lineRule="exact"/>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inventors of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or patent applications may become involved with competitors, develop products or processes which design around our patents, or become hostile to us or the patents or patent applications on which they are named as inventors;</w:t>
      </w:r>
    </w:p>
    <w:p>
      <w:pPr>
        <w:spacing w:after="0" w:line="201" w:lineRule="exact"/>
        <w:rPr>
          <w:rFonts w:ascii="Arial" w:cs="Arial" w:eastAsia="Arial" w:hAnsi="Arial"/>
          <w:sz w:val="18"/>
          <w:szCs w:val="18"/>
          <w:color w:val="auto"/>
        </w:rPr>
      </w:pPr>
    </w:p>
    <w:p>
      <w:pPr>
        <w:ind w:left="980" w:right="100" w:hanging="329"/>
        <w:spacing w:after="0" w:line="259"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980" w:hanging="329"/>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we develop may be covered by third parties’ patents or other exclusive rights; or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87"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205"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If any of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patents covering our proprietary technologies and our product candidates are expected to expire on various dates from 2021 through 2034, without taking into account any possible patent term adjustments or extensions. Our earliest in</w:t>
      </w:r>
      <w:r>
        <w:rPr>
          <w:rFonts w:ascii="MS PGothic" w:cs="MS PGothic" w:eastAsia="MS PGothic" w:hAnsi="MS PGothic"/>
          <w:sz w:val="17"/>
          <w:szCs w:val="17"/>
          <w:color w:val="auto"/>
        </w:rPr>
        <w:t>‑</w:t>
      </w:r>
      <w:r>
        <w:rPr>
          <w:rFonts w:ascii="Arial" w:cs="Arial" w:eastAsia="Arial" w:hAnsi="Arial"/>
          <w:sz w:val="17"/>
          <w:szCs w:val="17"/>
          <w:color w:val="auto"/>
        </w:rPr>
        <w:t>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w:t>
      </w:r>
      <w:r>
        <w:rPr>
          <w:rFonts w:ascii="MS PGothic" w:cs="MS PGothic" w:eastAsia="MS PGothic" w:hAnsi="MS PGothic"/>
          <w:sz w:val="17"/>
          <w:szCs w:val="17"/>
          <w:color w:val="auto"/>
        </w:rPr>
        <w:t>‑</w:t>
      </w:r>
      <w:r>
        <w:rPr>
          <w:rFonts w:ascii="Arial" w:cs="Arial" w:eastAsia="Arial" w:hAnsi="Arial"/>
          <w:sz w:val="17"/>
          <w:szCs w:val="17"/>
          <w:color w:val="auto"/>
        </w:rPr>
        <w:t>license pending patent applications covering our proprietary technologies or our product candidates that if issued as patents are expected to expire from 2021 through 2038, without taking into account any possible patent term adjustments or extensions. However, we cannot be assured that the USPTO or relevant foreign patent offices will grant any of these patent applications.</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20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We, or our licensors, may not be able to detect infringement against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as the case may be, which may be especially difficult for manufacturing processes or formulation patents. Even if we or our licensors detect infringement by a third party of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as the case may be, against such third party.</w:t>
      </w:r>
    </w:p>
    <w:p>
      <w:pPr>
        <w:spacing w:after="0" w:line="206" w:lineRule="exact"/>
        <w:rPr>
          <w:sz w:val="20"/>
          <w:szCs w:val="20"/>
          <w:color w:val="auto"/>
        </w:rPr>
      </w:pPr>
    </w:p>
    <w:p>
      <w:pPr>
        <w:ind w:right="40" w:firstLine="648"/>
        <w:spacing w:after="0" w:line="217" w:lineRule="exact"/>
        <w:rPr>
          <w:sz w:val="20"/>
          <w:szCs w:val="20"/>
          <w:color w:val="auto"/>
        </w:rPr>
      </w:pPr>
      <w:r>
        <w:rPr>
          <w:rFonts w:ascii="Arial" w:cs="Arial" w:eastAsia="Arial" w:hAnsi="Arial"/>
          <w:sz w:val="16"/>
          <w:szCs w:val="16"/>
          <w:color w:val="auto"/>
        </w:rPr>
        <w:t>If another party questions the patentability of any of our claims in our owned or in</w:t>
      </w:r>
      <w:r>
        <w:rPr>
          <w:rFonts w:ascii="MS PGothic" w:cs="MS PGothic" w:eastAsia="MS PGothic" w:hAnsi="MS PGothic"/>
          <w:sz w:val="16"/>
          <w:szCs w:val="16"/>
          <w:color w:val="auto"/>
        </w:rPr>
        <w:t>‑</w:t>
      </w:r>
      <w:r>
        <w:rPr>
          <w:rFonts w:ascii="Arial" w:cs="Arial" w:eastAsia="Arial" w:hAnsi="Arial"/>
          <w:sz w:val="16"/>
          <w:szCs w:val="16"/>
          <w:color w:val="auto"/>
        </w:rPr>
        <w:t xml:space="preserve">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 or post</w:t>
      </w:r>
      <w:r>
        <w:rPr>
          <w:rFonts w:ascii="MS PGothic" w:cs="MS PGothic" w:eastAsia="MS PGothic" w:hAnsi="MS PGothic"/>
          <w:sz w:val="16"/>
          <w:szCs w:val="16"/>
          <w:color w:val="auto"/>
        </w:rPr>
        <w:t>‑</w:t>
      </w:r>
      <w:r>
        <w:rPr>
          <w:rFonts w:ascii="Arial" w:cs="Arial" w:eastAsia="Arial" w:hAnsi="Arial"/>
          <w:sz w:val="16"/>
          <w:szCs w:val="16"/>
          <w:color w:val="auto"/>
        </w:rPr>
        <w: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w:t>
      </w:r>
      <w:r>
        <w:rPr>
          <w:rFonts w:ascii="MS PGothic" w:cs="MS PGothic" w:eastAsia="MS PGothic" w:hAnsi="MS PGothic"/>
          <w:sz w:val="16"/>
          <w:szCs w:val="16"/>
          <w:color w:val="auto"/>
        </w:rPr>
        <w:t>‑</w:t>
      </w:r>
      <w:r>
        <w:rPr>
          <w:rFonts w:ascii="Arial" w:cs="Arial" w:eastAsia="Arial" w:hAnsi="Arial"/>
          <w:sz w:val="16"/>
          <w:szCs w:val="16"/>
          <w:color w:val="auto"/>
        </w:rPr>
        <w:t>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208"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1"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w:t>
      </w:r>
      <w:r>
        <w:rPr>
          <w:rFonts w:ascii="MS PGothic" w:cs="MS PGothic" w:eastAsia="MS PGothic" w:hAnsi="MS PGothic"/>
          <w:sz w:val="17"/>
          <w:szCs w:val="17"/>
          <w:color w:val="auto"/>
        </w:rPr>
        <w:t>‑</w:t>
      </w:r>
      <w:r>
        <w:rPr>
          <w:rFonts w:ascii="Arial" w:cs="Arial" w:eastAsia="Arial" w:hAnsi="Arial"/>
          <w:sz w:val="17"/>
          <w:szCs w:val="17"/>
          <w:color w:val="auto"/>
        </w:rPr>
        <w:t>how, especially where we do not believe patent protection is appropriate or obtainable. Where we enter into agreements imposing confidentiality or nondisclosure obligations upon employees or third parties to protect our proprietary technology and know</w:t>
      </w:r>
      <w:r>
        <w:rPr>
          <w:rFonts w:ascii="MS PGothic" w:cs="MS PGothic" w:eastAsia="MS PGothic" w:hAnsi="MS PGothic"/>
          <w:sz w:val="17"/>
          <w:szCs w:val="17"/>
          <w:color w:val="auto"/>
        </w:rPr>
        <w:t>‑</w:t>
      </w:r>
      <w:r>
        <w:rPr>
          <w:rFonts w:ascii="Arial" w:cs="Arial" w:eastAsia="Arial" w:hAnsi="Arial"/>
          <w:sz w:val="17"/>
          <w:szCs w:val="17"/>
          <w:color w:val="auto"/>
        </w:rPr>
        <w:t>how, these confidentiality obligations may be breached or may not provide meaningful protection for our trade secrets or proprietary technology and know</w:t>
      </w:r>
      <w:r>
        <w:rPr>
          <w:rFonts w:ascii="MS PGothic" w:cs="MS PGothic" w:eastAsia="MS PGothic" w:hAnsi="MS PGothic"/>
          <w:sz w:val="17"/>
          <w:szCs w:val="17"/>
          <w:color w:val="auto"/>
        </w:rPr>
        <w:t>‑</w:t>
      </w:r>
      <w:r>
        <w:rPr>
          <w:rFonts w:ascii="Arial" w:cs="Arial" w:eastAsia="Arial" w:hAnsi="Arial"/>
          <w:sz w:val="17"/>
          <w:szCs w:val="17"/>
          <w:color w:val="auto"/>
        </w:rPr>
        <w:t>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97"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 applications or patents, which could require us to obtain rights to issued patents covering such technologies. If another party has filed a U.S. patent application on inventions similar to those owned by or in</w:t>
      </w:r>
      <w:r>
        <w:rPr>
          <w:rFonts w:ascii="MS PGothic" w:cs="MS PGothic" w:eastAsia="MS PGothic" w:hAnsi="MS PGothic"/>
          <w:sz w:val="16"/>
          <w:szCs w:val="16"/>
          <w:color w:val="auto"/>
        </w:rPr>
        <w:t>‑</w:t>
      </w:r>
      <w:r>
        <w:rPr>
          <w:rFonts w:ascii="Arial" w:cs="Arial" w:eastAsia="Arial" w:hAnsi="Arial"/>
          <w:sz w:val="16"/>
          <w:szCs w:val="16"/>
          <w:color w:val="auto"/>
        </w:rPr>
        <w:t>licensed to us, we or, in the case of in</w:t>
      </w:r>
      <w:r>
        <w:rPr>
          <w:rFonts w:ascii="MS PGothic" w:cs="MS PGothic" w:eastAsia="MS PGothic" w:hAnsi="MS PGothic"/>
          <w:sz w:val="16"/>
          <w:szCs w:val="16"/>
          <w:color w:val="auto"/>
        </w:rPr>
        <w:t>‑</w:t>
      </w:r>
      <w:r>
        <w:rPr>
          <w:rFonts w:ascii="Arial" w:cs="Arial" w:eastAsia="Arial" w:hAnsi="Arial"/>
          <w:sz w:val="16"/>
          <w:szCs w:val="16"/>
          <w:color w:val="auto"/>
        </w:rPr>
        <w:t>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w:t>
      </w:r>
      <w:r>
        <w:rPr>
          <w:rFonts w:ascii="MS PGothic" w:cs="MS PGothic" w:eastAsia="MS PGothic" w:hAnsi="MS PGothic"/>
          <w:sz w:val="16"/>
          <w:szCs w:val="16"/>
          <w:color w:val="auto"/>
        </w:rPr>
        <w:t>‑</w:t>
      </w:r>
      <w:r>
        <w:rPr>
          <w:rFonts w:ascii="Arial" w:cs="Arial" w:eastAsia="Arial" w:hAnsi="Arial"/>
          <w:sz w:val="16"/>
          <w:szCs w:val="16"/>
          <w:color w:val="auto"/>
        </w:rPr>
        <w:t>licensed to us, we may incur substantial costs, divert management’s time and expend other resources, even if we are successful.</w:t>
      </w:r>
    </w:p>
    <w:p>
      <w:pPr>
        <w:spacing w:after="0" w:line="20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170" w:lineRule="exact"/>
        <w:rPr>
          <w:sz w:val="20"/>
          <w:szCs w:val="20"/>
          <w:color w:val="auto"/>
        </w:rPr>
      </w:pPr>
    </w:p>
    <w:p>
      <w:pPr>
        <w:ind w:left="980" w:right="800" w:hanging="329"/>
        <w:spacing w:after="0" w:line="224" w:lineRule="exact"/>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regardless of merit, may be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to litigate and may divert our management’s attention from our core business;</w:t>
      </w:r>
    </w:p>
    <w:p>
      <w:pPr>
        <w:spacing w:after="0" w:line="202" w:lineRule="exact"/>
        <w:rPr>
          <w:rFonts w:ascii="Arial" w:cs="Arial" w:eastAsia="Arial" w:hAnsi="Arial"/>
          <w:sz w:val="16"/>
          <w:szCs w:val="16"/>
          <w:color w:val="auto"/>
        </w:rPr>
      </w:pPr>
    </w:p>
    <w:p>
      <w:pPr>
        <w:ind w:left="980" w:hanging="329"/>
        <w:spacing w:after="0" w:line="312"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6" w:lineRule="exact"/>
        <w:rPr>
          <w:rFonts w:ascii="Arial" w:cs="Arial" w:eastAsia="Arial" w:hAnsi="Arial"/>
          <w:sz w:val="16"/>
          <w:szCs w:val="16"/>
          <w:color w:val="auto"/>
        </w:rPr>
      </w:pPr>
    </w:p>
    <w:p>
      <w:pPr>
        <w:jc w:val="both"/>
        <w:ind w:left="980" w:right="20" w:hanging="329"/>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1" w:lineRule="exact"/>
        <w:rPr>
          <w:rFonts w:ascii="Arial" w:cs="Arial" w:eastAsia="Arial" w:hAnsi="Arial"/>
          <w:sz w:val="18"/>
          <w:szCs w:val="18"/>
          <w:color w:val="auto"/>
        </w:rPr>
      </w:pPr>
    </w:p>
    <w:p>
      <w:pPr>
        <w:jc w:val="both"/>
        <w:ind w:left="980" w:right="260" w:hanging="329"/>
        <w:spacing w:after="0" w:line="221" w:lineRule="exact"/>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w:t>
      </w:r>
      <w:r>
        <w:rPr>
          <w:rFonts w:ascii="MS PGothic" w:cs="MS PGothic" w:eastAsia="MS PGothic" w:hAnsi="MS PGothic"/>
          <w:sz w:val="18"/>
          <w:szCs w:val="18"/>
          <w:color w:val="auto"/>
        </w:rPr>
        <w:t>‑</w:t>
      </w:r>
      <w:r>
        <w:rPr>
          <w:rFonts w:ascii="Arial" w:cs="Arial" w:eastAsia="Arial" w:hAnsi="Arial"/>
          <w:sz w:val="18"/>
          <w:szCs w:val="18"/>
          <w:color w:val="auto"/>
        </w:rPr>
        <w:t>licenses to intellectual property rights for our products; and</w:t>
      </w:r>
    </w:p>
    <w:p>
      <w:pPr>
        <w:spacing w:after="0" w:line="201"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54"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 xml:space="preserve">We may choose to challenge the patentability of claims in a third party’s U.S. patent by requesting that the USPTO review the patent claims in an </w:t>
      </w:r>
      <w:r>
        <w:rPr>
          <w:rFonts w:ascii="Arial" w:cs="Arial" w:eastAsia="Arial" w:hAnsi="Arial"/>
          <w:sz w:val="17"/>
          <w:szCs w:val="17"/>
          <w:i w:val="1"/>
          <w:iCs w:val="1"/>
          <w:color w:val="auto"/>
        </w:rPr>
        <w:t>ex</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parte</w:t>
      </w:r>
      <w:r>
        <w:rPr>
          <w:rFonts w:ascii="Arial" w:cs="Arial" w:eastAsia="Arial" w:hAnsi="Arial"/>
          <w:sz w:val="17"/>
          <w:szCs w:val="17"/>
          <w:color w:val="auto"/>
        </w:rPr>
        <w:t xml:space="preserve"> re</w:t>
      </w:r>
      <w:r>
        <w:rPr>
          <w:rFonts w:ascii="MS PGothic" w:cs="MS PGothic" w:eastAsia="MS PGothic" w:hAnsi="MS PGothic"/>
          <w:sz w:val="17"/>
          <w:szCs w:val="17"/>
          <w:color w:val="auto"/>
        </w:rPr>
        <w:t>‑</w:t>
      </w:r>
      <w:r>
        <w:rPr>
          <w:rFonts w:ascii="Arial" w:cs="Arial" w:eastAsia="Arial" w:hAnsi="Arial"/>
          <w:sz w:val="17"/>
          <w:szCs w:val="17"/>
          <w:color w:val="auto"/>
        </w:rPr>
        <w:t xml:space="preserve">exam,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w:t>
      </w:r>
      <w:r>
        <w:rPr>
          <w:rFonts w:ascii="MS PGothic" w:cs="MS PGothic" w:eastAsia="MS PGothic" w:hAnsi="MS PGothic"/>
          <w:sz w:val="17"/>
          <w:szCs w:val="17"/>
          <w:color w:val="auto"/>
        </w:rPr>
        <w:t>‑</w:t>
      </w:r>
      <w:r>
        <w:rPr>
          <w:rFonts w:ascii="Arial" w:cs="Arial" w:eastAsia="Arial" w:hAnsi="Arial"/>
          <w:sz w:val="17"/>
          <w:szCs w:val="17"/>
          <w:color w:val="auto"/>
        </w:rPr>
        <w: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69" w:lineRule="exact"/>
        <w:rPr>
          <w:sz w:val="20"/>
          <w:szCs w:val="20"/>
          <w:color w:val="auto"/>
        </w:rPr>
      </w:pPr>
    </w:p>
    <w:p>
      <w:pPr>
        <w:ind w:right="340"/>
        <w:spacing w:after="0" w:line="221" w:lineRule="exact"/>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compliance with these requirements.</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Other than our corporate name Y-mAbs, we have not yet registered our trademarks in the United States. Failure to secure such registrations could adversely affect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Other than our corporate name Y-mAbs, 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8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any proprietary name we propose to use with any of our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6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8"/>
          <w:szCs w:val="18"/>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w:t>
      </w:r>
      <w:r>
        <w:rPr>
          <w:rFonts w:ascii="MS PGothic" w:cs="MS PGothic" w:eastAsia="MS PGothic" w:hAnsi="MS PGothic"/>
          <w:sz w:val="18"/>
          <w:szCs w:val="18"/>
          <w:color w:val="auto"/>
        </w:rPr>
        <w:t>‑</w:t>
      </w:r>
      <w:r>
        <w:rPr>
          <w:rFonts w:ascii="Arial" w:cs="Arial" w:eastAsia="Arial" w:hAnsi="Arial"/>
          <w:sz w:val="18"/>
          <w:szCs w:val="18"/>
          <w:color w:val="auto"/>
        </w:rPr>
        <w:t>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20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3" w:lineRule="exact"/>
        <w:rPr>
          <w:sz w:val="20"/>
          <w:szCs w:val="20"/>
          <w:color w:val="auto"/>
        </w:rPr>
      </w:pPr>
    </w:p>
    <w:p>
      <w:pPr>
        <w:ind w:right="20" w:firstLine="648"/>
        <w:spacing w:after="0" w:line="218" w:lineRule="exact"/>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t>
      </w:r>
      <w:r>
        <w:rPr>
          <w:rFonts w:ascii="MS PGothic" w:cs="MS PGothic" w:eastAsia="MS PGothic" w:hAnsi="MS PGothic"/>
          <w:sz w:val="18"/>
          <w:szCs w:val="18"/>
          <w:color w:val="auto"/>
        </w:rPr>
        <w:t>‑</w:t>
      </w:r>
      <w:r>
        <w:rPr>
          <w:rFonts w:ascii="Arial" w:cs="Arial" w:eastAsia="Arial" w:hAnsi="Arial"/>
          <w:sz w:val="18"/>
          <w:szCs w:val="18"/>
          <w:color w:val="auto"/>
        </w:rPr>
        <w:t>will employment, which means that any of our employees could leave our employment at any time, with or without notice.</w:t>
      </w:r>
    </w:p>
    <w:p>
      <w:pPr>
        <w:spacing w:after="0" w:line="20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2018, our executive officers, directors and our stockholders, which own more than 5% of our outstanding common stock beneficially own shares representing approximately 68% of our common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980" w:hanging="329"/>
        <w:spacing w:after="0"/>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240" w:hanging="329"/>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right="60" w:hanging="329"/>
        <w:spacing w:after="0" w:line="286" w:lineRule="auto"/>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980" w:right="20" w:hanging="329"/>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40" w:firstLine="648"/>
        <w:spacing w:after="0" w:line="320" w:lineRule="auto"/>
        <w:rPr>
          <w:sz w:val="20"/>
          <w:szCs w:val="20"/>
          <w:color w:val="auto"/>
        </w:rPr>
      </w:pPr>
      <w:r>
        <w:rPr>
          <w:rFonts w:ascii="Arial" w:cs="Arial" w:eastAsia="Arial" w:hAnsi="Arial"/>
          <w:sz w:val="15"/>
          <w:szCs w:val="15"/>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$15.17 per share and as high as $31.00 per share through March 14, 2019. As a result of this volatility, you may not be able to sell your common stock at or above the price your paid for 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and product candidates;</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level of revenues and expenses related to any of our product candidates or development programs;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184" w:lineRule="exact"/>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w:t>
      </w:r>
      <w:r>
        <w:rPr>
          <w:rFonts w:ascii="MS PGothic" w:cs="MS PGothic" w:eastAsia="MS PGothic" w:hAnsi="MS PGothic"/>
          <w:sz w:val="16"/>
          <w:szCs w:val="16"/>
          <w:color w:val="auto"/>
        </w:rPr>
        <w:t>‑</w:t>
      </w:r>
      <w:r>
        <w:rPr>
          <w:rFonts w:ascii="Arial" w:cs="Arial" w:eastAsia="Arial" w:hAnsi="Arial"/>
          <w:sz w:val="16"/>
          <w:szCs w:val="16"/>
          <w:color w:val="auto"/>
        </w:rPr>
        <w:t>license additional product candidates or products;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w:t>
      </w:r>
      <w:r>
        <w:rPr>
          <w:rFonts w:ascii="MS PGothic" w:cs="MS PGothic" w:eastAsia="MS PGothic" w:hAnsi="MS PGothic"/>
          <w:sz w:val="16"/>
          <w:szCs w:val="16"/>
          <w:color w:val="auto"/>
        </w:rPr>
        <w:t>‑</w:t>
      </w:r>
      <w:r>
        <w:rPr>
          <w:rFonts w:ascii="Arial" w:cs="Arial" w:eastAsia="Arial" w:hAnsi="Arial"/>
          <w:sz w:val="16"/>
          <w:szCs w:val="16"/>
          <w:color w:val="auto"/>
        </w:rPr>
        <w:t>affiliates is more than $700.0 million or we issue more than $1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over a three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reduced disclosure obligations regarding executive compensation and exemptions from the requirements of holding a nonbinding advisory vote on executive compensation and shareholder approval of any golden parachute payments not previously approved.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therefore, we will be subject to the same new or revised accounting standards as other public companies that are not emerging growth companies.</w:t>
      </w:r>
    </w:p>
    <w:p>
      <w:pPr>
        <w:spacing w:after="0" w:line="170"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59" w:firstLine="648"/>
        <w:spacing w:after="0" w:line="218" w:lineRule="exact"/>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these rules and regulations make it more difficult and more expensive for us to obtain director and officer liability insurance.</w:t>
      </w:r>
    </w:p>
    <w:p>
      <w:pPr>
        <w:spacing w:after="0" w:line="205" w:lineRule="exact"/>
        <w:rPr>
          <w:sz w:val="20"/>
          <w:szCs w:val="20"/>
          <w:color w:val="auto"/>
        </w:rPr>
      </w:pPr>
    </w:p>
    <w:p>
      <w:pPr>
        <w:ind w:right="19" w:firstLine="648"/>
        <w:spacing w:after="0" w:line="268"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w:t>
      </w:r>
    </w:p>
    <w:p>
      <w:pPr>
        <w:ind w:right="79"/>
        <w:spacing w:after="0" w:line="216" w:lineRule="exact"/>
        <w:rPr>
          <w:sz w:val="20"/>
          <w:szCs w:val="20"/>
          <w:color w:val="auto"/>
        </w:rPr>
      </w:pPr>
      <w:r>
        <w:rPr>
          <w:rFonts w:ascii="Arial" w:cs="Arial" w:eastAsia="Arial" w:hAnsi="Arial"/>
          <w:sz w:val="18"/>
          <w:szCs w:val="18"/>
          <w:color w:val="auto"/>
        </w:rPr>
        <w:t>50</w:t>
      </w:r>
      <w:r>
        <w:rPr>
          <w:rFonts w:ascii="MS PGothic" w:cs="MS PGothic" w:eastAsia="MS PGothic" w:hAnsi="MS PGothic"/>
          <w:sz w:val="18"/>
          <w:szCs w:val="18"/>
          <w:color w:val="auto"/>
        </w:rPr>
        <w:t>‑</w:t>
      </w:r>
      <w:r>
        <w:rPr>
          <w:rFonts w:ascii="Arial" w:cs="Arial" w:eastAsia="Arial" w:hAnsi="Arial"/>
          <w:sz w:val="18"/>
          <w:szCs w:val="18"/>
          <w:color w:val="auto"/>
        </w:rPr>
        <w:t>percentage</w:t>
      </w:r>
      <w:r>
        <w:rPr>
          <w:rFonts w:ascii="MS PGothic" w:cs="MS PGothic" w:eastAsia="MS PGothic" w:hAnsi="MS PGothic"/>
          <w:sz w:val="18"/>
          <w:szCs w:val="18"/>
          <w:color w:val="auto"/>
        </w:rPr>
        <w:t>‑</w:t>
      </w:r>
      <w:r>
        <w:rPr>
          <w:rFonts w:ascii="Arial" w:cs="Arial" w:eastAsia="Arial" w:hAnsi="Arial"/>
          <w:sz w:val="18"/>
          <w:szCs w:val="18"/>
          <w:color w:val="auto"/>
        </w:rPr>
        <w:t>point cumulative change (by value) in the equity ownership of certain stockholders over a rolling three</w:t>
      </w:r>
      <w:r>
        <w:rPr>
          <w:rFonts w:ascii="MS PGothic" w:cs="MS PGothic" w:eastAsia="MS PGothic" w:hAnsi="MS PGothic"/>
          <w:sz w:val="18"/>
          <w:szCs w:val="18"/>
          <w:color w:val="auto"/>
        </w:rPr>
        <w:t>‑</w:t>
      </w:r>
      <w:r>
        <w:rPr>
          <w:rFonts w:ascii="Arial" w:cs="Arial" w:eastAsia="Arial" w:hAnsi="Arial"/>
          <w:sz w:val="18"/>
          <w:szCs w:val="18"/>
          <w:color w:val="auto"/>
        </w:rPr>
        <w:t>year period), the corporation’s ability to use its pre</w:t>
      </w:r>
      <w:r>
        <w:rPr>
          <w:rFonts w:ascii="MS PGothic" w:cs="MS PGothic" w:eastAsia="MS PGothic" w:hAnsi="MS PGothic"/>
          <w:sz w:val="18"/>
          <w:szCs w:val="18"/>
          <w:color w:val="auto"/>
        </w:rPr>
        <w:t>‑</w:t>
      </w:r>
      <w:r>
        <w:rPr>
          <w:rFonts w:ascii="Arial" w:cs="Arial" w:eastAsia="Arial" w:hAnsi="Arial"/>
          <w:sz w:val="18"/>
          <w:szCs w:val="18"/>
          <w:color w:val="auto"/>
        </w:rPr>
        <w:t>change net operating loss carryforwards and other pre</w:t>
      </w:r>
      <w:r>
        <w:rPr>
          <w:rFonts w:ascii="MS PGothic" w:cs="MS PGothic" w:eastAsia="MS PGothic" w:hAnsi="MS PGothic"/>
          <w:sz w:val="18"/>
          <w:szCs w:val="18"/>
          <w:color w:val="auto"/>
        </w:rPr>
        <w:t>‑</w:t>
      </w:r>
      <w:r>
        <w:rPr>
          <w:rFonts w:ascii="Arial" w:cs="Arial" w:eastAsia="Arial" w:hAnsi="Arial"/>
          <w:sz w:val="18"/>
          <w:szCs w:val="18"/>
          <w:color w:val="auto"/>
        </w:rPr>
        <w:t>change tax attributes to offset its post</w:t>
      </w:r>
      <w:r>
        <w:rPr>
          <w:rFonts w:ascii="MS PGothic" w:cs="MS PGothic" w:eastAsia="MS PGothic" w:hAnsi="MS PGothic"/>
          <w:sz w:val="18"/>
          <w:szCs w:val="18"/>
          <w:color w:val="auto"/>
        </w:rPr>
        <w:t>‑</w:t>
      </w:r>
      <w:r>
        <w:rPr>
          <w:rFonts w:ascii="Arial" w:cs="Arial" w:eastAsia="Arial" w:hAnsi="Arial"/>
          <w:sz w:val="18"/>
          <w:szCs w:val="18"/>
          <w:color w:val="auto"/>
        </w:rPr>
        <w:t>change taxable income or taxes may be limited. The Company has performed an analysis of its Section 382 ownership changes through December 31, 2018. Due to the large annual limitation, the Company believes that it is more likely than not that none of the net operating loss carryforwards will expire as a result of the limitation from the ownership change under Section 382.</w:t>
      </w:r>
    </w:p>
    <w:p>
      <w:pPr>
        <w:spacing w:after="0" w:line="205" w:lineRule="exact"/>
        <w:rPr>
          <w:sz w:val="20"/>
          <w:szCs w:val="20"/>
          <w:color w:val="auto"/>
        </w:rPr>
      </w:pPr>
    </w:p>
    <w:p>
      <w:pPr>
        <w:ind w:right="85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7"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right="259" w:firstLine="648"/>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1" w:lineRule="exact"/>
        <w:rPr>
          <w:sz w:val="20"/>
          <w:szCs w:val="20"/>
          <w:color w:val="auto"/>
        </w:rPr>
      </w:pPr>
    </w:p>
    <w:p>
      <w:pPr>
        <w:ind w:right="459" w:firstLine="648"/>
        <w:spacing w:after="0" w:line="277" w:lineRule="auto"/>
        <w:rPr>
          <w:sz w:val="20"/>
          <w:szCs w:val="20"/>
          <w:color w:val="auto"/>
        </w:rPr>
      </w:pPr>
      <w:r>
        <w:rPr>
          <w:rFonts w:ascii="Arial" w:cs="Arial" w:eastAsia="Arial" w:hAnsi="Arial"/>
          <w:sz w:val="18"/>
          <w:szCs w:val="18"/>
          <w:color w:val="auto"/>
        </w:rPr>
        <w:t>Sales of our common stock may be made by holders of our public float or by holders of restricted securities in compliance with the provisions of Rule 144 of the Securities Act of 1933, or the Securities Act.</w:t>
      </w:r>
    </w:p>
    <w:p>
      <w:pPr>
        <w:spacing w:after="0" w:line="170" w:lineRule="exact"/>
        <w:rPr>
          <w:sz w:val="20"/>
          <w:szCs w:val="20"/>
          <w:color w:val="auto"/>
        </w:rPr>
      </w:pPr>
    </w:p>
    <w:p>
      <w:pPr>
        <w:ind w:right="19" w:firstLine="648"/>
        <w:spacing w:after="0" w:line="254" w:lineRule="auto"/>
        <w:rPr>
          <w:sz w:val="20"/>
          <w:szCs w:val="20"/>
          <w:color w:val="auto"/>
        </w:rPr>
      </w:pPr>
      <w:r>
        <w:rPr>
          <w:rFonts w:ascii="Arial" w:cs="Arial" w:eastAsia="Arial" w:hAnsi="Arial"/>
          <w:sz w:val="18"/>
          <w:szCs w:val="18"/>
          <w:color w:val="auto"/>
        </w:rPr>
        <w:t>There were 34,193,666 shares of common stock outstanding as of March 14, 2019. Of these shares of our common stock, 6,900,000 shares sold in our initial public offering in 2018 are freely tradable, without restriction, in the public market. Almost all of the holders of the remaining 27,293,666 shares of common stock or approximately 80 % of our total outstanding common stock as of March 14, 2019 have the right,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w:t>
      </w:r>
    </w:p>
    <w:p>
      <w:pPr>
        <w:spacing w:after="0" w:line="192" w:lineRule="exact"/>
        <w:rPr>
          <w:sz w:val="20"/>
          <w:szCs w:val="20"/>
          <w:color w:val="auto"/>
        </w:rPr>
      </w:pPr>
    </w:p>
    <w:p>
      <w:pPr>
        <w:ind w:right="19" w:firstLine="648"/>
        <w:spacing w:after="0" w:line="253"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 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7" w:lineRule="exact"/>
        <w:rPr>
          <w:sz w:val="20"/>
          <w:szCs w:val="20"/>
          <w:color w:val="auto"/>
        </w:rPr>
      </w:pPr>
    </w:p>
    <w:p>
      <w:pPr>
        <w:ind w:right="11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right="39" w:firstLine="648"/>
        <w:spacing w:after="0" w:line="28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39" w:firstLine="648"/>
        <w:spacing w:after="0" w:line="342" w:lineRule="auto"/>
        <w:rPr>
          <w:sz w:val="20"/>
          <w:szCs w:val="20"/>
          <w:color w:val="auto"/>
        </w:rPr>
      </w:pPr>
      <w:r>
        <w:rPr>
          <w:rFonts w:ascii="Arial" w:cs="Arial" w:eastAsia="Arial" w:hAnsi="Arial"/>
          <w:sz w:val="16"/>
          <w:szCs w:val="16"/>
          <w:color w:val="auto"/>
        </w:rPr>
        <w:t>Our corporate headquarters are located in New York, New York, where we currently lease 4,312 square feet pursuant to a lease agreement dated as of January 10, 2018, which expires five years from the date we first began to</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342" w:lineRule="auto"/>
        <w:rPr>
          <w:sz w:val="20"/>
          <w:szCs w:val="20"/>
          <w:color w:val="auto"/>
        </w:rPr>
      </w:pPr>
      <w:r>
        <w:rPr>
          <w:rFonts w:ascii="Arial" w:cs="Arial" w:eastAsia="Arial" w:hAnsi="Arial"/>
          <w:sz w:val="16"/>
          <w:szCs w:val="16"/>
          <w:color w:val="auto"/>
        </w:rPr>
        <w:t>occupy the premises. In addition, we lease 4,548 square feet of combined office and laboratory space located in Nutley, New Jersey pursuant to a lease agreement dated as of February 11, 2019, which expires on February 10, 2022.</w:t>
      </w:r>
    </w:p>
    <w:p>
      <w:pPr>
        <w:spacing w:after="0" w:line="124" w:lineRule="exact"/>
        <w:rPr>
          <w:sz w:val="20"/>
          <w:szCs w:val="20"/>
          <w:color w:val="auto"/>
        </w:rPr>
      </w:pPr>
    </w:p>
    <w:p>
      <w:pPr>
        <w:ind w:right="79" w:firstLine="648"/>
        <w:spacing w:after="0" w:line="220" w:lineRule="exact"/>
        <w:rPr>
          <w:sz w:val="20"/>
          <w:szCs w:val="20"/>
          <w:color w:val="auto"/>
        </w:rPr>
      </w:pPr>
      <w:r>
        <w:rPr>
          <w:rFonts w:ascii="Arial" w:cs="Arial" w:eastAsia="Arial" w:hAnsi="Arial"/>
          <w:sz w:val="18"/>
          <w:szCs w:val="18"/>
          <w:color w:val="auto"/>
        </w:rPr>
        <w:t>Our wholly owned Danish subsidiary, Y</w:t>
      </w:r>
      <w:r>
        <w:rPr>
          <w:rFonts w:ascii="MS PGothic" w:cs="MS PGothic" w:eastAsia="MS PGothic" w:hAnsi="MS PGothic"/>
          <w:sz w:val="18"/>
          <w:szCs w:val="18"/>
          <w:color w:val="auto"/>
        </w:rPr>
        <w:t>‑</w:t>
      </w:r>
      <w:r>
        <w:rPr>
          <w:rFonts w:ascii="Arial" w:cs="Arial" w:eastAsia="Arial" w:hAnsi="Arial"/>
          <w:sz w:val="18"/>
          <w:szCs w:val="18"/>
          <w:color w:val="auto"/>
        </w:rPr>
        <w:t>mAbs Therapeutics A/S, leases approximately 15,087 square feet of office space in Hørsholm, Denmark pursuant to a lease agreement dated February 2, 2018 as amended on November 19, 2018 and February 22, 2019. The lease may be terminated by us with nine months notice made no earlier than August 2022. The landlord may not terminate the lease until April 2024.</w:t>
      </w:r>
    </w:p>
    <w:p>
      <w:pPr>
        <w:spacing w:after="0" w:line="204"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39" w:firstLine="648"/>
        <w:spacing w:after="0" w:line="312"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4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00" w:right="320" w:hanging="1101"/>
        <w:spacing w:after="0" w:line="282" w:lineRule="auto"/>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27" w:lineRule="exact"/>
        <w:rPr>
          <w:sz w:val="20"/>
          <w:szCs w:val="20"/>
          <w:color w:val="auto"/>
        </w:rPr>
      </w:pPr>
    </w:p>
    <w:p>
      <w:pPr>
        <w:ind w:right="20" w:firstLine="648"/>
        <w:spacing w:after="0" w:line="290" w:lineRule="auto"/>
        <w:rPr>
          <w:sz w:val="20"/>
          <w:szCs w:val="20"/>
          <w:color w:val="auto"/>
        </w:rPr>
      </w:pPr>
      <w:r>
        <w:rPr>
          <w:rFonts w:ascii="Arial" w:cs="Arial" w:eastAsia="Arial" w:hAnsi="Arial"/>
          <w:sz w:val="17"/>
          <w:szCs w:val="17"/>
          <w:color w:val="auto"/>
        </w:rPr>
        <w:t>Our common stock trades under the symbol “YMAB” on the NASDAQ Global Select Market and has been publicly traded since September 21, 2018. Prior to this time, there was no public market for our common stock.</w:t>
      </w:r>
    </w:p>
    <w:p>
      <w:pPr>
        <w:spacing w:after="0" w:line="1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March 14, 2019, the last reported sale price for our common stock on the NASDAQ Global Select Market was $21.38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7" w:lineRule="exact"/>
        <w:rPr>
          <w:sz w:val="20"/>
          <w:szCs w:val="20"/>
          <w:color w:val="auto"/>
        </w:rPr>
      </w:pPr>
    </w:p>
    <w:p>
      <w:pPr>
        <w:ind w:right="540" w:firstLine="648"/>
        <w:spacing w:after="0" w:line="261" w:lineRule="auto"/>
        <w:rPr>
          <w:sz w:val="20"/>
          <w:szCs w:val="20"/>
          <w:color w:val="auto"/>
        </w:rPr>
      </w:pPr>
      <w:r>
        <w:rPr>
          <w:rFonts w:ascii="Arial" w:cs="Arial" w:eastAsia="Arial" w:hAnsi="Arial"/>
          <w:sz w:val="18"/>
          <w:szCs w:val="18"/>
          <w:color w:val="auto"/>
        </w:rPr>
        <w:t>As of March 14, 2019, there were 55 holders of record of shares of our common stock. This number does not include stockholders for whom shares are held in “nominee” or “street” name.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 w:lineRule="exact"/>
        <w:rPr>
          <w:sz w:val="20"/>
          <w:szCs w:val="20"/>
          <w:color w:val="auto"/>
        </w:rPr>
      </w:pPr>
    </w:p>
    <w:p>
      <w:pPr>
        <w:ind w:right="80" w:firstLine="648"/>
        <w:spacing w:after="0" w:line="290" w:lineRule="auto"/>
        <w:rPr>
          <w:sz w:val="20"/>
          <w:szCs w:val="20"/>
          <w:color w:val="auto"/>
        </w:rPr>
      </w:pPr>
      <w:r>
        <w:rPr>
          <w:rFonts w:ascii="Arial" w:cs="Arial" w:eastAsia="Arial" w:hAnsi="Arial"/>
          <w:sz w:val="17"/>
          <w:szCs w:val="17"/>
          <w:color w:val="auto"/>
        </w:rPr>
        <w:t>Information about our equity compensation plans will be included in our definitive proxy statement to be filed with the SEC with respect to our 2019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3"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During the period covered by this Annual Report on Form 10-K, we have issued the following securities that were not registered under the Securities Act:</w:t>
      </w:r>
    </w:p>
    <w:p>
      <w:pPr>
        <w:spacing w:after="0" w:line="184" w:lineRule="exact"/>
        <w:rPr>
          <w:sz w:val="20"/>
          <w:szCs w:val="20"/>
          <w:color w:val="auto"/>
        </w:rPr>
      </w:pPr>
    </w:p>
    <w:p>
      <w:pPr>
        <w:jc w:val="both"/>
        <w:ind w:right="200" w:firstLine="3"/>
        <w:spacing w:after="0" w:line="264" w:lineRule="auto"/>
        <w:tabs>
          <w:tab w:leader="none" w:pos="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Between January 1, 2018 and December 31, 2018, we issued to certain of our employees and directors and a shareholder, options to purchase an aggregate of 1,138,873 shares of our common stock at a weighted-average exercise price of $16.56 per share.</w:t>
      </w:r>
    </w:p>
    <w:p>
      <w:pPr>
        <w:spacing w:after="0" w:line="181" w:lineRule="exact"/>
        <w:rPr>
          <w:rFonts w:ascii="Arial" w:cs="Arial" w:eastAsia="Arial" w:hAnsi="Arial"/>
          <w:sz w:val="18"/>
          <w:szCs w:val="18"/>
          <w:color w:val="auto"/>
        </w:rPr>
      </w:pPr>
    </w:p>
    <w:p>
      <w:pPr>
        <w:ind w:right="20" w:firstLine="3"/>
        <w:spacing w:after="0" w:line="342" w:lineRule="auto"/>
        <w:tabs>
          <w:tab w:leader="none" w:pos="1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August 20, 2018, we issued 448,000 shares pursuant to stock grant agreements entered into in August 2015 with two physicians who were involved in the development of technology licensed from MSK in consideration for their prior services.</w:t>
      </w:r>
    </w:p>
    <w:p>
      <w:pPr>
        <w:spacing w:after="0" w:line="123" w:lineRule="exact"/>
        <w:rPr>
          <w:rFonts w:ascii="Arial" w:cs="Arial" w:eastAsia="Arial" w:hAnsi="Arial"/>
          <w:sz w:val="16"/>
          <w:szCs w:val="16"/>
          <w:color w:val="auto"/>
        </w:rPr>
      </w:pPr>
    </w:p>
    <w:p>
      <w:pPr>
        <w:ind w:firstLine="3"/>
        <w:spacing w:after="0" w:line="264" w:lineRule="auto"/>
        <w:tabs>
          <w:tab w:leader="none" w:pos="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September 21, 2018, we issued an additional 96,000 shares pursuant to one of the stock grant agreements entered into in August 2015 in conjunction with the Company’s initial public offering due to accelerated vesting in such stock grant agreement.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deemed the issuances in the paragraphs above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Each of the recipients of securities either received adequate information about our company or had access, through employment or other relationships, to such information. No underwriters were involved in the foregoing issuances of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25, 2018, we completed the initial public offering of our common stock, or IPO pursuant to which we issued and sold 6,900,000 shares of our common stock at a price to the public of $16.00 per share which included the exercise in full of the underwriters’ option to purchase additional shares.</w:t>
      </w:r>
    </w:p>
    <w:p>
      <w:pPr>
        <w:spacing w:after="0" w:line="39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offer and sale of all of the shares in our initial public offering were registered under the Securities Act pursuant to a registration statement on Form S-1, which was declared effective by the SEC on September 10, 2018, and a registration statement on Form S-1MEF, which was automatically effective upon filing with the SEC on September 20, 2018. Following the sale of the shares in connection with the closing of our initial public offering, the offering terminated. Merrill Lynch, Pierce, Fenner &amp; Smith Incorporated and Cowen and Company, LLC acted as joint book-running managers for the offering. Canaccord Genuity LLC acted as lead manager for the offering and BTIG, LLC acted as co-manager for the offering.</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received aggregate gross proceeds from our initial public offering of $110.4 million, or aggregate net proceeds of approximately $99.8 million after deducting underwriting discounts and commissions and offering expenses. None of the underwriting discounts and commissions or offering expenses were incurred or paid, directly or indirectly, to directors or officers of ours or their associates or to persons owning 10 percent or more of our common stock or to any of our affiliates, and we have not used any of the net proceeds from the offering to make payments, directly or indirectly, to any such persons. We have invested the net proceeds from the offering in money market accounts. There has been no material change in our planned use of the net proceeds from the offering as described in our final prospectus filed pursuant to Rule 424(b)(4) under the Securities Act with the SEC on September 24, 2018.</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have not used the net proceeds from our initial public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following tables set forth our selected consolidated financial data for the period indicated. We have derived the consolidated statements of operations data for the years ended December 31, 2017 and 2018 and the consolidated balance sheet data as of December 31, 2017 and December 31, 2018 from our audited consolidated financial statements included elsewhere in this Annual Report on Form 10-K.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Condition and Results of Operations” and our consolidated financial statements and the related notes included elsewhere in this Annual Report on Form 10-K.</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center"/>
              <w:ind w:right="12"/>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12"/>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and other income (expense)</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loss attributable to common stockholders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8"/>
                <w:szCs w:val="8"/>
                <w:color w:val="auto"/>
              </w:rPr>
              <w:t>(1)</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175"/>
        </w:trPr>
        <w:tc>
          <w:tcPr>
            <w:tcW w:w="6440" w:type="dxa"/>
            <w:vAlign w:val="bottom"/>
            <w:gridSpan w:val="2"/>
          </w:tcPr>
          <w:p>
            <w:pPr>
              <w:spacing w:after="0" w:line="176" w:lineRule="exact"/>
              <w:rPr>
                <w:sz w:val="20"/>
                <w:szCs w:val="20"/>
                <w:color w:val="auto"/>
              </w:rPr>
            </w:pPr>
            <w:r>
              <w:rPr>
                <w:rFonts w:ascii="Arial" w:cs="Arial" w:eastAsia="Arial" w:hAnsi="Arial"/>
                <w:sz w:val="18"/>
                <w:szCs w:val="18"/>
                <w:color w:val="auto"/>
                <w:w w:val="94"/>
              </w:rPr>
              <w:t>Weighted-average common shares outstanding used in computing net loss per share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28,772,384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19,397,506</w:t>
            </w:r>
          </w:p>
        </w:tc>
        <w:tc>
          <w:tcPr>
            <w:tcW w:w="0" w:type="dxa"/>
            <w:vAlign w:val="bottom"/>
          </w:tcPr>
          <w:p>
            <w:pPr>
              <w:spacing w:after="0"/>
              <w:rPr>
                <w:sz w:val="1"/>
                <w:szCs w:val="1"/>
                <w:color w:val="auto"/>
              </w:rPr>
            </w:pPr>
          </w:p>
        </w:tc>
      </w:tr>
      <w:tr>
        <w:trPr>
          <w:trHeight w:val="224"/>
        </w:trPr>
        <w:tc>
          <w:tcPr>
            <w:tcW w:w="6440" w:type="dxa"/>
            <w:vAlign w:val="bottom"/>
            <w:gridSpan w:val="2"/>
          </w:tcPr>
          <w:p>
            <w:pPr>
              <w:spacing w:after="0"/>
              <w:rPr>
                <w:sz w:val="20"/>
                <w:szCs w:val="20"/>
                <w:color w:val="auto"/>
              </w:rPr>
            </w:pPr>
            <w:r>
              <w:rPr>
                <w:rFonts w:ascii="Arial" w:cs="Arial" w:eastAsia="Arial" w:hAnsi="Arial"/>
                <w:sz w:val="18"/>
                <w:szCs w:val="18"/>
                <w:color w:val="auto"/>
              </w:rPr>
              <w:t>attributable to common stockholders—basic and diluted</w:t>
            </w:r>
            <w:r>
              <w:rPr>
                <w:rFonts w:ascii="Arial" w:cs="Arial" w:eastAsia="Arial" w:hAnsi="Arial"/>
                <w:sz w:val="8"/>
                <w:szCs w:val="8"/>
                <w:color w:val="auto"/>
              </w:rPr>
              <w:t>(1)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120" w:hanging="317"/>
        <w:spacing w:after="0" w:line="264" w:lineRule="auto"/>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See Note 4 to our consolidated financial statements included elsewhere in this Annual Report on Form 10-K for an explanation of the method used to calculate the historical basic and diluted net loss per common share and the weighted average number of shares used in the computation of the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40" w:type="dxa"/>
            <w:vAlign w:val="bottom"/>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w w:val="98"/>
              </w:rPr>
              <w:t>$  147,840</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90,483</w:t>
            </w:r>
          </w:p>
        </w:tc>
        <w:tc>
          <w:tcPr>
            <w:tcW w:w="2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(1)</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142,409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83,430</w:t>
            </w:r>
          </w:p>
        </w:tc>
        <w:tc>
          <w:tcPr>
            <w:tcW w:w="20" w:type="dxa"/>
            <w:vAlign w:val="bottom"/>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151,924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92,127</w:t>
            </w:r>
          </w:p>
        </w:tc>
        <w:tc>
          <w:tcPr>
            <w:tcW w:w="2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11,397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20" w:type="dxa"/>
            <w:vAlign w:val="bottom"/>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(84,835)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(41,561)</w:t>
            </w:r>
          </w:p>
        </w:tc>
        <w:tc>
          <w:tcPr>
            <w:tcW w:w="2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140,527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20" w:type="dxa"/>
            <w:vAlign w:val="bottom"/>
          </w:tcPr>
          <w:p>
            <w:pPr>
              <w:spacing w:after="0"/>
              <w:rPr>
                <w:sz w:val="18"/>
                <w:szCs w:val="18"/>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We define working capital as current assets less current liabilities.</w:t>
      </w:r>
    </w:p>
    <w:p>
      <w:pPr>
        <w:spacing w:after="0" w:line="221" w:lineRule="exact"/>
        <w:rPr>
          <w:sz w:val="20"/>
          <w:szCs w:val="20"/>
          <w:color w:val="auto"/>
        </w:rPr>
      </w:pPr>
    </w:p>
    <w:p>
      <w:pPr>
        <w:ind w:left="1060" w:right="200" w:hanging="1101"/>
        <w:spacing w:after="0" w:line="282"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 our accompanying financial statements and related notes thereto included elsewhere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 Some of the information contained in this discussion and analysis or set forth elsewhere in this Annual Report on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10-K, including information with respect to our plans and strategy for our business and related financing, includes</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i w:val="1"/>
          <w:iCs w:val="1"/>
          <w:color w:val="auto"/>
        </w:rPr>
        <w:t>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involve risks and uncertainties. As a result of many factors, including those factors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the “Risk Factors” section of this Annual Report on Form 10-K, our actual results could differ materially from the results</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described in or implied by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contained in the following discussion and analysis.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convenience of presentation some of the numbers have been rounded in the text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 B7</w:t>
      </w:r>
      <w:r>
        <w:rPr>
          <w:rFonts w:ascii="MS PGothic" w:cs="MS PGothic" w:eastAsia="MS PGothic" w:hAnsi="MS PGothic"/>
          <w:sz w:val="16"/>
          <w:szCs w:val="16"/>
          <w:color w:val="auto"/>
        </w:rPr>
        <w:t>‑</w:t>
      </w:r>
      <w:r>
        <w:rPr>
          <w:rFonts w:ascii="Arial" w:cs="Arial" w:eastAsia="Arial" w:hAnsi="Arial"/>
          <w:sz w:val="16"/>
          <w:szCs w:val="16"/>
          <w:color w:val="auto"/>
        </w:rPr>
        <w:t>H3, respectively. We are developing naxitamab for the treatment of pediatric patients with R/R high</w:t>
      </w:r>
      <w:r>
        <w:rPr>
          <w:rFonts w:ascii="MS PGothic" w:cs="MS PGothic" w:eastAsia="MS PGothic" w:hAnsi="MS PGothic"/>
          <w:sz w:val="16"/>
          <w:szCs w:val="16"/>
          <w:color w:val="auto"/>
        </w:rPr>
        <w:t>‑</w:t>
      </w:r>
      <w:r>
        <w:rPr>
          <w:rFonts w:ascii="Arial" w:cs="Arial" w:eastAsia="Arial" w:hAnsi="Arial"/>
          <w:sz w:val="16"/>
          <w:szCs w:val="16"/>
          <w:color w:val="auto"/>
        </w:rPr>
        <w:t>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5"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Additionally, we have two omburtamab follow</w:t>
      </w:r>
      <w:r>
        <w:rPr>
          <w:rFonts w:ascii="MS PGothic" w:cs="MS PGothic" w:eastAsia="MS PGothic" w:hAnsi="MS PGothic"/>
          <w:sz w:val="17"/>
          <w:szCs w:val="17"/>
          <w:color w:val="auto"/>
        </w:rPr>
        <w:t>‑</w:t>
      </w:r>
      <w:r>
        <w:rPr>
          <w:rFonts w:ascii="Arial" w:cs="Arial" w:eastAsia="Arial" w:hAnsi="Arial"/>
          <w:sz w:val="17"/>
          <w:szCs w:val="17"/>
          <w:color w:val="auto"/>
        </w:rPr>
        <w:t>on product candidates in pre</w:t>
      </w:r>
      <w:r>
        <w:rPr>
          <w:rFonts w:ascii="MS PGothic" w:cs="MS PGothic" w:eastAsia="MS PGothic" w:hAnsi="MS PGothic"/>
          <w:sz w:val="17"/>
          <w:szCs w:val="17"/>
          <w:color w:val="auto"/>
        </w:rPr>
        <w:t>‑</w:t>
      </w:r>
      <w:r>
        <w:rPr>
          <w:rFonts w:ascii="Arial" w:cs="Arial" w:eastAsia="Arial" w:hAnsi="Arial"/>
          <w:sz w:val="17"/>
          <w:szCs w:val="17"/>
          <w:color w:val="auto"/>
        </w:rPr>
        <w:t>clinical development, omburtamab</w:t>
      </w:r>
      <w:r>
        <w:rPr>
          <w:rFonts w:ascii="MS PGothic" w:cs="MS PGothic" w:eastAsia="MS PGothic" w:hAnsi="MS PGothic"/>
          <w:sz w:val="17"/>
          <w:szCs w:val="17"/>
          <w:color w:val="auto"/>
        </w:rPr>
        <w:t>‑</w:t>
      </w:r>
      <w:r>
        <w:rPr>
          <w:rFonts w:ascii="Arial" w:cs="Arial" w:eastAsia="Arial" w:hAnsi="Arial"/>
          <w:sz w:val="17"/>
          <w:szCs w:val="17"/>
          <w:color w:val="auto"/>
        </w:rPr>
        <w:t>DTPA and huB7</w:t>
      </w:r>
      <w:r>
        <w:rPr>
          <w:rFonts w:ascii="MS PGothic" w:cs="MS PGothic" w:eastAsia="MS PGothic" w:hAnsi="MS PGothic"/>
          <w:sz w:val="17"/>
          <w:szCs w:val="17"/>
          <w:color w:val="auto"/>
        </w:rPr>
        <w:t>‑</w:t>
      </w:r>
      <w:r>
        <w:rPr>
          <w:rFonts w:ascii="Arial" w:cs="Arial" w:eastAsia="Arial" w:hAnsi="Arial"/>
          <w:sz w:val="17"/>
          <w:szCs w:val="17"/>
          <w:color w:val="auto"/>
        </w:rPr>
        <w:t>H3, a humanized version of omburtamab, each targeting indications with large adult patient populations. In addition, we have initiated a Phase I trial with our huGD2 BsAb product candidate for the treatment of refractory GD2 positive adult and pediatric solid tumours, thereby addressing large patient populations. We are also advancing a pipeline of novel BsAbs through late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including our huCD33</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hematological cancers expressing CD33, a transmembrane receptor expressed on cells of myeloid lineage. We believe our BsAbs have the potential to result in improved tumor</w:t>
      </w:r>
      <w:r>
        <w:rPr>
          <w:rFonts w:ascii="MS PGothic" w:cs="MS PGothic" w:eastAsia="MS PGothic" w:hAnsi="MS PGothic"/>
          <w:sz w:val="17"/>
          <w:szCs w:val="17"/>
          <w:color w:val="auto"/>
        </w:rPr>
        <w:t>‑</w:t>
      </w:r>
      <w:r>
        <w:rPr>
          <w:rFonts w:ascii="Arial" w:cs="Arial" w:eastAsia="Arial" w:hAnsi="Arial"/>
          <w:sz w:val="17"/>
          <w:szCs w:val="17"/>
          <w:color w:val="auto"/>
        </w:rPr>
        <w:t>binding, longer serum half</w:t>
      </w:r>
      <w:r>
        <w:rPr>
          <w:rFonts w:ascii="MS PGothic" w:cs="MS PGothic" w:eastAsia="MS PGothic" w:hAnsi="MS PGothic"/>
          <w:sz w:val="17"/>
          <w:szCs w:val="17"/>
          <w:color w:val="auto"/>
        </w:rPr>
        <w:t>‑</w:t>
      </w:r>
      <w:r>
        <w:rPr>
          <w:rFonts w:ascii="Arial" w:cs="Arial" w:eastAsia="Arial" w:hAnsi="Arial"/>
          <w:sz w:val="17"/>
          <w:szCs w:val="17"/>
          <w:color w:val="auto"/>
        </w:rPr>
        <w:t>life and significantly greater T</w:t>
      </w:r>
      <w:r>
        <w:rPr>
          <w:rFonts w:ascii="MS PGothic" w:cs="MS PGothic" w:eastAsia="MS PGothic" w:hAnsi="MS PGothic"/>
          <w:sz w:val="17"/>
          <w:szCs w:val="17"/>
          <w:color w:val="auto"/>
        </w:rPr>
        <w:t>‑</w:t>
      </w:r>
      <w:r>
        <w:rPr>
          <w:rFonts w:ascii="Arial" w:cs="Arial" w:eastAsia="Arial" w:hAnsi="Arial"/>
          <w:sz w:val="17"/>
          <w:szCs w:val="17"/>
          <w:color w:val="auto"/>
        </w:rPr>
        <w:t>cell mediated killing of tumor cells without the need for continuous infusion. Our mission is to become the world leader in developing better and safer antibody</w:t>
      </w:r>
      <w:r>
        <w:rPr>
          <w:rFonts w:ascii="MS PGothic" w:cs="MS PGothic" w:eastAsia="MS PGothic" w:hAnsi="MS PGothic"/>
          <w:sz w:val="17"/>
          <w:szCs w:val="17"/>
          <w:color w:val="auto"/>
        </w:rPr>
        <w:t>‑</w:t>
      </w:r>
      <w:r>
        <w:rPr>
          <w:rFonts w:ascii="Arial" w:cs="Arial" w:eastAsia="Arial" w:hAnsi="Arial"/>
          <w:sz w:val="17"/>
          <w:szCs w:val="17"/>
          <w:color w:val="auto"/>
        </w:rPr>
        <w:t>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8"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Since our inception on April 30, 2015, we have devoted substantially all of our resources to organizing and staffing our company, business planning, identifying potential product candidates,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w:t>
      </w:r>
    </w:p>
    <w:p>
      <w:pPr>
        <w:spacing w:after="0" w:line="20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date, we have financed our operations primarily through private placements of our securities and the proceeds of our initial public offering. On September 25, 2018, we completed the initial public offering, or IPO, of our common stock pursuant to which we issued and sold 6,900,000 shares at a price of $16.00 per share which included the exercise in full of the underwriters’ option to purchase additional shares for gross proceeds of approximately $110.4 million, before deducting underwriting discounts and commissions and estimated offering expenses. We have received aggregate gross proceeds of $230.0 million through December 31, 2018 from the sale and issuance of our common stock.</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December 31, 2018, we had an accumulated deficit of $84.8 million. Our net losses were $43.3 million for the year ended December 31, 2018 and $19.2 million for the year ended December 31, 2017.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73" w:lineRule="exact"/>
        <w:rPr>
          <w:sz w:val="20"/>
          <w:szCs w:val="20"/>
          <w:color w:val="auto"/>
        </w:rPr>
      </w:pPr>
    </w:p>
    <w:p>
      <w:pPr>
        <w:ind w:left="980" w:hanging="329"/>
        <w:spacing w:after="0"/>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continue to advance our lead product candidates through pivotal stage development towards registration;</w:t>
      </w:r>
    </w:p>
    <w:p>
      <w:pPr>
        <w:spacing w:after="0" w:line="236" w:lineRule="exact"/>
        <w:rPr>
          <w:rFonts w:ascii="Arial" w:cs="Arial" w:eastAsia="Arial" w:hAnsi="Arial"/>
          <w:sz w:val="17"/>
          <w:szCs w:val="17"/>
          <w:color w:val="auto"/>
        </w:rPr>
      </w:pPr>
    </w:p>
    <w:p>
      <w:pPr>
        <w:ind w:left="980" w:hanging="329"/>
        <w:spacing w:after="0" w:line="207" w:lineRule="exact"/>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w:t>
      </w:r>
    </w:p>
    <w:p>
      <w:pPr>
        <w:spacing w:after="0" w:line="225" w:lineRule="exact"/>
        <w:rPr>
          <w:rFonts w:ascii="Arial" w:cs="Arial" w:eastAsia="Arial" w:hAnsi="Arial"/>
          <w:sz w:val="18"/>
          <w:szCs w:val="18"/>
          <w:color w:val="auto"/>
        </w:rPr>
      </w:pPr>
    </w:p>
    <w:p>
      <w:pPr>
        <w:ind w:left="980" w:right="500" w:hanging="329"/>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initiate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any additional product candidates we identify;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980" w:right="420" w:hanging="329"/>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We believe that our cash on hand will be sufficient to fund our operations through the fourth quarter of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w:t>
      </w:r>
      <w:r>
        <w:rPr>
          <w:rFonts w:ascii="MS PGothic" w:cs="MS PGothic" w:eastAsia="MS PGothic" w:hAnsi="MS PGothic"/>
          <w:sz w:val="18"/>
          <w:szCs w:val="18"/>
          <w:color w:val="auto"/>
        </w:rPr>
        <w:t>‑</w:t>
      </w:r>
      <w:r>
        <w:rPr>
          <w:rFonts w:ascii="Arial" w:cs="Arial" w:eastAsia="Arial" w:hAnsi="Arial"/>
          <w:sz w:val="18"/>
          <w:szCs w:val="18"/>
          <w:color w:val="auto"/>
        </w:rPr>
        <w:t>risk NB, and omburtamab for the treatment of CNS/LM from NB, by the end of 2019. Additionally, we currently use CROs and CMOs to carry out our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 activities and we do not yet have a sales organization.</w:t>
      </w:r>
    </w:p>
    <w:p>
      <w:pPr>
        <w:spacing w:after="0" w:line="20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Research and development expenses consist of expenses incurred in connection with the discovery and development of our product candidates. We expense research and development costs as incurred. These expenses include:</w:t>
      </w:r>
    </w:p>
    <w:p>
      <w:pPr>
        <w:spacing w:after="0" w:line="124" w:lineRule="exact"/>
        <w:rPr>
          <w:sz w:val="20"/>
          <w:szCs w:val="20"/>
          <w:color w:val="auto"/>
        </w:rPr>
      </w:pPr>
    </w:p>
    <w:p>
      <w:pPr>
        <w:ind w:left="980" w:right="200" w:hanging="329"/>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the SRA, the two CFSAs, the MCTA, and the MDSA, with MSK;</w:t>
      </w:r>
    </w:p>
    <w:p>
      <w:pPr>
        <w:spacing w:after="0" w:line="170"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w:t>
      </w:r>
      <w:r>
        <w:rPr>
          <w:rFonts w:ascii="MS PGothic" w:cs="MS PGothic" w:eastAsia="MS PGothic" w:hAnsi="MS PGothic"/>
          <w:sz w:val="18"/>
          <w:szCs w:val="18"/>
          <w:color w:val="auto"/>
        </w:rPr>
        <w:t>‑</w:t>
      </w:r>
      <w:r>
        <w:rPr>
          <w:rFonts w:ascii="Arial" w:cs="Arial" w:eastAsia="Arial" w:hAnsi="Arial"/>
          <w:sz w:val="18"/>
          <w:szCs w:val="18"/>
          <w:color w:val="auto"/>
        </w:rPr>
        <w:t>clinical studies and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trials;</w:t>
      </w:r>
    </w:p>
    <w:p>
      <w:pPr>
        <w:spacing w:after="0" w:line="203" w:lineRule="exact"/>
        <w:rPr>
          <w:rFonts w:ascii="Arial" w:cs="Arial" w:eastAsia="Arial" w:hAnsi="Arial"/>
          <w:sz w:val="18"/>
          <w:szCs w:val="18"/>
          <w:color w:val="auto"/>
        </w:rPr>
      </w:pPr>
    </w:p>
    <w:p>
      <w:pPr>
        <w:ind w:left="980" w:right="340" w:hanging="329"/>
        <w:spacing w:after="0" w:line="221" w:lineRule="exact"/>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expenses and the cost of acquiring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materials, including manufacturing validation batches;</w:t>
      </w:r>
    </w:p>
    <w:p>
      <w:pPr>
        <w:spacing w:after="0" w:line="201"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upfront and milestone and other non-revenue related payments due under our third</w:t>
      </w:r>
      <w:r>
        <w:rPr>
          <w:rFonts w:ascii="MS PGothic" w:cs="MS PGothic" w:eastAsia="MS PGothic" w:hAnsi="MS PGothic"/>
          <w:sz w:val="16"/>
          <w:szCs w:val="16"/>
          <w:color w:val="auto"/>
        </w:rPr>
        <w:t>‑</w:t>
      </w:r>
      <w:r>
        <w:rPr>
          <w:rFonts w:ascii="Arial" w:cs="Arial" w:eastAsia="Arial" w:hAnsi="Arial"/>
          <w:sz w:val="16"/>
          <w:szCs w:val="16"/>
          <w:color w:val="auto"/>
        </w:rPr>
        <w:t>party licensing agreements;</w:t>
      </w:r>
    </w:p>
    <w:p>
      <w:pPr>
        <w:spacing w:after="0" w:line="248"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980" w:right="820" w:hanging="329"/>
        <w:spacing w:after="0" w:line="223" w:lineRule="exact"/>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w:t>
      </w:r>
      <w:r>
        <w:rPr>
          <w:rFonts w:ascii="MS PGothic" w:cs="MS PGothic" w:eastAsia="MS PGothic" w:hAnsi="MS PGothic"/>
          <w:sz w:val="18"/>
          <w:szCs w:val="18"/>
          <w:color w:val="auto"/>
        </w:rPr>
        <w:t>‑</w:t>
      </w:r>
      <w:r>
        <w:rPr>
          <w:rFonts w:ascii="Arial" w:cs="Arial" w:eastAsia="Arial" w:hAnsi="Arial"/>
          <w:sz w:val="18"/>
          <w:szCs w:val="18"/>
          <w:color w:val="auto"/>
        </w:rPr>
        <w:t>related costs, including rent, insurance, supplies and maintenance expenses, and other operating costs.</w:t>
      </w:r>
    </w:p>
    <w:p>
      <w:pPr>
        <w:spacing w:after="0" w:line="20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naxitamab and omburtamab or any future product candidates we may develop. This uncertainty is due to the numerous risks and uncertainties associated with the duration and cost of clinical trials, which vary significantly over the life of a project as a result of many factors, including:</w:t>
      </w:r>
    </w:p>
    <w:p>
      <w:pPr>
        <w:spacing w:after="0" w:line="173" w:lineRule="exact"/>
        <w:rPr>
          <w:sz w:val="20"/>
          <w:szCs w:val="20"/>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availability and length of time required to enroll a sufficient number of suitable patients in our clinical trials;</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duration of patient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07" w:lineRule="exact"/>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results of our clinical trials and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timing of our BLA submissions and their acceptance;</w:t>
      </w:r>
    </w:p>
    <w:p>
      <w:pPr>
        <w:spacing w:after="0" w:line="225" w:lineRule="exact"/>
        <w:rPr>
          <w:rFonts w:ascii="Arial" w:cs="Arial" w:eastAsia="Arial" w:hAnsi="Arial"/>
          <w:sz w:val="18"/>
          <w:szCs w:val="18"/>
          <w:color w:val="auto"/>
        </w:rPr>
      </w:pPr>
    </w:p>
    <w:p>
      <w:pPr>
        <w:ind w:left="980" w:right="120" w:hanging="329"/>
        <w:spacing w:after="0" w:line="223" w:lineRule="exact"/>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authority;</w:t>
      </w:r>
    </w:p>
    <w:p>
      <w:pPr>
        <w:spacing w:after="0" w:line="203" w:lineRule="exact"/>
        <w:rPr>
          <w:rFonts w:ascii="Arial" w:cs="Arial" w:eastAsia="Arial" w:hAnsi="Arial"/>
          <w:sz w:val="18"/>
          <w:szCs w:val="18"/>
          <w:color w:val="auto"/>
        </w:rPr>
      </w:pPr>
    </w:p>
    <w:p>
      <w:pPr>
        <w:ind w:left="980" w:right="300" w:hanging="329"/>
        <w:spacing w:after="0" w:line="277"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development, like naxitamab and omburtamab, generally have higher development costs than those in earlier stages of</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clinical development, primarily due to the increased size and duration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 We expect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expenses to increase significantly over the next several years as we increase personnel costs, including</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conduct clinical trials and potentially prepare regulatory filings for naxitamab and omburtamab.</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320" w:firstLine="648"/>
        <w:spacing w:after="0" w:line="220" w:lineRule="exact"/>
        <w:rPr>
          <w:sz w:val="20"/>
          <w:szCs w:val="20"/>
          <w:color w:val="auto"/>
        </w:rPr>
      </w:pPr>
      <w:r>
        <w:rPr>
          <w:rFonts w:ascii="Arial" w:cs="Arial" w:eastAsia="Arial" w:hAnsi="Arial"/>
          <w:sz w:val="17"/>
          <w:szCs w:val="17"/>
          <w:color w:val="auto"/>
        </w:rPr>
        <w:t>General and administrative expenses consist primarily of employee related expenses, including salaries, bonus,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204"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as a result of our preparation for commercial operations, especially as it relates to the sales and marketing of that product candidate.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w:t>
      </w:r>
      <w:r>
        <w:rPr>
          <w:rFonts w:ascii="MS PGothic" w:cs="MS PGothic" w:eastAsia="MS PGothic" w:hAnsi="MS PGothic"/>
          <w:sz w:val="17"/>
          <w:szCs w:val="17"/>
          <w:color w:val="auto"/>
        </w:rPr>
        <w:t>‑</w:t>
      </w:r>
      <w:r>
        <w:rPr>
          <w:rFonts w:ascii="Arial" w:cs="Arial" w:eastAsia="Arial" w:hAnsi="Arial"/>
          <w:sz w:val="17"/>
          <w:szCs w:val="17"/>
          <w:color w:val="auto"/>
        </w:rPr>
        <w: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to be most critical to the judgments and estimates used in the preparation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right="219" w:firstLine="648"/>
        <w:spacing w:after="0" w:line="219" w:lineRule="exact"/>
        <w:rPr>
          <w:sz w:val="20"/>
          <w:szCs w:val="20"/>
          <w:color w:val="auto"/>
        </w:rPr>
      </w:pPr>
      <w:r>
        <w:rPr>
          <w:rFonts w:ascii="Arial" w:cs="Arial" w:eastAsia="Arial" w:hAnsi="Arial"/>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to employees and directors with only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and record the expense for these awards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requisite service period.</w:t>
      </w:r>
    </w:p>
    <w:p>
      <w:pPr>
        <w:spacing w:after="0" w:line="206" w:lineRule="exact"/>
        <w:rPr>
          <w:sz w:val="20"/>
          <w:szCs w:val="20"/>
          <w:color w:val="auto"/>
        </w:rPr>
      </w:pPr>
    </w:p>
    <w:p>
      <w:pPr>
        <w:ind w:right="239" w:firstLine="648"/>
        <w:spacing w:after="0" w:line="220"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our shares of common stock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w:t>
      </w:r>
    </w:p>
    <w:p>
      <w:pPr>
        <w:spacing w:after="0" w:line="204" w:lineRule="exact"/>
        <w:rPr>
          <w:sz w:val="20"/>
          <w:szCs w:val="20"/>
          <w:color w:val="auto"/>
        </w:rPr>
      </w:pPr>
    </w:p>
    <w:p>
      <w:pPr>
        <w:ind w:right="19" w:firstLine="648"/>
        <w:spacing w:after="0" w:line="217"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Historically, we have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our shares. Therefore, we estimate our expected share price volatility based on the historical volatility of a group of publicly</w:t>
      </w:r>
      <w:r>
        <w:rPr>
          <w:rFonts w:ascii="MS PGothic" w:cs="MS PGothic" w:eastAsia="MS PGothic" w:hAnsi="MS PGothic"/>
          <w:sz w:val="16"/>
          <w:szCs w:val="16"/>
          <w:color w:val="auto"/>
        </w:rPr>
        <w:t>‑</w:t>
      </w:r>
      <w:r>
        <w:rPr>
          <w:rFonts w:ascii="Arial" w:cs="Arial" w:eastAsia="Arial" w:hAnsi="Arial"/>
          <w:sz w:val="16"/>
          <w:szCs w:val="16"/>
          <w:color w:val="auto"/>
        </w:rPr>
        <w:t>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is equal to the contractual term of the option award.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right="19" w:firstLine="648"/>
        <w:spacing w:after="0" w:line="217" w:lineRule="exact"/>
        <w:rPr>
          <w:sz w:val="20"/>
          <w:szCs w:val="20"/>
          <w:color w:val="auto"/>
        </w:rPr>
      </w:pPr>
      <w:r>
        <w:rPr>
          <w:rFonts w:ascii="Arial" w:cs="Arial" w:eastAsia="Arial" w:hAnsi="Arial"/>
          <w:sz w:val="16"/>
          <w:szCs w:val="16"/>
          <w:color w:val="auto"/>
        </w:rPr>
        <w:t>Prior to our IPO, the estimated fair value of our common stock was determined by our board of directors as of the date of each award grant, with input from management, considering our then most recently completed or ongoing private placement activities and then most recently available third</w:t>
      </w:r>
      <w:r>
        <w:rPr>
          <w:rFonts w:ascii="MS PGothic" w:cs="MS PGothic" w:eastAsia="MS PGothic" w:hAnsi="MS PGothic"/>
          <w:sz w:val="16"/>
          <w:szCs w:val="16"/>
          <w:color w:val="auto"/>
        </w:rPr>
        <w:t>‑</w:t>
      </w:r>
      <w:r>
        <w:rPr>
          <w:rFonts w:ascii="Arial" w:cs="Arial" w:eastAsia="Arial" w:hAnsi="Arial"/>
          <w:sz w:val="16"/>
          <w:szCs w:val="16"/>
          <w:color w:val="auto"/>
        </w:rPr>
        <w:t>party valuation of our common stock. Third</w:t>
      </w:r>
      <w:r>
        <w:rPr>
          <w:rFonts w:ascii="MS PGothic" w:cs="MS PGothic" w:eastAsia="MS PGothic" w:hAnsi="MS PGothic"/>
          <w:sz w:val="16"/>
          <w:szCs w:val="16"/>
          <w:color w:val="auto"/>
        </w:rPr>
        <w:t>‑</w:t>
      </w:r>
      <w:r>
        <w:rPr>
          <w:rFonts w:ascii="Arial" w:cs="Arial" w:eastAsia="Arial" w:hAnsi="Arial"/>
          <w:sz w:val="16"/>
          <w:szCs w:val="16"/>
          <w:color w:val="auto"/>
        </w:rPr>
        <w:t>party valuations were performed in accordance with the guidance outlined in the American Institute of Certified Public Accountants’ Accounting and Valuation Guide, Valuation of Privately</w:t>
      </w:r>
      <w:r>
        <w:rPr>
          <w:rFonts w:ascii="MS PGothic" w:cs="MS PGothic" w:eastAsia="MS PGothic" w:hAnsi="MS PGothic"/>
          <w:sz w:val="16"/>
          <w:szCs w:val="16"/>
          <w:color w:val="auto"/>
        </w:rPr>
        <w:t>‑</w:t>
      </w:r>
      <w:r>
        <w:rPr>
          <w:rFonts w:ascii="Arial" w:cs="Arial" w:eastAsia="Arial" w:hAnsi="Arial"/>
          <w:sz w:val="16"/>
          <w:szCs w:val="16"/>
          <w:color w:val="auto"/>
        </w:rPr>
        <w:t>Held</w:t>
      </w:r>
      <w:r>
        <w:rPr>
          <w:rFonts w:ascii="MS PGothic" w:cs="MS PGothic" w:eastAsia="MS PGothic" w:hAnsi="MS PGothic"/>
          <w:sz w:val="16"/>
          <w:szCs w:val="16"/>
          <w:color w:val="auto"/>
        </w:rPr>
        <w:t>‑</w:t>
      </w:r>
      <w:r>
        <w:rPr>
          <w:rFonts w:ascii="Arial" w:cs="Arial" w:eastAsia="Arial" w:hAnsi="Arial"/>
          <w:sz w:val="16"/>
          <w:szCs w:val="16"/>
          <w:color w:val="auto"/>
        </w:rPr>
        <w:t>Company Equity Securities issued as Compensation. This process resulted in estimated fair value of our common stock of $0.20 per share as of June 6, 2015; $4.38 per share as of May 20, 2016, October 21, 2016 and August 22, 2016; $8.50 per share as of December 14, 2016; $9.35 per share as of September 13, 2017 and December 5, 2017; $11.16 per share as of April 24, 2018; and $13.11 as of July 10, 2018.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207" w:lineRule="exact"/>
        <w:rPr>
          <w:sz w:val="20"/>
          <w:szCs w:val="20"/>
          <w:color w:val="auto"/>
        </w:rPr>
      </w:pPr>
    </w:p>
    <w:p>
      <w:pPr>
        <w:ind w:left="980" w:right="79" w:hanging="329"/>
        <w:spacing w:after="0" w:line="223" w:lineRule="exact"/>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our product candidates;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248" w:lineRule="exact"/>
        <w:rPr>
          <w:rFonts w:ascii="Arial" w:cs="Arial" w:eastAsia="Arial" w:hAnsi="Arial"/>
          <w:sz w:val="16"/>
          <w:szCs w:val="16"/>
          <w:color w:val="auto"/>
        </w:rPr>
      </w:pPr>
    </w:p>
    <w:p>
      <w:pPr>
        <w:ind w:left="980" w:right="36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our company in light of prevailing market conditions;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analysis of initial public offerings and the market performance of similar companies in the biopharmaceutical industry.</w:t>
      </w:r>
    </w:p>
    <w:p>
      <w:pPr>
        <w:spacing w:after="0" w:line="170"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 judgment. As a result, if factors or expected outcomes changed and we used significantly different assumptions or estimates at the time, our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could be materially different.</w:t>
      </w:r>
    </w:p>
    <w:p>
      <w:pPr>
        <w:spacing w:after="0" w:line="20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Since the closing of our IPO, our board of directors has determined the per share fair value of our common stock based on the closing price of our common stock as reported by the NASDAQ Global Select Market on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options to purchase shares of our common stock are granted with an exercise price per share equal to or greater than the estimated fair value per share of our common stock on the date of grant, based on the information known to us on the date of grant. The following table sets forth by grant date the number of shares of common stock subject to options granted from 2016 to 2018, the per share exercise price of the options, the fair value per share of common stock on each grant date, and the per share estimated fair value of the options: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Type of</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Per Share on</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Award</w:t>
            </w: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 2016</w:t>
            </w: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Option</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August 22, 2016</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December 14, 2016</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tcPr>
          <w:p>
            <w:pPr>
              <w:jc w:val="right"/>
              <w:spacing w:after="0"/>
              <w:rPr>
                <w:sz w:val="20"/>
                <w:szCs w:val="20"/>
                <w:color w:val="auto"/>
              </w:rPr>
            </w:pPr>
            <w:r>
              <w:rPr>
                <w:rFonts w:ascii="Arial" w:cs="Arial" w:eastAsia="Arial" w:hAnsi="Arial"/>
                <w:sz w:val="18"/>
                <w:szCs w:val="18"/>
                <w:color w:val="auto"/>
              </w:rPr>
              <w:t>48,000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December 5, 2017</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April 24, 2018</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6.42 - $8.09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July 10, 2018</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December 11, 2018</w:t>
            </w: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$ 12.49 - $12.70</w:t>
            </w:r>
          </w:p>
        </w:tc>
        <w:tc>
          <w:tcPr>
            <w:tcW w:w="0" w:type="dxa"/>
            <w:vAlign w:val="bottom"/>
          </w:tcPr>
          <w:p>
            <w:pPr>
              <w:spacing w:after="0"/>
              <w:rPr>
                <w:sz w:val="1"/>
                <w:szCs w:val="1"/>
                <w:color w:val="auto"/>
              </w:rPr>
            </w:pPr>
          </w:p>
        </w:tc>
      </w:tr>
      <w:tr>
        <w:trPr>
          <w:trHeight w:val="864"/>
        </w:trPr>
        <w:tc>
          <w:tcPr>
            <w:tcW w:w="2920" w:type="dxa"/>
            <w:vAlign w:val="bottom"/>
          </w:tcPr>
          <w:p>
            <w:pPr>
              <w:spacing w:after="0"/>
              <w:rPr>
                <w:sz w:val="24"/>
                <w:szCs w:val="24"/>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We expect the amount of share-based compensation expense recognized for stock options to increase for future awards in future periods due to the potential increase in both the value of our common stock and the size of our company in terms of headcount.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model.</w:t>
      </w:r>
    </w:p>
    <w:p>
      <w:pPr>
        <w:spacing w:after="0" w:line="211" w:lineRule="exact"/>
        <w:rPr>
          <w:sz w:val="20"/>
          <w:szCs w:val="20"/>
          <w:color w:val="auto"/>
        </w:rPr>
      </w:pPr>
    </w:p>
    <w:p>
      <w:pPr>
        <w:ind w:right="179" w:firstLine="64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ectPr>
          <w:pgSz w:w="11900" w:h="16838" w:orient="portrait"/>
          <w:cols w:equalWidth="0" w:num="1">
            <w:col w:w="9039"/>
          </w:cols>
          <w:pgMar w:left="1420" w:top="125" w:right="1440" w:bottom="1440" w:gutter="0" w:footer="0" w:header="0"/>
        </w:sectPr>
      </w:pP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13970</wp:posOffset>
            </wp:positionV>
            <wp:extent cx="5746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-3175</wp:posOffset>
            </wp:positionV>
            <wp:extent cx="5746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746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746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6560" w:space="460"/>
            <w:col w:w="2019"/>
          </w:cols>
          <w:pgMar w:left="1420" w:top="125" w:right="1440" w:bottom="1440" w:gutter="0" w:footer="0" w:header="0"/>
          <w:type w:val="continuous"/>
        </w:sectPr>
      </w:pPr>
    </w:p>
    <w:tbl>
      <w:tblPr>
        <w:tblLayout w:type="fixed"/>
        <w:tblInd w:w="90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20" w:type="dxa"/>
            <w:vAlign w:val="bottom"/>
          </w:tcPr>
          <w:p>
            <w:pPr>
              <w:jc w:val="right"/>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00" w:type="dxa"/>
            <w:vAlign w:val="bottom"/>
            <w:gridSpan w:val="2"/>
          </w:tcPr>
          <w:p>
            <w:pPr>
              <w:jc w:val="right"/>
              <w:ind w:right="29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right="159" w:firstLine="648"/>
        <w:spacing w:after="0" w:line="223" w:lineRule="exact"/>
        <w:rPr>
          <w:sz w:val="20"/>
          <w:szCs w:val="20"/>
          <w:color w:val="auto"/>
        </w:rPr>
      </w:pPr>
      <w:r>
        <w:rPr>
          <w:rFonts w:ascii="Arial" w:cs="Arial" w:eastAsia="Arial" w:hAnsi="Arial"/>
          <w:sz w:val="18"/>
          <w:szCs w:val="18"/>
          <w:color w:val="auto"/>
        </w:rPr>
        <w:t>The assumptions that the Company used to determine the fair value of the stock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were as follows, presented on a weighted average basis: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right="179" w:hanging="329"/>
        <w:spacing w:after="0" w:line="223" w:lineRule="exact"/>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assumption is based on the U.S. Treasury instruments whose terms were consistent with the expected option term of our stock options.</w:t>
      </w:r>
    </w:p>
    <w:p>
      <w:pPr>
        <w:spacing w:after="0" w:line="203" w:lineRule="exact"/>
        <w:rPr>
          <w:rFonts w:ascii="Arial" w:cs="Arial" w:eastAsia="Arial" w:hAnsi="Arial"/>
          <w:sz w:val="18"/>
          <w:szCs w:val="18"/>
          <w:color w:val="auto"/>
        </w:rPr>
      </w:pPr>
    </w:p>
    <w:p>
      <w:pPr>
        <w:ind w:left="980" w:right="59" w:hanging="329"/>
        <w:spacing w:after="0" w:line="264"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1" w:lineRule="exact"/>
        <w:rPr>
          <w:rFonts w:ascii="Arial" w:cs="Arial" w:eastAsia="Arial" w:hAnsi="Arial"/>
          <w:sz w:val="18"/>
          <w:szCs w:val="18"/>
          <w:color w:val="auto"/>
        </w:rPr>
      </w:pPr>
    </w:p>
    <w:p>
      <w:pPr>
        <w:ind w:left="980" w:right="179" w:hanging="329"/>
        <w:spacing w:after="0" w:line="286" w:lineRule="auto"/>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65" w:lineRule="exact"/>
        <w:rPr>
          <w:rFonts w:ascii="Arial" w:cs="Arial" w:eastAsia="Arial" w:hAnsi="Arial"/>
          <w:sz w:val="17"/>
          <w:szCs w:val="17"/>
          <w:color w:val="auto"/>
        </w:rPr>
      </w:pPr>
    </w:p>
    <w:p>
      <w:pPr>
        <w:ind w:left="980" w:right="99" w:hanging="329"/>
        <w:spacing w:after="0" w:line="259"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expected term.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34,269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19,962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16"/>
        </w:trPr>
        <w:tc>
          <w:tcPr>
            <w:tcW w:w="36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23,986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(23,986)</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(43,274)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(24,113)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9" w:firstLine="648"/>
        <w:spacing w:after="0" w:line="220" w:lineRule="exact"/>
        <w:rPr>
          <w:sz w:val="20"/>
          <w:szCs w:val="20"/>
          <w:color w:val="auto"/>
        </w:rPr>
      </w:pPr>
      <w:r>
        <w:rPr>
          <w:rFonts w:ascii="Arial" w:cs="Arial" w:eastAsia="Arial" w:hAnsi="Arial"/>
          <w:sz w:val="17"/>
          <w:szCs w:val="17"/>
          <w:color w:val="auto"/>
        </w:rPr>
        <w:t>We do not record our research and development expenses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or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as they primarily relate to personnel, research, manufacturing, license fees, non</w:t>
      </w:r>
      <w:r>
        <w:rPr>
          <w:rFonts w:ascii="MS PGothic" w:cs="MS PGothic" w:eastAsia="MS PGothic" w:hAnsi="MS PGothic"/>
          <w:sz w:val="17"/>
          <w:szCs w:val="17"/>
          <w:color w:val="auto"/>
        </w:rPr>
        <w:t>‑</w:t>
      </w:r>
      <w:r>
        <w:rPr>
          <w:rFonts w:ascii="Arial" w:cs="Arial" w:eastAsia="Arial" w:hAnsi="Arial"/>
          <w:sz w:val="17"/>
          <w:szCs w:val="17"/>
          <w:color w:val="auto"/>
        </w:rPr>
        <w:t>cash expense in connection with equity issuances to strategic partner and consumable costs, which are simultaneously deployed across multiple projects under development. These costs are included in the table below.</w:t>
      </w:r>
    </w:p>
    <w:p>
      <w:pPr>
        <w:spacing w:after="0" w:line="209"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Year Ended</w:t>
      </w:r>
    </w:p>
    <w:p>
      <w:pPr>
        <w:ind w:left="69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7"/>
        </w:trPr>
        <w:tc>
          <w:tcPr>
            <w:tcW w:w="48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34,269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14,307</w:t>
            </w:r>
          </w:p>
        </w:tc>
      </w:tr>
    </w:tbl>
    <w:p>
      <w:pPr>
        <w:spacing w:after="0" w:line="202" w:lineRule="exact"/>
        <w:rPr>
          <w:sz w:val="20"/>
          <w:szCs w:val="20"/>
          <w:color w:val="auto"/>
        </w:rPr>
      </w:pPr>
    </w:p>
    <w:p>
      <w:pPr>
        <w:ind w:right="139" w:firstLine="648"/>
        <w:spacing w:after="0" w:line="286" w:lineRule="auto"/>
        <w:rPr>
          <w:sz w:val="20"/>
          <w:szCs w:val="20"/>
          <w:color w:val="auto"/>
        </w:rPr>
      </w:pPr>
      <w:r>
        <w:rPr>
          <w:rFonts w:ascii="Arial" w:cs="Arial" w:eastAsia="Arial" w:hAnsi="Arial"/>
          <w:sz w:val="16"/>
          <w:szCs w:val="16"/>
          <w:color w:val="auto"/>
        </w:rPr>
        <w:t>Research and development expenses increased by $20.0 million, from $14.3 million for the year ended December 31, 2017, to $34.3 million for the year ended December 31, 2018. This was primarily due to a $7.5 million increase in manufacturing services and a $4.6 million increase in outsourced services and supplies, primarily obtained from MSK and CROs for our lead product candidates, naxitamab and omburtamab. Other clinical trial costs increased by</w:t>
      </w:r>
    </w:p>
    <w:p>
      <w:pPr>
        <w:spacing w:after="0" w:line="2" w:lineRule="exact"/>
        <w:rPr>
          <w:sz w:val="20"/>
          <w:szCs w:val="20"/>
          <w:color w:val="auto"/>
        </w:rPr>
      </w:pPr>
    </w:p>
    <w:p>
      <w:pPr>
        <w:ind w:right="479"/>
        <w:spacing w:after="0" w:line="216" w:lineRule="exact"/>
        <w:rPr>
          <w:sz w:val="20"/>
          <w:szCs w:val="20"/>
          <w:color w:val="auto"/>
        </w:rPr>
      </w:pPr>
      <w:r>
        <w:rPr>
          <w:rFonts w:ascii="Arial" w:cs="Arial" w:eastAsia="Arial" w:hAnsi="Arial"/>
          <w:sz w:val="16"/>
          <w:szCs w:val="16"/>
          <w:color w:val="auto"/>
        </w:rPr>
        <w:t>$2.8 million for the year ended December 31, 2018. Employee</w:t>
      </w:r>
      <w:r>
        <w:rPr>
          <w:rFonts w:ascii="MS PGothic" w:cs="MS PGothic" w:eastAsia="MS PGothic" w:hAnsi="MS PGothic"/>
          <w:sz w:val="16"/>
          <w:szCs w:val="16"/>
          <w:color w:val="auto"/>
        </w:rPr>
        <w:t>‑</w:t>
      </w:r>
      <w:r>
        <w:rPr>
          <w:rFonts w:ascii="Arial" w:cs="Arial" w:eastAsia="Arial" w:hAnsi="Arial"/>
          <w:sz w:val="16"/>
          <w:szCs w:val="16"/>
          <w:color w:val="auto"/>
        </w:rPr>
        <w:t>related costs including salary, benefits and non</w:t>
      </w:r>
      <w:r>
        <w:rPr>
          <w:rFonts w:ascii="MS PGothic" w:cs="MS PGothic" w:eastAsia="MS PGothic" w:hAnsi="MS PGothic"/>
          <w:sz w:val="16"/>
          <w:szCs w:val="16"/>
          <w:color w:val="auto"/>
        </w:rPr>
        <w:t>‑</w:t>
      </w:r>
      <w:r>
        <w:rPr>
          <w:rFonts w:ascii="Arial" w:cs="Arial" w:eastAsia="Arial" w:hAnsi="Arial"/>
          <w:sz w:val="16"/>
          <w:szCs w:val="16"/>
          <w:color w:val="auto"/>
        </w:rPr>
        <w:t>cash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related to our research activities, increased by $3.2 million for the year ended December 31, 2018. Professional and consulting fees increased by $0.6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39" w:firstLine="648"/>
        <w:spacing w:after="0" w:line="220" w:lineRule="exact"/>
        <w:rPr>
          <w:sz w:val="20"/>
          <w:szCs w:val="20"/>
          <w:color w:val="auto"/>
        </w:rPr>
      </w:pPr>
      <w:r>
        <w:rPr>
          <w:rFonts w:ascii="Arial" w:cs="Arial" w:eastAsia="Arial" w:hAnsi="Arial"/>
          <w:sz w:val="17"/>
          <w:szCs w:val="17"/>
          <w:color w:val="auto"/>
        </w:rPr>
        <w:t>General and administrative expenses increased by $4.0 million from $5.0 million for the year ended December 31, 2017 to $9.0 million for the year ended December 31, 2018. The increase in general and administrative expenses was primarily attributable to a $1.8 million increase in employee</w:t>
      </w:r>
      <w:r>
        <w:rPr>
          <w:rFonts w:ascii="MS PGothic" w:cs="MS PGothic" w:eastAsia="MS PGothic" w:hAnsi="MS PGothic"/>
          <w:sz w:val="17"/>
          <w:szCs w:val="17"/>
          <w:color w:val="auto"/>
        </w:rPr>
        <w:t>‑</w:t>
      </w:r>
      <w:r>
        <w:rPr>
          <w:rFonts w:ascii="Arial" w:cs="Arial" w:eastAsia="Arial" w:hAnsi="Arial"/>
          <w:sz w:val="17"/>
          <w:szCs w:val="17"/>
          <w:color w:val="auto"/>
        </w:rPr>
        <w:t>related costs, including salary, benefits and non</w:t>
      </w:r>
      <w:r>
        <w:rPr>
          <w:rFonts w:ascii="MS PGothic" w:cs="MS PGothic" w:eastAsia="MS PGothic" w:hAnsi="MS PGothic"/>
          <w:sz w:val="17"/>
          <w:szCs w:val="17"/>
          <w:color w:val="auto"/>
        </w:rPr>
        <w:t>‑</w:t>
      </w:r>
      <w:r>
        <w:rPr>
          <w:rFonts w:ascii="Arial" w:cs="Arial" w:eastAsia="Arial" w:hAnsi="Arial"/>
          <w:sz w:val="17"/>
          <w:szCs w:val="17"/>
          <w:color w:val="auto"/>
        </w:rPr>
        <w:t>cash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related to our business activities. In addition, leasehold expenses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increased by $0.4 million and fees for auditors, legal advice and other consultancy services increased by $0.7 million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Other Income for the year ended December 31, 2017 were $83,000 as compared to Other Expenses of ($44,000) for the year ended December 31, 2018. Our interest income has not been significant due to low interest earned on cash balances.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December 31, 2018 primarily through gross proceeds of</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$230.0 million from the sale of our common stock. As of December 31, 2018, we had cash and cash equivalents of $147.8 million. We will need additional capital to continue funding our operations, which we may obtain from additional equity or debt financings, collaborations, licensing arrangements, or other sources.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16"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Year Ended</w:t>
      </w:r>
    </w:p>
    <w:p>
      <w:pPr>
        <w:ind w:left="7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right"/>
              <w:ind w:right="413"/>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(41,229)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(15,870)</w:t>
            </w:r>
          </w:p>
        </w:tc>
        <w:tc>
          <w:tcPr>
            <w:tcW w:w="2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20" w:type="dxa"/>
            <w:vAlign w:val="bottom"/>
          </w:tcPr>
          <w:p>
            <w:pPr>
              <w:spacing w:after="0"/>
              <w:rPr>
                <w:sz w:val="18"/>
                <w:szCs w:val="18"/>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7"/>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in cash and cash equivalents</w:t>
            </w:r>
          </w:p>
        </w:tc>
        <w:tc>
          <w:tcPr>
            <w:tcW w:w="1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73,612</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240" w:firstLine="648"/>
        <w:spacing w:after="0" w:line="223" w:lineRule="exact"/>
        <w:rPr>
          <w:sz w:val="20"/>
          <w:szCs w:val="20"/>
          <w:color w:val="auto"/>
        </w:rPr>
      </w:pPr>
      <w:r>
        <w:rPr>
          <w:rFonts w:ascii="Arial" w:cs="Arial" w:eastAsia="Arial" w:hAnsi="Arial"/>
          <w:sz w:val="18"/>
          <w:szCs w:val="18"/>
          <w:color w:val="auto"/>
        </w:rPr>
        <w:t>The use of cash in all periods resulted primarily from our net losses adjusted for non</w:t>
      </w:r>
      <w:r>
        <w:rPr>
          <w:rFonts w:ascii="MS PGothic" w:cs="MS PGothic" w:eastAsia="MS PGothic" w:hAnsi="MS PGothic"/>
          <w:sz w:val="18"/>
          <w:szCs w:val="18"/>
          <w:color w:val="auto"/>
        </w:rPr>
        <w:t>‑</w:t>
      </w:r>
      <w:r>
        <w:rPr>
          <w:rFonts w:ascii="Arial" w:cs="Arial" w:eastAsia="Arial" w:hAnsi="Arial"/>
          <w:sz w:val="18"/>
          <w:szCs w:val="18"/>
          <w:color w:val="auto"/>
        </w:rPr>
        <w:t>cash charges and changes in components of working capital.</w:t>
      </w:r>
    </w:p>
    <w:p>
      <w:pPr>
        <w:spacing w:after="0" w:line="203" w:lineRule="exact"/>
        <w:rPr>
          <w:sz w:val="20"/>
          <w:szCs w:val="20"/>
          <w:color w:val="auto"/>
        </w:rPr>
      </w:pPr>
    </w:p>
    <w:p>
      <w:pPr>
        <w:ind w:right="220" w:firstLine="648"/>
        <w:spacing w:after="0" w:line="218" w:lineRule="exact"/>
        <w:rPr>
          <w:sz w:val="20"/>
          <w:szCs w:val="20"/>
          <w:color w:val="auto"/>
        </w:rPr>
      </w:pPr>
      <w:r>
        <w:rPr>
          <w:rFonts w:ascii="Arial" w:cs="Arial" w:eastAsia="Arial" w:hAnsi="Arial"/>
          <w:sz w:val="16"/>
          <w:szCs w:val="16"/>
          <w:color w:val="auto"/>
        </w:rPr>
        <w:t>Net cash used in operating activities was $41.2 million during the year ended December 31, 2018, as compared to $15.9 million during the year ended December 31, 2017. The $25.3 million increase in net cash used in operations was primarily due to an increase in our net loss of $24.1 million for the year ended December 31, 2018. This increase was primarily due to an increase in our operating expenses in connection with the development of our lead product candidates, naxitamab and omburtamab, and the expansion of our other business activities. Non</w:t>
      </w:r>
      <w:r>
        <w:rPr>
          <w:rFonts w:ascii="MS PGothic" w:cs="MS PGothic" w:eastAsia="MS PGothic" w:hAnsi="MS PGothic"/>
          <w:sz w:val="16"/>
          <w:szCs w:val="16"/>
          <w:color w:val="auto"/>
        </w:rPr>
        <w:t>‑</w:t>
      </w:r>
      <w:r>
        <w:rPr>
          <w:rFonts w:ascii="Arial" w:cs="Arial" w:eastAsia="Arial" w:hAnsi="Arial"/>
          <w:sz w:val="16"/>
          <w:szCs w:val="16"/>
          <w:color w:val="auto"/>
        </w:rPr>
        <w:t>cash expenses included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to employees and non-employees, which increased by $1.4 million. Adjustment of working capital reflects changes in other current assets, accrued expenses, accounts payable, and other non</w:t>
      </w:r>
      <w:r>
        <w:rPr>
          <w:rFonts w:ascii="MS PGothic" w:cs="MS PGothic" w:eastAsia="MS PGothic" w:hAnsi="MS PGothic"/>
          <w:sz w:val="16"/>
          <w:szCs w:val="16"/>
          <w:color w:val="auto"/>
        </w:rPr>
        <w:t>‑</w:t>
      </w:r>
      <w:r>
        <w:rPr>
          <w:rFonts w:ascii="Arial" w:cs="Arial" w:eastAsia="Arial" w:hAnsi="Arial"/>
          <w:sz w:val="16"/>
          <w:szCs w:val="16"/>
          <w:color w:val="auto"/>
        </w:rPr>
        <w:t>current liabilities of $2.7 million for the year ended December 31, 2017, as compared to $(0.1) million the year ended December 31,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used in investing activities was $0.2 million for the year ended December 31, 2018, as compared to no investment activities for the year ended December 31, 2017. The $0.2 million increase in net cash used in investing activities relates to investment in furniture for our new office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provided by financing activities was $98.8 million during the year ended December 31, 2018, as compared to $89.6 million during the year ended December 31, 2017. The cash provided by financing activities was attributable to net proceeds of $99.8 million related to the issuance of common stock in the Company’s IPO in the year ended December 31, 2018, which exceed the $89.8 million net proceeds related to the issuance of common stock in a private placement in the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w:t>
      </w:r>
      <w:r>
        <w:rPr>
          <w:rFonts w:ascii="MS PGothic" w:cs="MS PGothic" w:eastAsia="MS PGothic" w:hAnsi="MS PGothic"/>
          <w:sz w:val="16"/>
          <w:szCs w:val="16"/>
          <w:color w:val="auto"/>
        </w:rPr>
        <w:t>‑</w:t>
      </w:r>
      <w:r>
        <w:rPr>
          <w:rFonts w:ascii="Arial" w:cs="Arial" w:eastAsia="Arial" w:hAnsi="Arial"/>
          <w:sz w:val="16"/>
          <w:szCs w:val="16"/>
          <w:color w:val="auto"/>
        </w:rPr>
        <w:t>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20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believe that our existing cash and cash equivalents as of December 31, 2018, will enable us to fund our operating expenses and capital expenditure requirements through the fourth quarter of 2020. 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24" w:lineRule="exact"/>
        <w:rPr>
          <w:sz w:val="20"/>
          <w:szCs w:val="20"/>
          <w:color w:val="auto"/>
        </w:rPr>
      </w:pPr>
    </w:p>
    <w:p>
      <w:pPr>
        <w:ind w:left="980" w:right="540" w:hanging="329"/>
        <w:spacing w:after="0" w:line="221" w:lineRule="exact"/>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our other product candidates;</w:t>
      </w:r>
    </w:p>
    <w:p>
      <w:pPr>
        <w:spacing w:after="0" w:line="20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research and pre</w:t>
      </w:r>
      <w:r>
        <w:rPr>
          <w:rFonts w:ascii="MS PGothic" w:cs="MS PGothic" w:eastAsia="MS PGothic" w:hAnsi="MS PGothic"/>
          <w:sz w:val="18"/>
          <w:szCs w:val="18"/>
          <w:color w:val="auto"/>
        </w:rPr>
        <w:t>‑</w:t>
      </w:r>
      <w:r>
        <w:rPr>
          <w:rFonts w:ascii="Arial" w:cs="Arial" w:eastAsia="Arial" w:hAnsi="Arial"/>
          <w:sz w:val="18"/>
          <w:szCs w:val="18"/>
          <w:color w:val="auto"/>
        </w:rPr>
        <w:t>clinical development efforts for any future product candidates that we may develop;</w:t>
      </w:r>
    </w:p>
    <w:p>
      <w:pPr>
        <w:spacing w:after="0" w:line="225" w:lineRule="exact"/>
        <w:rPr>
          <w:rFonts w:ascii="Arial" w:cs="Arial" w:eastAsia="Arial" w:hAnsi="Arial"/>
          <w:sz w:val="18"/>
          <w:szCs w:val="18"/>
          <w:color w:val="auto"/>
        </w:rPr>
      </w:pPr>
    </w:p>
    <w:p>
      <w:pPr>
        <w:ind w:left="980" w:right="820" w:hanging="329"/>
        <w:spacing w:after="0" w:line="27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980" w:right="880" w:hanging="329"/>
        <w:spacing w:after="0" w:line="27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19" w:hanging="329"/>
        <w:spacing w:after="0" w:line="286" w:lineRule="auto"/>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980" w:right="319" w:hanging="329"/>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rFonts w:ascii="Arial" w:cs="Arial" w:eastAsia="Arial" w:hAnsi="Arial"/>
          <w:sz w:val="18"/>
          <w:szCs w:val="18"/>
          <w:color w:val="auto"/>
        </w:rPr>
      </w:pPr>
    </w:p>
    <w:p>
      <w:pPr>
        <w:ind w:left="980" w:right="659" w:hanging="329"/>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980" w:right="279" w:hanging="329"/>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99" w:firstLine="648"/>
        <w:spacing w:after="0" w:line="219" w:lineRule="exact"/>
        <w:rPr>
          <w:sz w:val="20"/>
          <w:szCs w:val="20"/>
          <w:color w:val="auto"/>
        </w:rPr>
      </w:pPr>
      <w:r>
        <w:rPr>
          <w:rFonts w:ascii="Arial" w:cs="Arial" w:eastAsia="Arial" w:hAnsi="Arial"/>
          <w:sz w:val="16"/>
          <w:szCs w:val="16"/>
          <w:color w:val="auto"/>
        </w:rPr>
        <w:t>Identifying potential product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204" w:lineRule="exact"/>
        <w:rPr>
          <w:sz w:val="20"/>
          <w:szCs w:val="20"/>
          <w:color w:val="auto"/>
        </w:rPr>
      </w:pPr>
    </w:p>
    <w:p>
      <w:pPr>
        <w:ind w:right="59" w:firstLine="648"/>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right="59"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the applicable regulations of the SEC.</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Contractual obligations as of December 31, 2018 are related to payments of operating leases for our corporate headquarters in New York, New York and our office space in Hørsholm, Denmark. Our obligations and commitments are disclosed in the contractual obligations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Less Than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5"/>
              <w:spacing w:after="0" w:line="119" w:lineRule="exact"/>
              <w:rPr>
                <w:sz w:val="20"/>
                <w:szCs w:val="20"/>
                <w:color w:val="auto"/>
              </w:rPr>
            </w:pPr>
            <w:r>
              <w:rPr>
                <w:rFonts w:ascii="Arial" w:cs="Arial" w:eastAsia="Arial" w:hAnsi="Arial"/>
                <w:sz w:val="13"/>
                <w:szCs w:val="13"/>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1 to 3 Years</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4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$2,883,796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$510,071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$1,231,812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$1,077,772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0" w:type="dxa"/>
            <w:vAlign w:val="bottom"/>
          </w:tcPr>
          <w:p>
            <w:pPr>
              <w:spacing w:after="0"/>
              <w:rPr>
                <w:sz w:val="1"/>
                <w:szCs w:val="1"/>
                <w:color w:val="auto"/>
              </w:rPr>
            </w:pPr>
          </w:p>
        </w:tc>
      </w:tr>
      <w:tr>
        <w:trPr>
          <w:trHeight w:val="217"/>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2,883,796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510,071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1,231,812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1,077,772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We enter into contracts in the normal course of business with CROs, CMOs, clinical sites and other third parties for clinical trials, pre</w:t>
      </w:r>
      <w:r>
        <w:rPr>
          <w:rFonts w:ascii="MS PGothic" w:cs="MS PGothic" w:eastAsia="MS PGothic" w:hAnsi="MS PGothic"/>
          <w:sz w:val="17"/>
          <w:szCs w:val="17"/>
          <w:color w:val="auto"/>
        </w:rPr>
        <w:t>‑</w:t>
      </w:r>
      <w:r>
        <w:rPr>
          <w:rFonts w:ascii="Arial" w:cs="Arial" w:eastAsia="Arial" w:hAnsi="Arial"/>
          <w:sz w:val="17"/>
          <w:szCs w:val="17"/>
          <w:color w:val="auto"/>
        </w:rPr>
        <w:t>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w:t>
      </w:r>
      <w:r>
        <w:rPr>
          <w:rFonts w:ascii="MS PGothic" w:cs="MS PGothic" w:eastAsia="MS PGothic" w:hAnsi="MS PGothic"/>
          <w:sz w:val="17"/>
          <w:szCs w:val="17"/>
          <w:color w:val="auto"/>
        </w:rPr>
        <w:t>‑</w:t>
      </w:r>
      <w:r>
        <w:rPr>
          <w:rFonts w:ascii="Arial" w:cs="Arial" w:eastAsia="Arial" w:hAnsi="Arial"/>
          <w:sz w:val="17"/>
          <w:szCs w:val="17"/>
          <w:color w:val="auto"/>
        </w:rPr>
        <w:t>cancellable obligations of our service providers, up to the date of cancellation. These payments are not included in the table of contractual obligations and commitments above.</w:t>
      </w:r>
    </w:p>
    <w:p>
      <w:pPr>
        <w:spacing w:after="0" w:line="2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 such as royalties or other third party milestones, which are not included in the table above as the amount, timing and likelihood of such payments are not known.</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entered into two license agreements and certain other agreements with MSK. The license agreements are further described below as the MSK License and the MSK CD33 License.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MSK License and MSK CD33 License we are obligated to (i) make certain payments to MSK,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become due based upon the achievement of the related milestone activities or the passage of time in the event such milestone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activities are not achieved, as well as certain sales</w:t>
      </w:r>
      <w:r>
        <w:rPr>
          <w:rFonts w:ascii="MS PGothic" w:cs="MS PGothic" w:eastAsia="MS PGothic" w:hAnsi="MS PGothic"/>
          <w:sz w:val="16"/>
          <w:szCs w:val="16"/>
          <w:color w:val="auto"/>
        </w:rPr>
        <w:t>‑</w:t>
      </w:r>
      <w:r>
        <w:rPr>
          <w:rFonts w:ascii="Arial" w:cs="Arial" w:eastAsia="Arial" w:hAnsi="Arial"/>
          <w:sz w:val="16"/>
          <w:szCs w:val="16"/>
          <w:color w:val="auto"/>
        </w:rPr>
        <w:t>related milestones, (ii) pay mid to high single</w:t>
      </w:r>
      <w:r>
        <w:rPr>
          <w:rFonts w:ascii="MS PGothic" w:cs="MS PGothic" w:eastAsia="MS PGothic" w:hAnsi="MS PGothic"/>
          <w:sz w:val="16"/>
          <w:szCs w:val="16"/>
          <w:color w:val="auto"/>
        </w:rPr>
        <w:t>‑</w:t>
      </w:r>
      <w:r>
        <w:rPr>
          <w:rFonts w:ascii="Arial" w:cs="Arial" w:eastAsia="Arial" w:hAnsi="Arial"/>
          <w:sz w:val="16"/>
          <w:szCs w:val="16"/>
          <w:color w:val="auto"/>
        </w:rPr>
        <w:t>digit royalties to MSK, on a</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of a mid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high single</w:t>
      </w:r>
      <w:r>
        <w:rPr>
          <w:rFonts w:ascii="MS PGothic" w:cs="MS PGothic" w:eastAsia="MS PGothic" w:hAnsi="MS PGothic"/>
          <w:sz w:val="17"/>
          <w:szCs w:val="17"/>
          <w:color w:val="auto"/>
        </w:rPr>
        <w:t>‑</w:t>
      </w:r>
      <w:r>
        <w:rPr>
          <w:rFonts w:ascii="Arial" w:cs="Arial" w:eastAsia="Arial" w:hAnsi="Arial"/>
          <w:sz w:val="17"/>
          <w:szCs w:val="17"/>
          <w:color w:val="auto"/>
        </w:rPr>
        <w:t>digit royalties based on net sales of products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licensed under the applicable agreement and (iii) pay to MSK a percentage of any sublicense fees received by us.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MSK License, we are also obligated to pay annual minimum royalties of $80,000 over the royalty term, starting in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Under the MSK CD33 License, we are obligated to pay annual minimum royalties of $40,000 over the royalty term</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beginning in 2027, increasing to $60,000 once a patent within the licensed rights is issued.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are creditable against royalty payments otherwise due under the respective agreements. Total expensed minimum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in 2016 under the MSK License were $1,200,000, upon determination that the payment of such minimum royalties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probable and the amount was estimable in 2016. We are also obligated to pay MSK certain clinical, regulatory and</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sales</w:t>
      </w:r>
      <w:r>
        <w:rPr>
          <w:rFonts w:ascii="MS PGothic" w:cs="MS PGothic" w:eastAsia="MS PGothic" w:hAnsi="MS PGothic"/>
          <w:sz w:val="17"/>
          <w:szCs w:val="17"/>
          <w:color w:val="auto"/>
        </w:rPr>
        <w:t>‑</w:t>
      </w:r>
      <w:r>
        <w:rPr>
          <w:rFonts w:ascii="Arial" w:cs="Arial" w:eastAsia="Arial" w:hAnsi="Arial"/>
          <w:sz w:val="17"/>
          <w:szCs w:val="17"/>
          <w:color w:val="auto"/>
        </w:rPr>
        <w:t>based milestone payments under the MSK License and MSK CD33 License. Certain of the clinical and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become due at the earlier of completion of the related milestone activity or the date indicated in the MSK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Total clinical, regulatory and sales based milestones potentially due under the MSK License are $2,450,000,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$9,000,000 and $20,000,000, respectively. In addition,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 based milestones, respectively. We record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in the period in which the contingent liability is probable and the amount is reasonably estimable.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is inherently uncertain and, should such research and development fail, the MSK License and MSK CD33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are cancelable at our option. We have also considered the development risk and each party’s termination rights under</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two license agreements when considering whether any contingent payments, certain of which also contain time</w:t>
      </w:r>
      <w:r>
        <w:rPr>
          <w:rFonts w:ascii="MS PGothic" w:cs="MS PGothic" w:eastAsia="MS PGothic" w:hAnsi="MS PGothic"/>
          <w:sz w:val="16"/>
          <w:szCs w:val="16"/>
          <w:color w:val="auto"/>
        </w:rPr>
        <w:t>‑</w:t>
      </w:r>
      <w:r>
        <w:rPr>
          <w:rFonts w:ascii="Arial" w:cs="Arial" w:eastAsia="Arial" w:hAnsi="Arial"/>
          <w:sz w:val="16"/>
          <w:szCs w:val="16"/>
          <w:color w:val="auto"/>
        </w:rPr>
        <w:t>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requirements, were probable. In addition, to the extent we enter into sublicense arrangements, we are obligated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 to MSK a percentage of certain payments that we receive from sublicensees of the rights licensed to us by MSK,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percentage will be based upon the achievement of certain clinical milestones. To date, we have not entered into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sublicenses related to the MSK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License or the MSK CD33 License. Our failure to meet certain conditions under such arrangements could cause the related license to such licensed product to be canceled and could result in termination of the entire respective arrangement with MSK. In addition, we may terminate the MSK License or the MSK CD33 License with prior written notice to MSK. Total milestones expensed in 2017 under the MSK License were $150,000, all of which related to clinical milestones, which become due either based upon the passage of time or achievement of the related milestone activities. Total milestones expensed in 2017 under the MSK CD33 License was $550,000, all of which related to clinical milestones, which become due either based upon the passage of time or achievement of the related milestone activities. No milestones were expensed in 2018 under the MSK License and the MSK CD33 License.</w:t>
      </w:r>
    </w:p>
    <w:p>
      <w:pPr>
        <w:spacing w:after="0" w:line="179"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On June 27, 2018, we entered into the Sublicense Agreement, or the MabVax Sublicense, with MabVax Therapeutics Holdings, Inc., or MabVax, pursuant to which MabVax granted us all of the exclusive rights granted to MabVax under its license agreement with MSK, or the MabVax</w:t>
      </w:r>
      <w:r>
        <w:rPr>
          <w:rFonts w:ascii="MS PGothic" w:cs="MS PGothic" w:eastAsia="MS PGothic" w:hAnsi="MS PGothic"/>
          <w:sz w:val="17"/>
          <w:szCs w:val="17"/>
          <w:color w:val="auto"/>
        </w:rPr>
        <w:t>‑</w:t>
      </w:r>
      <w:r>
        <w:rPr>
          <w:rFonts w:ascii="Arial" w:cs="Arial" w:eastAsia="Arial" w:hAnsi="Arial"/>
          <w:sz w:val="17"/>
          <w:szCs w:val="17"/>
          <w:color w:val="auto"/>
        </w:rPr>
        <w:t>MSK License, for a bi</w:t>
      </w:r>
      <w:r>
        <w:rPr>
          <w:rFonts w:ascii="MS PGothic" w:cs="MS PGothic" w:eastAsia="MS PGothic" w:hAnsi="MS PGothic"/>
          <w:sz w:val="17"/>
          <w:szCs w:val="17"/>
          <w:color w:val="auto"/>
        </w:rPr>
        <w:t>‑</w:t>
      </w:r>
      <w:r>
        <w:rPr>
          <w:rFonts w:ascii="Arial" w:cs="Arial" w:eastAsia="Arial" w:hAnsi="Arial"/>
          <w:sz w:val="17"/>
          <w:szCs w:val="17"/>
          <w:color w:val="auto"/>
        </w:rPr>
        <w:t>valent ganglioside based vaccine intended to treat NB, or the NB vaccine. MSK originally developed the NB vaccine and licensed to MabVax as part of a portfolio of anti</w:t>
      </w:r>
      <w:r>
        <w:rPr>
          <w:rFonts w:ascii="MS PGothic" w:cs="MS PGothic" w:eastAsia="MS PGothic" w:hAnsi="MS PGothic"/>
          <w:sz w:val="17"/>
          <w:szCs w:val="17"/>
          <w:color w:val="auto"/>
        </w:rPr>
        <w:t>‑</w:t>
      </w:r>
      <w:r>
        <w:rPr>
          <w:rFonts w:ascii="Arial" w:cs="Arial" w:eastAsia="Arial" w:hAnsi="Arial"/>
          <w:sz w:val="17"/>
          <w:szCs w:val="17"/>
          <w:color w:val="auto"/>
        </w:rPr>
        <w:t>cancer vaccines. Under the terms of the MabVax Sublicense, we paid MabVax an upfront payment of $700,000, and, as we have decided to move forward with the development of the vaccine, we have agreed to make an additional payment of $600,000 on the first anniversary of the MabVax Sublicense. We will also be responsible for any potential downstream payment obligations to MSK related to the NB vaccine that were specified in the MabVax</w:t>
      </w:r>
      <w:r>
        <w:rPr>
          <w:rFonts w:ascii="MS PGothic" w:cs="MS PGothic" w:eastAsia="MS PGothic" w:hAnsi="MS PGothic"/>
          <w:sz w:val="17"/>
          <w:szCs w:val="17"/>
          <w:color w:val="auto"/>
        </w:rPr>
        <w:t>‑</w:t>
      </w:r>
      <w:r>
        <w:rPr>
          <w:rFonts w:ascii="Arial" w:cs="Arial" w:eastAsia="Arial" w:hAnsi="Arial"/>
          <w:sz w:val="17"/>
          <w:szCs w:val="17"/>
          <w:color w:val="auto"/>
        </w:rPr>
        <w:t>MSK license agreement. This includes the obligation to pay development milestones totaling $1,400,000 and mid single</w:t>
      </w:r>
      <w:r>
        <w:rPr>
          <w:rFonts w:ascii="MS PGothic" w:cs="MS PGothic" w:eastAsia="MS PGothic" w:hAnsi="MS PGothic"/>
          <w:sz w:val="17"/>
          <w:szCs w:val="17"/>
          <w:color w:val="auto"/>
        </w:rPr>
        <w:t>‑</w:t>
      </w:r>
      <w:r>
        <w:rPr>
          <w:rFonts w:ascii="Arial" w:cs="Arial" w:eastAsia="Arial" w:hAnsi="Arial"/>
          <w:sz w:val="17"/>
          <w:szCs w:val="17"/>
          <w:color w:val="auto"/>
        </w:rPr>
        <w:t>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w:t>
      </w:r>
      <w:r>
        <w:rPr>
          <w:rFonts w:ascii="MS PGothic" w:cs="MS PGothic" w:eastAsia="MS PGothic" w:hAnsi="MS PGothic"/>
          <w:sz w:val="17"/>
          <w:szCs w:val="17"/>
          <w:color w:val="auto"/>
        </w:rPr>
        <w:t>‑</w:t>
      </w:r>
      <w:r>
        <w:rPr>
          <w:rFonts w:ascii="Arial" w:cs="Arial" w:eastAsia="Arial" w:hAnsi="Arial"/>
          <w:sz w:val="17"/>
          <w:szCs w:val="17"/>
          <w:color w:val="auto"/>
        </w:rPr>
        <w:t>MSK License. Total milestones expensed in 2018 under the MabVax License were $1,300,000, all of which relate to the upfront payment and payment for the first anniversary of the MabVax License.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We will be required, pursuant to Section 404(a)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20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Prior to our initial public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47"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We have not performed an evaluation of our internal control over financial reporting, as required by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 and therefore, our management is not presently required to perform an annual assessment of the effectiveness of our internal control over financial reporting. This requirement will first apply to our second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independent public registered accounting firm will first be required to attest to the effectiveness of our internal control over financial reporting for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first year we are no longer an “emerging growth company.”</w:t>
      </w:r>
    </w:p>
    <w:p>
      <w:pPr>
        <w:spacing w:after="0" w:line="20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so long as we are an emerging growth company and qualify as a smaller reporting company we expect that:</w:t>
      </w:r>
    </w:p>
    <w:p>
      <w:pPr>
        <w:spacing w:after="0" w:line="248" w:lineRule="exact"/>
        <w:rPr>
          <w:sz w:val="20"/>
          <w:szCs w:val="20"/>
          <w:color w:val="auto"/>
        </w:rPr>
      </w:pPr>
    </w:p>
    <w:p>
      <w:pPr>
        <w:jc w:val="both"/>
        <w:ind w:left="980" w:right="180" w:hanging="329"/>
        <w:spacing w:after="0" w:line="312"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will present only two years of audited financial statements, in addition to any required unaudited financial statements, with correspondingly reduced Management’s Discussion and Analysis of Financial Condition and Results of Operations disclosure as long as we continue to qualify as a smaller reporting company;</w:t>
      </w:r>
    </w:p>
    <w:p>
      <w:pPr>
        <w:spacing w:after="0" w:line="146" w:lineRule="exact"/>
        <w:rPr>
          <w:rFonts w:ascii="Arial" w:cs="Arial" w:eastAsia="Arial" w:hAnsi="Arial"/>
          <w:sz w:val="16"/>
          <w:szCs w:val="16"/>
          <w:color w:val="auto"/>
        </w:rPr>
      </w:pPr>
    </w:p>
    <w:p>
      <w:pPr>
        <w:jc w:val="both"/>
        <w:ind w:left="980" w:right="300" w:hanging="329"/>
        <w:spacing w:after="0" w:line="264"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980" w:right="140" w:hanging="329"/>
        <w:spacing w:after="0" w:line="221" w:lineRule="exact"/>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1" w:lineRule="exact"/>
        <w:rPr>
          <w:rFonts w:ascii="Arial" w:cs="Arial" w:eastAsia="Arial" w:hAnsi="Arial"/>
          <w:sz w:val="18"/>
          <w:szCs w:val="18"/>
          <w:color w:val="auto"/>
        </w:rPr>
      </w:pPr>
    </w:p>
    <w:p>
      <w:pPr>
        <w:ind w:left="980" w:hanging="329"/>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right="20" w:firstLine="648"/>
        <w:spacing w:after="0" w:line="220" w:lineRule="exact"/>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 (i) the last day of the fiscal year following the fifth anniversary of our initial public offering, (ii) 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6"/>
          <w:szCs w:val="16"/>
          <w:color w:val="auto"/>
        </w:rPr>
        <w:t>‑</w:t>
      </w:r>
      <w:r>
        <w:rPr>
          <w:rFonts w:ascii="Arial" w:cs="Arial" w:eastAsia="Arial" w:hAnsi="Arial"/>
          <w:sz w:val="16"/>
          <w:szCs w:val="16"/>
          <w:color w:val="auto"/>
        </w:rPr>
        <w:t>year period, issued more than</w:t>
      </w:r>
    </w:p>
    <w:p>
      <w:pPr>
        <w:spacing w:after="0" w:line="2" w:lineRule="exact"/>
        <w:rPr>
          <w:sz w:val="20"/>
          <w:szCs w:val="20"/>
          <w:color w:val="auto"/>
        </w:rPr>
      </w:pPr>
    </w:p>
    <w:p>
      <w:pPr>
        <w:ind w:right="360"/>
        <w:spacing w:after="0" w:line="216" w:lineRule="exact"/>
        <w:rPr>
          <w:sz w:val="20"/>
          <w:szCs w:val="20"/>
          <w:color w:val="auto"/>
        </w:rPr>
      </w:pPr>
      <w:r>
        <w:rPr>
          <w:rFonts w:ascii="Arial" w:cs="Arial" w:eastAsia="Arial" w:hAnsi="Arial"/>
          <w:sz w:val="18"/>
          <w:szCs w:val="18"/>
          <w:color w:val="auto"/>
        </w:rPr>
        <w:t>$1.0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We are exposed to market risk related to changes in interest rates. As of December 31, 2018 and December 31, 2017, we had cash and cash equivalents of $147.8 million and $90.5 million, respectively, maintained primarily with financial institutions in federally insured accounts.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bank accounts. Due to short</w:t>
      </w:r>
      <w:r>
        <w:rPr>
          <w:rFonts w:ascii="MS PGothic" w:cs="MS PGothic" w:eastAsia="MS PGothic" w:hAnsi="MS PGothic"/>
          <w:sz w:val="17"/>
          <w:szCs w:val="17"/>
          <w:color w:val="auto"/>
        </w:rPr>
        <w:t>‑</w:t>
      </w:r>
      <w:r>
        <w:rPr>
          <w:rFonts w:ascii="Arial" w:cs="Arial" w:eastAsia="Arial" w:hAnsi="Arial"/>
          <w:sz w:val="17"/>
          <w:szCs w:val="17"/>
          <w:color w:val="auto"/>
        </w:rPr>
        <w:t>term nature of such balances, an immediate 100 basis point change in interest rates would not have any effect on the fair market value of cash balances.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Our primary exposure to market risk is foreign exchange rate sensitivity to the Danish Kroner (DKK), the currency used in the Kingdom of Denmark, where our wholly owned subsidiary, Y</w:t>
      </w:r>
      <w:r>
        <w:rPr>
          <w:rFonts w:ascii="MS PGothic" w:cs="MS PGothic" w:eastAsia="MS PGothic" w:hAnsi="MS PGothic"/>
          <w:sz w:val="18"/>
          <w:szCs w:val="18"/>
          <w:color w:val="auto"/>
        </w:rPr>
        <w:t>‑</w:t>
      </w:r>
      <w:r>
        <w:rPr>
          <w:rFonts w:ascii="Arial" w:cs="Arial" w:eastAsia="Arial" w:hAnsi="Arial"/>
          <w:sz w:val="18"/>
          <w:szCs w:val="18"/>
          <w:color w:val="auto"/>
        </w:rPr>
        <w:t>mAbs Therapeutics A/S, is located. As of December 31, 2018 and December 31, 2017, we had cash and cash equivalents denominated in DKK of $0.8 million and $0.6 million, respectively, and an immediate 5% change in DKK exchange rate would not have any material effect on the fair market value of cash balances with the subsidiary.</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audited the accompanying consolidated balance sheets of Y-mAbs Therapeutics, Inc. and its subsidiary (the “Company”) as of December 31, 2018 and 2017, and the related consolidated statements of comprehensive loss, changes in stockholders’ equity and cash flows for each of the two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19"/>
        <w:spacing w:after="0" w:line="264" w:lineRule="auto"/>
        <w:rPr>
          <w:sz w:val="20"/>
          <w:szCs w:val="20"/>
          <w:color w:val="auto"/>
        </w:rPr>
      </w:pPr>
      <w:r>
        <w:rPr>
          <w:rFonts w:ascii="Arial" w:cs="Arial" w:eastAsia="Arial" w:hAnsi="Arial"/>
          <w:sz w:val="18"/>
          <w:szCs w:val="18"/>
          <w:color w:val="auto"/>
        </w:rPr>
        <w:t>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r>
      <w:tr>
        <w:trPr>
          <w:trHeight w:val="142"/>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147,840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10"/>
        </w:trPr>
        <w:tc>
          <w:tcPr>
            <w:tcW w:w="70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151,532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91,355</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151,924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r>
      <w:tr>
        <w:trPr>
          <w:trHeight w:val="216"/>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1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Accrued milestone and royalty payments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2,050</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$0.0001 par value, 5,500,000 shares authorized at December 31, 2018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none issued at December 31, 2018 and December 31, 2017</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rPr>
              <w:t>Common stock, $0.0001 par value, 100,000,000 and 50,000,000 shares authorized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w w:val="93"/>
              </w:rPr>
              <w:t>December 31, 2018 and December 31, 2017, respectively; 34,193,666 and 26,749,666 shares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issued at December 31, 2018, and December 31, 2017, respectively</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123,879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(41,561)</w:t>
            </w:r>
          </w:p>
        </w:tc>
      </w:tr>
      <w:tr>
        <w:trPr>
          <w:trHeight w:val="210"/>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140,527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82,152</w:t>
            </w: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151,924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92,127</w:t>
            </w: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5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r>
      <w:tr>
        <w:trPr>
          <w:trHeight w:val="358"/>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r>
      <w:tr>
        <w:trPr>
          <w:trHeight w:val="21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19,244</w:t>
            </w: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income/(expenses)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Other comprehensive income/(loss)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7"/>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28,772,384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19,397,506</w:t>
            </w: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140" w:type="dxa"/>
            <w:vAlign w:val="bottom"/>
          </w:tcPr>
          <w:p>
            <w:pPr>
              <w:spacing w:after="0"/>
              <w:rPr>
                <w:sz w:val="12"/>
                <w:szCs w:val="12"/>
                <w:color w:val="auto"/>
              </w:rPr>
            </w:pPr>
          </w:p>
        </w:tc>
        <w:tc>
          <w:tcPr>
            <w:tcW w:w="11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(Loss)/Income</w:t>
            </w:r>
          </w:p>
        </w:tc>
        <w:tc>
          <w:tcPr>
            <w:tcW w:w="16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16,552,884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182"/>
        </w:trPr>
        <w:tc>
          <w:tcPr>
            <w:tcW w:w="3140" w:type="dxa"/>
            <w:vAlign w:val="bottom"/>
          </w:tcPr>
          <w:p>
            <w:pPr>
              <w:ind w:left="220"/>
              <w:spacing w:after="0" w:line="182" w:lineRule="exact"/>
              <w:rPr>
                <w:sz w:val="20"/>
                <w:szCs w:val="20"/>
                <w:color w:val="auto"/>
              </w:rPr>
            </w:pPr>
            <w:r>
              <w:rPr>
                <w:rFonts w:ascii="Arial" w:cs="Arial" w:eastAsia="Arial" w:hAnsi="Arial"/>
                <w:sz w:val="18"/>
                <w:szCs w:val="18"/>
                <w:color w:val="auto"/>
              </w:rPr>
              <w:t>Issuance of common stock to</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8"/>
                <w:szCs w:val="18"/>
                <w:color w:val="auto"/>
              </w:rPr>
              <w:t>investors,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9,748,782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88,842</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w w:val="99"/>
              </w:rPr>
              <w:t>Stock-based compensation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26,749,666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(41,561)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182"/>
        </w:trPr>
        <w:tc>
          <w:tcPr>
            <w:tcW w:w="3140" w:type="dxa"/>
            <w:vAlign w:val="bottom"/>
          </w:tcPr>
          <w:p>
            <w:pPr>
              <w:ind w:left="220"/>
              <w:spacing w:after="0" w:line="182" w:lineRule="exact"/>
              <w:rPr>
                <w:sz w:val="20"/>
                <w:szCs w:val="20"/>
                <w:color w:val="auto"/>
              </w:rPr>
            </w:pPr>
            <w:r>
              <w:rPr>
                <w:rFonts w:ascii="Arial" w:cs="Arial" w:eastAsia="Arial" w:hAnsi="Arial"/>
                <w:sz w:val="18"/>
                <w:szCs w:val="18"/>
                <w:color w:val="auto"/>
              </w:rPr>
              <w:t>Issuance of common stock in initial</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20"/>
              <w:spacing w:after="0"/>
              <w:rPr>
                <w:sz w:val="20"/>
                <w:szCs w:val="20"/>
                <w:color w:val="auto"/>
              </w:rPr>
            </w:pPr>
            <w:r>
              <w:rPr>
                <w:rFonts w:ascii="Arial" w:cs="Arial" w:eastAsia="Arial" w:hAnsi="Arial"/>
                <w:sz w:val="18"/>
                <w:szCs w:val="18"/>
                <w:color w:val="auto"/>
                <w:w w:val="99"/>
              </w:rPr>
              <w:t>public offering,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99,507</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w w:val="99"/>
              </w:rPr>
              <w:t>Stock-based compensation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(43,274)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(84,835)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140,527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42"/>
        </w:trPr>
        <w:tc>
          <w:tcPr>
            <w:tcW w:w="6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r>
      <w:tr>
        <w:trPr>
          <w:trHeight w:val="344"/>
        </w:trPr>
        <w:tc>
          <w:tcPr>
            <w:tcW w:w="69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(43,274)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(19,161)</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 and other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3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w:t>
            </w: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99,765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89,844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7"/>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98,763</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73,612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r>
      <w:tr>
        <w:trPr>
          <w:trHeight w:val="217"/>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147,871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90,515</w:t>
            </w:r>
          </w:p>
        </w:tc>
      </w:tr>
      <w:tr>
        <w:trPr>
          <w:trHeight w:val="216"/>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issuance cost in 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182"/>
        </w:trPr>
        <w:tc>
          <w:tcPr>
            <w:tcW w:w="6940" w:type="dxa"/>
            <w:vAlign w:val="bottom"/>
          </w:tcPr>
          <w:p>
            <w:pPr>
              <w:spacing w:after="0" w:line="182" w:lineRule="exact"/>
              <w:rPr>
                <w:sz w:val="20"/>
                <w:szCs w:val="20"/>
                <w:color w:val="auto"/>
              </w:rPr>
            </w:pPr>
            <w:r>
              <w:rPr>
                <w:rFonts w:ascii="Arial" w:cs="Arial" w:eastAsia="Arial" w:hAnsi="Arial"/>
                <w:sz w:val="18"/>
                <w:szCs w:val="18"/>
                <w:color w:val="auto"/>
                <w:w w:val="94"/>
              </w:rPr>
              <w:t>Deferred offering costs included in other assets and accounts payable and accrued liabilities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and other</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bl>
    <w:p>
      <w:pPr>
        <w:spacing w:after="0" w:line="20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3" w:name="page144"/>
    <w:bookmarkEnd w:id="14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20" w:right="579" w:firstLine="648"/>
        <w:spacing w:after="0" w:line="221" w:lineRule="exact"/>
        <w:rPr>
          <w:sz w:val="20"/>
          <w:szCs w:val="20"/>
          <w:color w:val="auto"/>
        </w:rPr>
      </w:pPr>
      <w:r>
        <w:rPr>
          <w:rFonts w:ascii="Arial" w:cs="Arial" w:eastAsia="Arial" w:hAnsi="Arial"/>
          <w:sz w:val="18"/>
          <w:szCs w:val="18"/>
          <w:color w:val="auto"/>
        </w:rPr>
        <w:t>Y</w:t>
      </w:r>
      <w:r>
        <w:rPr>
          <w:rFonts w:ascii="MS PGothic" w:cs="MS PGothic" w:eastAsia="MS PGothic" w:hAnsi="MS PGothic"/>
          <w:sz w:val="18"/>
          <w:szCs w:val="18"/>
          <w:color w:val="auto"/>
        </w:rPr>
        <w:t>‑</w:t>
      </w:r>
      <w:r>
        <w:rPr>
          <w:rFonts w:ascii="Arial" w:cs="Arial" w:eastAsia="Arial" w:hAnsi="Arial"/>
          <w:sz w:val="18"/>
          <w:szCs w:val="18"/>
          <w:color w:val="auto"/>
        </w:rPr>
        <w:t>mAbs Therapeutics, Inc. (“we,” “us,” “our,” the “Company,” or “Y</w:t>
      </w:r>
      <w:r>
        <w:rPr>
          <w:rFonts w:ascii="MS PGothic" w:cs="MS PGothic" w:eastAsia="MS PGothic" w:hAnsi="MS PGothic"/>
          <w:sz w:val="18"/>
          <w:szCs w:val="18"/>
          <w:color w:val="auto"/>
        </w:rPr>
        <w:t>‑</w:t>
      </w:r>
      <w:r>
        <w:rPr>
          <w:rFonts w:ascii="Arial" w:cs="Arial" w:eastAsia="Arial" w:hAnsi="Arial"/>
          <w:sz w:val="18"/>
          <w:szCs w:val="18"/>
          <w:color w:val="auto"/>
        </w:rPr>
        <w:t>mAbs”) is a late-stage clinical biopharmaceutical company focused on the development and commercialization of novel antibody-based therapeutic products for the treatment of cancer.</w:t>
      </w:r>
    </w:p>
    <w:p>
      <w:pPr>
        <w:spacing w:after="0" w:line="202" w:lineRule="exact"/>
        <w:rPr>
          <w:sz w:val="20"/>
          <w:szCs w:val="20"/>
          <w:color w:val="auto"/>
        </w:rPr>
      </w:pPr>
    </w:p>
    <w:p>
      <w:pPr>
        <w:ind w:left="20" w:right="179" w:firstLine="648"/>
        <w:spacing w:after="0" w:line="218" w:lineRule="exact"/>
        <w:rPr>
          <w:sz w:val="20"/>
          <w:szCs w:val="20"/>
          <w:color w:val="auto"/>
        </w:rPr>
      </w:pPr>
      <w:r>
        <w:rPr>
          <w:rFonts w:ascii="Arial" w:cs="Arial" w:eastAsia="Arial" w:hAnsi="Arial"/>
          <w:sz w:val="16"/>
          <w:szCs w:val="16"/>
          <w:color w:val="auto"/>
        </w:rPr>
        <w:t>We have entered into a worldwide license and research collaboration agreement (the “MSK License Agreement”) with Memorial Sloan</w:t>
      </w:r>
      <w:r>
        <w:rPr>
          <w:rFonts w:ascii="MS PGothic" w:cs="MS PGothic" w:eastAsia="MS PGothic" w:hAnsi="MS PGothic"/>
          <w:sz w:val="16"/>
          <w:szCs w:val="16"/>
          <w:color w:val="auto"/>
        </w:rPr>
        <w:t>‑</w:t>
      </w:r>
      <w:r>
        <w:rPr>
          <w:rFonts w:ascii="Arial" w:cs="Arial" w:eastAsia="Arial" w:hAnsi="Arial"/>
          <w:sz w:val="16"/>
          <w:szCs w:val="16"/>
          <w:color w:val="auto"/>
        </w:rPr>
        <w:t>Kettering Cancer Center (“MSK”) our strategic partner, under which we have obtained the exclusive rights to MSK’s rights to two clinical stage antibody</w:t>
      </w:r>
      <w:r>
        <w:rPr>
          <w:rFonts w:ascii="MS PGothic" w:cs="MS PGothic" w:eastAsia="MS PGothic" w:hAnsi="MS PGothic"/>
          <w:sz w:val="16"/>
          <w:szCs w:val="16"/>
          <w:color w:val="auto"/>
        </w:rPr>
        <w:t>‑</w:t>
      </w:r>
      <w:r>
        <w:rPr>
          <w:rFonts w:ascii="Arial" w:cs="Arial" w:eastAsia="Arial" w:hAnsi="Arial"/>
          <w:sz w:val="16"/>
          <w:szCs w:val="16"/>
          <w:color w:val="auto"/>
        </w:rPr>
        <w:t>based product development programs for the treatment of neuroblastoma and other oncology indications. The MSK License Agreement also includes a protein Multimerization Platform Technology—MULTI TAG</w:t>
      </w:r>
      <w:r>
        <w:rPr>
          <w:rFonts w:ascii="Arial" w:cs="Arial" w:eastAsia="Arial" w:hAnsi="Arial"/>
          <w:sz w:val="7"/>
          <w:szCs w:val="7"/>
          <w:color w:val="auto"/>
        </w:rPr>
        <w:t>TM</w:t>
      </w:r>
      <w:r>
        <w:rPr>
          <w:rFonts w:ascii="Arial" w:cs="Arial" w:eastAsia="Arial" w:hAnsi="Arial"/>
          <w:sz w:val="16"/>
          <w:szCs w:val="16"/>
          <w:color w:val="auto"/>
        </w:rPr>
        <w:t>, and an option to obtain the rights to certain chimeric antigen receptor T</w:t>
      </w:r>
      <w:r>
        <w:rPr>
          <w:rFonts w:ascii="MS PGothic" w:cs="MS PGothic" w:eastAsia="MS PGothic" w:hAnsi="MS PGothic"/>
          <w:sz w:val="16"/>
          <w:szCs w:val="16"/>
          <w:color w:val="auto"/>
        </w:rPr>
        <w:t>‑</w:t>
      </w:r>
      <w:r>
        <w:rPr>
          <w:rFonts w:ascii="Arial" w:cs="Arial" w:eastAsia="Arial" w:hAnsi="Arial"/>
          <w:sz w:val="16"/>
          <w:szCs w:val="16"/>
          <w:color w:val="auto"/>
        </w:rPr>
        <w:t>cell, or CAR</w:t>
      </w:r>
      <w:r>
        <w:rPr>
          <w:rFonts w:ascii="MS PGothic" w:cs="MS PGothic" w:eastAsia="MS PGothic" w:hAnsi="MS PGothic"/>
          <w:sz w:val="16"/>
          <w:szCs w:val="16"/>
          <w:color w:val="auto"/>
        </w:rPr>
        <w:t>‑</w:t>
      </w:r>
      <w:r>
        <w:rPr>
          <w:rFonts w:ascii="Arial" w:cs="Arial" w:eastAsia="Arial" w:hAnsi="Arial"/>
          <w:sz w:val="16"/>
          <w:szCs w:val="16"/>
          <w:color w:val="auto"/>
        </w:rPr>
        <w:t>T, technologies, as well as rights to next</w:t>
      </w:r>
      <w:r>
        <w:rPr>
          <w:rFonts w:ascii="MS PGothic" w:cs="MS PGothic" w:eastAsia="MS PGothic" w:hAnsi="MS PGothic"/>
          <w:sz w:val="16"/>
          <w:szCs w:val="16"/>
          <w:color w:val="auto"/>
        </w:rPr>
        <w:t>‑</w:t>
      </w:r>
      <w:r>
        <w:rPr>
          <w:rFonts w:ascii="Arial" w:cs="Arial" w:eastAsia="Arial" w:hAnsi="Arial"/>
          <w:sz w:val="16"/>
          <w:szCs w:val="16"/>
          <w:color w:val="auto"/>
        </w:rPr>
        <w:t>generation humanized, affinity matured bispecific antibodies.</w:t>
      </w:r>
    </w:p>
    <w:p>
      <w:pPr>
        <w:spacing w:after="0" w:line="206" w:lineRule="exact"/>
        <w:rPr>
          <w:sz w:val="20"/>
          <w:szCs w:val="20"/>
          <w:color w:val="auto"/>
        </w:rPr>
      </w:pPr>
    </w:p>
    <w:p>
      <w:pPr>
        <w:ind w:left="20" w:right="79" w:firstLine="648"/>
        <w:spacing w:after="0" w:line="277" w:lineRule="auto"/>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20" w:right="39" w:firstLine="648"/>
        <w:spacing w:after="0" w:line="218" w:lineRule="exact"/>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w:t>
      </w:r>
    </w:p>
    <w:p>
      <w:pPr>
        <w:spacing w:after="0" w:line="204" w:lineRule="exact"/>
        <w:rPr>
          <w:sz w:val="20"/>
          <w:szCs w:val="20"/>
          <w:color w:val="auto"/>
        </w:rPr>
      </w:pPr>
    </w:p>
    <w:p>
      <w:pPr>
        <w:ind w:left="20" w:right="119" w:firstLine="648"/>
        <w:spacing w:after="0" w:line="293"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5" w:lineRule="exact"/>
        <w:rPr>
          <w:sz w:val="20"/>
          <w:szCs w:val="20"/>
          <w:color w:val="auto"/>
        </w:rPr>
      </w:pPr>
    </w:p>
    <w:p>
      <w:pPr>
        <w:ind w:left="20" w:right="39" w:firstLine="648"/>
        <w:spacing w:after="0" w:line="269"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$84.8 million as of December 31, 2018 and $41.6 million as of December 31, 2017. Through December 31, 2018, the Company has funded its operations through proceeds from sales of shares of its common stock, including its initial public offering, or IPO, in September 2018. As of December 31, 2018, the Company had cash and cash equivalents of $147.8 million, and as of December 31, 2017 the Company had cash and cash equivalents of $90.5 million. As of the issuance date of the annual financial statements for the year ended December 31, 2018, the Company expects that its cash and cash equivalents at December 31, 2018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 The Company’s failure to raise capital as and when needed could have a negative impact on its financial condition and ability to pursue its business strategies.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299" w:firstLine="648"/>
        <w:spacing w:after="0" w:line="221" w:lineRule="exact"/>
        <w:rPr>
          <w:sz w:val="20"/>
          <w:szCs w:val="20"/>
          <w:color w:val="auto"/>
        </w:rPr>
      </w:pPr>
      <w:r>
        <w:rPr>
          <w:rFonts w:ascii="Arial" w:cs="Arial" w:eastAsia="Arial" w:hAnsi="Arial"/>
          <w:sz w:val="17"/>
          <w:szCs w:val="17"/>
          <w:color w:val="auto"/>
        </w:rPr>
        <w:t>The accompanying consolidated financial statements reflect the accounts of the Company and its wholly</w:t>
      </w:r>
      <w:r>
        <w:rPr>
          <w:rFonts w:ascii="MS PGothic" w:cs="MS PGothic" w:eastAsia="MS PGothic" w:hAnsi="MS PGothic"/>
          <w:sz w:val="17"/>
          <w:szCs w:val="17"/>
          <w:color w:val="auto"/>
        </w:rPr>
        <w:t>‑</w:t>
      </w:r>
      <w:r>
        <w:rPr>
          <w:rFonts w:ascii="Arial" w:cs="Arial" w:eastAsia="Arial" w:hAnsi="Arial"/>
          <w:sz w:val="17"/>
          <w:szCs w:val="17"/>
          <w:color w:val="auto"/>
        </w:rPr>
        <w:t>owned subsidiary and have been prepared in accordance with accounting principles generally accepted in the United States of America (“GAAP”). All intercompany balances and transactions have been eliminated.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20" w:right="9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20" w:right="59" w:firstLine="648"/>
        <w:spacing w:after="0" w:line="223" w:lineRule="exact"/>
        <w:rPr>
          <w:sz w:val="20"/>
          <w:szCs w:val="20"/>
          <w:color w:val="auto"/>
        </w:rPr>
      </w:pPr>
      <w:r>
        <w:rPr>
          <w:rFonts w:ascii="Arial" w:cs="Arial" w:eastAsia="Arial" w:hAnsi="Arial"/>
          <w:sz w:val="18"/>
          <w:szCs w:val="18"/>
          <w:color w:val="auto"/>
        </w:rPr>
        <w:t>The Company considers all highly</w:t>
      </w:r>
      <w:r>
        <w:rPr>
          <w:rFonts w:ascii="MS PGothic" w:cs="MS PGothic" w:eastAsia="MS PGothic" w:hAnsi="MS PGothic"/>
          <w:sz w:val="18"/>
          <w:szCs w:val="18"/>
          <w:color w:val="auto"/>
        </w:rPr>
        <w:t>‑</w:t>
      </w:r>
      <w:r>
        <w:rPr>
          <w:rFonts w:ascii="Arial" w:cs="Arial" w:eastAsia="Arial" w:hAnsi="Arial"/>
          <w:sz w:val="18"/>
          <w:szCs w:val="18"/>
          <w:color w:val="auto"/>
        </w:rPr>
        <w:t>liquid investments with maturities of three months or less from date of purchase to be cash equivalents.</w:t>
      </w:r>
    </w:p>
    <w:p>
      <w:pPr>
        <w:spacing w:after="0" w:line="203" w:lineRule="exact"/>
        <w:rPr>
          <w:sz w:val="20"/>
          <w:szCs w:val="20"/>
          <w:color w:val="auto"/>
        </w:rPr>
      </w:pPr>
    </w:p>
    <w:p>
      <w:pPr>
        <w:jc w:val="both"/>
        <w:ind w:left="20" w:right="319" w:firstLine="648"/>
        <w:spacing w:after="0" w:line="264"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Restricted cash represents a bank account with funds to cover the Company’s corporate credit card availability.</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20" w:right="339" w:firstLine="648"/>
        <w:spacing w:after="0" w:line="224" w:lineRule="exact"/>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 is recognized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life of each asset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00" w:type="dxa"/>
            <w:vAlign w:val="bottom"/>
            <w:gridSpan w:val="2"/>
          </w:tcPr>
          <w:p>
            <w:pPr>
              <w:ind w:left="1380"/>
              <w:spacing w:after="0"/>
              <w:rPr>
                <w:sz w:val="20"/>
                <w:szCs w:val="20"/>
                <w:color w:val="auto"/>
              </w:rPr>
            </w:pPr>
            <w:r>
              <w:rPr>
                <w:rFonts w:ascii="Arial" w:cs="Arial" w:eastAsia="Arial" w:hAnsi="Arial"/>
                <w:sz w:val="18"/>
                <w:szCs w:val="18"/>
                <w:color w:val="auto"/>
                <w:w w:val="96"/>
              </w:rPr>
              <w:t>Shorter of life of lease or 15 years</w:t>
            </w:r>
          </w:p>
        </w:tc>
      </w:tr>
    </w:tbl>
    <w:p>
      <w:pPr>
        <w:spacing w:after="0" w:line="187" w:lineRule="exact"/>
        <w:rPr>
          <w:sz w:val="20"/>
          <w:szCs w:val="20"/>
          <w:color w:val="auto"/>
        </w:rPr>
      </w:pPr>
    </w:p>
    <w:p>
      <w:pPr>
        <w:ind w:left="20" w:right="639"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$29,000 and $0 for the years ended December 31, 2018 and 2017, respectively.</w:t>
      </w:r>
    </w:p>
    <w:p>
      <w:pPr>
        <w:spacing w:after="0" w:line="170" w:lineRule="exact"/>
        <w:rPr>
          <w:sz w:val="20"/>
          <w:szCs w:val="20"/>
          <w:color w:val="auto"/>
        </w:rPr>
      </w:pPr>
    </w:p>
    <w:p>
      <w:pPr>
        <w:jc w:val="both"/>
        <w:ind w:left="20" w:right="219" w:firstLine="648"/>
        <w:spacing w:after="0" w:line="264" w:lineRule="auto"/>
        <w:rPr>
          <w:sz w:val="20"/>
          <w:szCs w:val="20"/>
          <w:color w:val="auto"/>
        </w:rPr>
      </w:pPr>
      <w:r>
        <w:rPr>
          <w:rFonts w:ascii="Arial" w:cs="Arial" w:eastAsia="Arial" w:hAnsi="Arial"/>
          <w:sz w:val="18"/>
          <w:szCs w:val="18"/>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181"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225" w:lineRule="exact"/>
        <w:rPr>
          <w:sz w:val="20"/>
          <w:szCs w:val="20"/>
          <w:color w:val="auto"/>
        </w:rPr>
      </w:pPr>
    </w:p>
    <w:p>
      <w:pPr>
        <w:ind w:left="20" w:right="119" w:firstLine="648"/>
        <w:spacing w:after="0" w:line="220" w:lineRule="exact"/>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w:t>
      </w:r>
      <w:r>
        <w:rPr>
          <w:rFonts w:ascii="MS PGothic" w:cs="MS PGothic" w:eastAsia="MS PGothic" w:hAnsi="MS PGothic"/>
          <w:sz w:val="18"/>
          <w:szCs w:val="18"/>
          <w:color w:val="auto"/>
        </w:rPr>
        <w:t>‑</w:t>
      </w:r>
      <w:r>
        <w:rPr>
          <w:rFonts w:ascii="Arial" w:cs="Arial" w:eastAsia="Arial" w:hAnsi="Arial"/>
          <w:sz w:val="18"/>
          <w:szCs w:val="18"/>
          <w:color w:val="auto"/>
        </w:rPr>
        <w:t>lived assets. The Company reviews the recorded values of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business circumstance indicate that the carrying amount of an asset or group of assets may not be fully recoverable.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left="20" w:right="739" w:firstLine="648"/>
        <w:spacing w:after="0" w:line="221" w:lineRule="exact"/>
        <w:rPr>
          <w:sz w:val="20"/>
          <w:szCs w:val="20"/>
          <w:color w:val="auto"/>
        </w:rPr>
      </w:pPr>
      <w:r>
        <w:rPr>
          <w:rFonts w:ascii="Arial" w:cs="Arial" w:eastAsia="Arial" w:hAnsi="Arial"/>
          <w:sz w:val="16"/>
          <w:szCs w:val="16"/>
          <w:color w:val="auto"/>
        </w:rPr>
        <w:t>The Company capitalizes certain legal, professional accounting and other third</w:t>
      </w:r>
      <w:r>
        <w:rPr>
          <w:rFonts w:ascii="MS PGothic" w:cs="MS PGothic" w:eastAsia="MS PGothic" w:hAnsi="MS PGothic"/>
          <w:sz w:val="16"/>
          <w:szCs w:val="16"/>
          <w:color w:val="auto"/>
        </w:rPr>
        <w:t>‑</w:t>
      </w:r>
      <w:r>
        <w:rPr>
          <w:rFonts w:ascii="Arial" w:cs="Arial" w:eastAsia="Arial" w:hAnsi="Arial"/>
          <w:sz w:val="16"/>
          <w:szCs w:val="16"/>
          <w:color w:val="auto"/>
        </w:rPr>
        <w:t>party fees that are directly associated with in</w:t>
      </w:r>
      <w:r>
        <w:rPr>
          <w:rFonts w:ascii="MS PGothic" w:cs="MS PGothic" w:eastAsia="MS PGothic" w:hAnsi="MS PGothic"/>
          <w:sz w:val="16"/>
          <w:szCs w:val="16"/>
          <w:color w:val="auto"/>
        </w:rPr>
        <w:t>‑</w:t>
      </w:r>
      <w:r>
        <w:rPr>
          <w:rFonts w:ascii="Arial" w:cs="Arial" w:eastAsia="Arial" w:hAnsi="Arial"/>
          <w:sz w:val="16"/>
          <w:szCs w:val="16"/>
          <w:color w:val="auto"/>
        </w:rPr>
        <w:t>process equity financings as deferred offering costs within other assets until such financings are consummated. After consummation of the equity financing, these costs are recorded in shareholders’ equity as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5" w:name="page146"/>
    <w:bookmarkEnd w:id="14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59"/>
        <w:spacing w:after="0" w:line="293" w:lineRule="auto"/>
        <w:rPr>
          <w:sz w:val="20"/>
          <w:szCs w:val="20"/>
          <w:color w:val="auto"/>
        </w:rPr>
      </w:pPr>
      <w:r>
        <w:rPr>
          <w:rFonts w:ascii="Arial" w:cs="Arial" w:eastAsia="Arial" w:hAnsi="Arial"/>
          <w:sz w:val="16"/>
          <w:szCs w:val="16"/>
          <w:color w:val="auto"/>
        </w:rPr>
        <w:t>reduction of proceeds generated as a result of the offering. Should the planned equity financing be abandoned, the deferred offering costs will be expensed immediately as a charge to operating expenses in the consolidated statement of comprehensive loss. The Company did not record any deferred offering costs as of December 31, 2018. The Company recorded deferred offering costs of $0.8 million as of December 31, 2017. Accounts payable and accrued liabilities at December 31, 2017 included $0.2 million of deferred offering costs. These deferred operating costs were reclassified to shareholders’ equity upon the successful completion of the IPO during the year ended December 31, 2018.</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20" w:right="39" w:firstLine="648"/>
        <w:spacing w:after="0" w:line="272" w:lineRule="auto"/>
        <w:rPr>
          <w:sz w:val="20"/>
          <w:szCs w:val="20"/>
          <w:color w:val="auto"/>
        </w:rPr>
      </w:pPr>
      <w:r>
        <w:rPr>
          <w:rFonts w:ascii="Arial" w:cs="Arial" w:eastAsia="Arial" w:hAnsi="Arial"/>
          <w:sz w:val="17"/>
          <w:szCs w:val="17"/>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8" w:lineRule="exact"/>
        <w:rPr>
          <w:sz w:val="20"/>
          <w:szCs w:val="20"/>
          <w:color w:val="auto"/>
        </w:rPr>
      </w:pPr>
    </w:p>
    <w:p>
      <w:pPr>
        <w:ind w:left="20" w:right="59" w:firstLine="648"/>
        <w:spacing w:after="0" w:line="290" w:lineRule="auto"/>
        <w:rPr>
          <w:sz w:val="20"/>
          <w:szCs w:val="20"/>
          <w:color w:val="auto"/>
        </w:rPr>
      </w:pPr>
      <w:r>
        <w:rPr>
          <w:rFonts w:ascii="Arial" w:cs="Arial" w:eastAsia="Arial" w:hAnsi="Arial"/>
          <w:sz w:val="16"/>
          <w:szCs w:val="16"/>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66" w:lineRule="exact"/>
        <w:rPr>
          <w:sz w:val="20"/>
          <w:szCs w:val="20"/>
          <w:color w:val="auto"/>
        </w:rPr>
      </w:pPr>
    </w:p>
    <w:p>
      <w:pPr>
        <w:ind w:left="20" w:right="139" w:firstLine="648"/>
        <w:spacing w:after="0" w:line="277" w:lineRule="auto"/>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170" w:lineRule="exact"/>
        <w:rPr>
          <w:sz w:val="20"/>
          <w:szCs w:val="20"/>
          <w:color w:val="auto"/>
        </w:rPr>
      </w:pPr>
    </w:p>
    <w:p>
      <w:pPr>
        <w:ind w:left="20" w:right="159" w:firstLine="648"/>
        <w:spacing w:after="0" w:line="219" w:lineRule="exact"/>
        <w:rPr>
          <w:sz w:val="20"/>
          <w:szCs w:val="20"/>
          <w:color w:val="auto"/>
        </w:rPr>
      </w:pPr>
      <w:r>
        <w:rPr>
          <w:rFonts w:ascii="Arial" w:cs="Arial" w:eastAsia="Arial" w:hAnsi="Arial"/>
          <w:sz w:val="17"/>
          <w:szCs w:val="17"/>
          <w:color w:val="auto"/>
        </w:rPr>
        <w:t>In accordance with guidance issued by Financial Accounting Standards Board (“FASB”), companies should make and disclose a policy election as to whether they will recognize deferred taxes for basis differences expected to reverse as Global Intangible Low</w:t>
      </w:r>
      <w:r>
        <w:rPr>
          <w:rFonts w:ascii="MS PGothic" w:cs="MS PGothic" w:eastAsia="MS PGothic" w:hAnsi="MS PGothic"/>
          <w:sz w:val="17"/>
          <w:szCs w:val="17"/>
          <w:color w:val="auto"/>
        </w:rPr>
        <w:t>‑</w:t>
      </w:r>
      <w:r>
        <w:rPr>
          <w:rFonts w:ascii="Arial" w:cs="Arial" w:eastAsia="Arial" w:hAnsi="Arial"/>
          <w:sz w:val="17"/>
          <w:szCs w:val="17"/>
          <w:color w:val="auto"/>
        </w:rPr>
        <w:t>Taxed Income (“GILTI”) or whether they will account for GILTI as period costs if and when incurred. The Company has elected to recognize the resulting tax with respect to the GILTI provision as a period cost. No costs were incurred by the Company through December 31, 2018 as a result of GILTI.</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20" w:right="19"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 when the achievement of the milestone or payment of the milestone or royalty is probable and the amount of the payment is reasonably estimable. Research and development costs were $34.3 million and $14.3 million for the years ended December 31, 2018 and 2017, respectively.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expenses the costs of obtaining and maintaining patents as general and administrative expenses.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jc w:val="both"/>
        <w:ind w:left="20" w:right="19" w:firstLine="648"/>
        <w:spacing w:after="0" w:line="220" w:lineRule="exact"/>
        <w:rPr>
          <w:sz w:val="20"/>
          <w:szCs w:val="20"/>
          <w:color w:val="auto"/>
        </w:rPr>
      </w:pPr>
      <w:r>
        <w:rPr>
          <w:rFonts w:ascii="Arial" w:cs="Arial" w:eastAsia="Arial" w:hAnsi="Arial"/>
          <w:sz w:val="16"/>
          <w:szCs w:val="16"/>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and records the expense for these awards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requisite service period.</w:t>
      </w:r>
    </w:p>
    <w:p>
      <w:pPr>
        <w:spacing w:after="0" w:line="203" w:lineRule="exact"/>
        <w:rPr>
          <w:sz w:val="20"/>
          <w:szCs w:val="20"/>
          <w:color w:val="auto"/>
        </w:rPr>
      </w:pPr>
    </w:p>
    <w:p>
      <w:pPr>
        <w:ind w:left="20" w:right="219" w:firstLine="648"/>
        <w:spacing w:after="0" w:line="220"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the Company’s common shares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w:t>
      </w:r>
    </w:p>
    <w:p>
      <w:pPr>
        <w:spacing w:after="0" w:line="204" w:lineRule="exact"/>
        <w:rPr>
          <w:sz w:val="20"/>
          <w:szCs w:val="20"/>
          <w:color w:val="auto"/>
        </w:rPr>
      </w:pPr>
    </w:p>
    <w:p>
      <w:pPr>
        <w:ind w:left="20" w:right="39" w:firstLine="648"/>
        <w:spacing w:after="0" w:line="217"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historically has been a private company and lacks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its shares. Therefore, it estimates its expected share price volatility based on the historical volatility of a group of publicly</w:t>
      </w:r>
      <w:r>
        <w:rPr>
          <w:rFonts w:ascii="MS PGothic" w:cs="MS PGothic" w:eastAsia="MS PGothic" w:hAnsi="MS PGothic"/>
          <w:sz w:val="17"/>
          <w:szCs w:val="17"/>
          <w:color w:val="auto"/>
        </w:rPr>
        <w:t>‑</w:t>
      </w:r>
      <w:r>
        <w:rPr>
          <w:rFonts w:ascii="Arial" w:cs="Arial" w:eastAsia="Arial" w:hAnsi="Arial"/>
          <w:sz w:val="17"/>
          <w:szCs w:val="17"/>
          <w:color w:val="auto"/>
        </w:rPr>
        <w:t>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is equal to the contractual term of the option award.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20" w:right="199" w:firstLine="648"/>
        <w:spacing w:after="0" w:line="277"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20" w:right="119" w:firstLine="648"/>
        <w:spacing w:after="0" w:line="312" w:lineRule="auto"/>
        <w:rPr>
          <w:sz w:val="20"/>
          <w:szCs w:val="20"/>
          <w:color w:val="auto"/>
        </w:rPr>
      </w:pPr>
      <w:r>
        <w:rPr>
          <w:rFonts w:ascii="Arial" w:cs="Arial" w:eastAsia="Arial" w:hAnsi="Arial"/>
          <w:sz w:val="16"/>
          <w:szCs w:val="16"/>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20" w:right="79" w:firstLine="648"/>
        <w:spacing w:after="0" w:line="219" w:lineRule="exact"/>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w:t>
      </w:r>
      <w:r>
        <w:rPr>
          <w:rFonts w:ascii="MS PGothic" w:cs="MS PGothic" w:eastAsia="MS PGothic" w:hAnsi="MS PGothic"/>
          <w:sz w:val="18"/>
          <w:szCs w:val="18"/>
          <w:color w:val="auto"/>
        </w:rPr>
        <w:t>‑</w:t>
      </w:r>
      <w:r>
        <w:rPr>
          <w:rFonts w:ascii="Arial" w:cs="Arial" w:eastAsia="Arial" w:hAnsi="Arial"/>
          <w:sz w:val="18"/>
          <w:szCs w:val="18"/>
          <w:color w:val="auto"/>
        </w:rPr>
        <w:t>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 and totaled $(97,000) and $63,000 for the years ended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20" w:right="159" w:firstLine="648"/>
        <w:spacing w:after="0" w:line="272" w:lineRule="auto"/>
        <w:rPr>
          <w:sz w:val="20"/>
          <w:szCs w:val="20"/>
          <w:color w:val="auto"/>
        </w:rPr>
      </w:pPr>
      <w:r>
        <w:rPr>
          <w:rFonts w:ascii="Arial" w:cs="Arial" w:eastAsia="Arial" w:hAnsi="Arial"/>
          <w:sz w:val="17"/>
          <w:szCs w:val="17"/>
          <w:color w:val="auto"/>
        </w:rPr>
        <w:t>In March 2018, the FASB issued Accounting Standards Update No. 2018-05 (“ASU 2018-05”), Amendments to SEC Paragraphs Pursuant to SEC Staff Accounting Bulletin (SAB) No. 118. The ASU adds seven paragraphs to ASC 740, Income Taxes, that contain SEC guidance related to SAB 118 (codified as SEC SAB Topic 5.EE, “Income Tax Accounting Implications of the Tax Cuts and Jobs Act”), which provides guidance for companies that are not able to complete their accounting for the income tax effects of the Tax Cuts and Jobs Act in the period of enactment which is the period that includes December 22, 2017. The measurement period should not extend beyond one year from the enactment date. The Company completed its accounting for the income tax effects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599"/>
        <w:spacing w:after="0" w:line="277" w:lineRule="auto"/>
        <w:rPr>
          <w:sz w:val="20"/>
          <w:szCs w:val="20"/>
          <w:color w:val="auto"/>
        </w:rPr>
      </w:pPr>
      <w:r>
        <w:rPr>
          <w:rFonts w:ascii="Arial" w:cs="Arial" w:eastAsia="Arial" w:hAnsi="Arial"/>
          <w:sz w:val="18"/>
          <w:szCs w:val="18"/>
          <w:color w:val="auto"/>
        </w:rPr>
        <w:t>for the year ended December 31, 2018. See Note 10 for a discussion of the impact of the guidance on the Company’s consolidated financial statements.</w:t>
      </w:r>
    </w:p>
    <w:p>
      <w:pPr>
        <w:spacing w:after="0" w:line="170" w:lineRule="exact"/>
        <w:rPr>
          <w:sz w:val="20"/>
          <w:szCs w:val="20"/>
          <w:color w:val="auto"/>
        </w:rPr>
      </w:pPr>
    </w:p>
    <w:p>
      <w:pPr>
        <w:ind w:left="20" w:right="39" w:firstLine="648"/>
        <w:spacing w:after="0" w:line="218" w:lineRule="exact"/>
        <w:rPr>
          <w:sz w:val="20"/>
          <w:szCs w:val="20"/>
          <w:color w:val="auto"/>
        </w:rPr>
      </w:pPr>
      <w:r>
        <w:rPr>
          <w:rFonts w:ascii="Arial" w:cs="Arial" w:eastAsia="Arial" w:hAnsi="Arial"/>
          <w:sz w:val="16"/>
          <w:szCs w:val="16"/>
          <w:color w:val="auto"/>
        </w:rPr>
        <w:t>In May 2017, the FASB issued Accounting Standards Update No. 2017</w:t>
      </w:r>
      <w:r>
        <w:rPr>
          <w:rFonts w:ascii="MS PGothic" w:cs="MS PGothic" w:eastAsia="MS PGothic" w:hAnsi="MS PGothic"/>
          <w:sz w:val="16"/>
          <w:szCs w:val="16"/>
          <w:color w:val="auto"/>
        </w:rPr>
        <w:t>‑</w:t>
      </w:r>
      <w:r>
        <w:rPr>
          <w:rFonts w:ascii="Arial" w:cs="Arial" w:eastAsia="Arial" w:hAnsi="Arial"/>
          <w:sz w:val="16"/>
          <w:szCs w:val="16"/>
          <w:color w:val="auto"/>
        </w:rPr>
        <w:t>09 (“ASU 2017</w:t>
      </w:r>
      <w:r>
        <w:rPr>
          <w:rFonts w:ascii="MS PGothic" w:cs="MS PGothic" w:eastAsia="MS PGothic" w:hAnsi="MS PGothic"/>
          <w:sz w:val="16"/>
          <w:szCs w:val="16"/>
          <w:color w:val="auto"/>
        </w:rPr>
        <w:t>‑</w:t>
      </w:r>
      <w:r>
        <w:rPr>
          <w:rFonts w:ascii="Arial" w:cs="Arial" w:eastAsia="Arial" w:hAnsi="Arial"/>
          <w:sz w:val="16"/>
          <w:szCs w:val="16"/>
          <w:color w:val="auto"/>
        </w:rPr>
        <w:t>09”), Compensation— 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adopted ASU 2017</w:t>
      </w:r>
      <w:r>
        <w:rPr>
          <w:rFonts w:ascii="MS PGothic" w:cs="MS PGothic" w:eastAsia="MS PGothic" w:hAnsi="MS PGothic"/>
          <w:sz w:val="16"/>
          <w:szCs w:val="16"/>
          <w:color w:val="auto"/>
        </w:rPr>
        <w:t>‑</w:t>
      </w:r>
      <w:r>
        <w:rPr>
          <w:rFonts w:ascii="Arial" w:cs="Arial" w:eastAsia="Arial" w:hAnsi="Arial"/>
          <w:sz w:val="16"/>
          <w:szCs w:val="16"/>
          <w:color w:val="auto"/>
        </w:rPr>
        <w:t>09 on January 1, 2018 and will account for any modifications in accordance with ASU 2017</w:t>
      </w:r>
      <w:r>
        <w:rPr>
          <w:rFonts w:ascii="MS PGothic" w:cs="MS PGothic" w:eastAsia="MS PGothic" w:hAnsi="MS PGothic"/>
          <w:sz w:val="16"/>
          <w:szCs w:val="16"/>
          <w:color w:val="auto"/>
        </w:rPr>
        <w:t>‑</w:t>
      </w:r>
      <w:r>
        <w:rPr>
          <w:rFonts w:ascii="Arial" w:cs="Arial" w:eastAsia="Arial" w:hAnsi="Arial"/>
          <w:sz w:val="16"/>
          <w:szCs w:val="16"/>
          <w:color w:val="auto"/>
        </w:rPr>
        <w:t>09 subsequent to the effective date. The adoption of this standard on January 1, 2018 did not have a material impact on our consolidated financial statements and related disclosures.</w:t>
      </w:r>
    </w:p>
    <w:p>
      <w:pPr>
        <w:spacing w:after="0" w:line="205" w:lineRule="exact"/>
        <w:rPr>
          <w:sz w:val="20"/>
          <w:szCs w:val="20"/>
          <w:color w:val="auto"/>
        </w:rPr>
      </w:pPr>
    </w:p>
    <w:p>
      <w:pPr>
        <w:ind w:left="20" w:right="119" w:firstLine="648"/>
        <w:spacing w:after="0" w:line="218" w:lineRule="exact"/>
        <w:rPr>
          <w:sz w:val="20"/>
          <w:szCs w:val="20"/>
          <w:color w:val="auto"/>
        </w:rPr>
      </w:pPr>
      <w:r>
        <w:rPr>
          <w:rFonts w:ascii="Arial" w:cs="Arial" w:eastAsia="Arial" w:hAnsi="Arial"/>
          <w:sz w:val="16"/>
          <w:szCs w:val="16"/>
          <w:color w:val="auto"/>
        </w:rPr>
        <w:t>In November 2016, the FASB issued Accounting Standards Update No. 2016</w:t>
      </w:r>
      <w:r>
        <w:rPr>
          <w:rFonts w:ascii="MS PGothic" w:cs="MS PGothic" w:eastAsia="MS PGothic" w:hAnsi="MS PGothic"/>
          <w:sz w:val="16"/>
          <w:szCs w:val="16"/>
          <w:color w:val="auto"/>
        </w:rPr>
        <w:t>‑</w:t>
      </w:r>
      <w:r>
        <w:rPr>
          <w:rFonts w:ascii="Arial" w:cs="Arial" w:eastAsia="Arial" w:hAnsi="Arial"/>
          <w:sz w:val="16"/>
          <w:szCs w:val="16"/>
          <w:color w:val="auto"/>
        </w:rPr>
        <w:t>18 (“ASU 2016</w:t>
      </w:r>
      <w:r>
        <w:rPr>
          <w:rFonts w:ascii="MS PGothic" w:cs="MS PGothic" w:eastAsia="MS PGothic" w:hAnsi="MS PGothic"/>
          <w:sz w:val="16"/>
          <w:szCs w:val="16"/>
          <w:color w:val="auto"/>
        </w:rPr>
        <w:t>‑</w:t>
      </w:r>
      <w:r>
        <w:rPr>
          <w:rFonts w:ascii="Arial" w:cs="Arial" w:eastAsia="Arial" w:hAnsi="Arial"/>
          <w:sz w:val="16"/>
          <w:szCs w:val="16"/>
          <w:color w:val="auto"/>
        </w:rPr>
        <w:t>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period and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period total amounts shown on the statement of cash flows. This amendment is effective for fiscal years beginning after December 15, 2017, including interim periods within those fiscal years. Early adoption is permitted, including adoption in an interim period. The adoption of this standard on January 1, 2018 did not have a material impact on our consolidated financial statements and related disclosures.</w:t>
      </w:r>
    </w:p>
    <w:p>
      <w:pPr>
        <w:spacing w:after="0" w:line="205" w:lineRule="exact"/>
        <w:rPr>
          <w:sz w:val="20"/>
          <w:szCs w:val="20"/>
          <w:color w:val="auto"/>
        </w:rPr>
      </w:pPr>
    </w:p>
    <w:p>
      <w:pPr>
        <w:ind w:left="20" w:right="159" w:firstLine="648"/>
        <w:spacing w:after="0" w:line="272" w:lineRule="auto"/>
        <w:rPr>
          <w:sz w:val="20"/>
          <w:szCs w:val="20"/>
          <w:color w:val="auto"/>
        </w:rPr>
      </w:pPr>
      <w:r>
        <w:rPr>
          <w:rFonts w:ascii="Arial" w:cs="Arial" w:eastAsia="Arial" w:hAnsi="Arial"/>
          <w:sz w:val="17"/>
          <w:szCs w:val="17"/>
          <w:color w:val="auto"/>
        </w:rPr>
        <w:t>In October 2016, the FASB issued Accounting Standards Update No. 2016-16 (“ASU 2016-16”), Intra-Entity Transfers of Assets Other than Inventory, as part of its simplification initiative. Under the new guidance, an entity should recognize the income tax consequences of an intra-entity transfer of an asset other than inventory when the transfer occurs. Consequently, the amendments in this Update eliminate the exception for an intraentity transfer of an asset other than inventory. ASU 2016-16 is effective for fiscal years beginning after December 15, 2017, including interim periods within those fiscal years. The adoption of this standard on January 1, 2018 did not have a material impact on our consolidated financial statements and related disclosures.</w:t>
      </w:r>
    </w:p>
    <w:p>
      <w:pPr>
        <w:spacing w:after="0" w:line="178" w:lineRule="exact"/>
        <w:rPr>
          <w:sz w:val="20"/>
          <w:szCs w:val="20"/>
          <w:color w:val="auto"/>
        </w:rPr>
      </w:pPr>
    </w:p>
    <w:p>
      <w:pPr>
        <w:ind w:left="20" w:right="179" w:firstLine="648"/>
        <w:spacing w:after="0" w:line="219" w:lineRule="exact"/>
        <w:rPr>
          <w:sz w:val="20"/>
          <w:szCs w:val="20"/>
          <w:color w:val="auto"/>
        </w:rPr>
      </w:pPr>
      <w:r>
        <w:rPr>
          <w:rFonts w:ascii="Arial" w:cs="Arial" w:eastAsia="Arial" w:hAnsi="Arial"/>
          <w:sz w:val="18"/>
          <w:szCs w:val="18"/>
          <w:color w:val="auto"/>
        </w:rPr>
        <w:t>In August 2016, the FASB issued Accounting Standards Update No. 2016</w:t>
      </w:r>
      <w:r>
        <w:rPr>
          <w:rFonts w:ascii="MS PGothic" w:cs="MS PGothic" w:eastAsia="MS PGothic" w:hAnsi="MS PGothic"/>
          <w:sz w:val="18"/>
          <w:szCs w:val="18"/>
          <w:color w:val="auto"/>
        </w:rPr>
        <w:t>‑</w:t>
      </w:r>
      <w:r>
        <w:rPr>
          <w:rFonts w:ascii="Arial" w:cs="Arial" w:eastAsia="Arial" w:hAnsi="Arial"/>
          <w:sz w:val="18"/>
          <w:szCs w:val="18"/>
          <w:color w:val="auto"/>
        </w:rPr>
        <w:t>15 (“ASU 2016</w:t>
      </w:r>
      <w:r>
        <w:rPr>
          <w:rFonts w:ascii="MS PGothic" w:cs="MS PGothic" w:eastAsia="MS PGothic" w:hAnsi="MS PGothic"/>
          <w:sz w:val="18"/>
          <w:szCs w:val="18"/>
          <w:color w:val="auto"/>
        </w:rPr>
        <w:t>‑</w:t>
      </w:r>
      <w:r>
        <w:rPr>
          <w:rFonts w:ascii="Arial" w:cs="Arial" w:eastAsia="Arial" w:hAnsi="Arial"/>
          <w:sz w:val="18"/>
          <w:szCs w:val="18"/>
          <w:color w:val="auto"/>
        </w:rPr>
        <w:t>15”), Classification of Certain Cash Receipts and Cash Payments. ASU 2016</w:t>
      </w:r>
      <w:r>
        <w:rPr>
          <w:rFonts w:ascii="MS PGothic" w:cs="MS PGothic" w:eastAsia="MS PGothic" w:hAnsi="MS PGothic"/>
          <w:sz w:val="18"/>
          <w:szCs w:val="18"/>
          <w:color w:val="auto"/>
        </w:rPr>
        <w:t>‑</w:t>
      </w:r>
      <w:r>
        <w:rPr>
          <w:rFonts w:ascii="Arial" w:cs="Arial" w:eastAsia="Arial" w:hAnsi="Arial"/>
          <w:sz w:val="18"/>
          <w:szCs w:val="18"/>
          <w:color w:val="auto"/>
        </w:rPr>
        <w:t>15 clarifies how certain cash receipts and payments should be presented in the statement of cash flows. The guidance is effective in 2018 with early adoption permitted. The adoption of this standard on January 1, 2018 did not have a material impact on our consolidated financial statements and related disclosures.</w:t>
      </w:r>
    </w:p>
    <w:p>
      <w:pPr>
        <w:spacing w:after="0" w:line="206" w:lineRule="exact"/>
        <w:rPr>
          <w:sz w:val="20"/>
          <w:szCs w:val="20"/>
          <w:color w:val="auto"/>
        </w:rPr>
      </w:pPr>
    </w:p>
    <w:p>
      <w:pPr>
        <w:ind w:left="20" w:right="19" w:firstLine="648"/>
        <w:spacing w:after="0" w:line="293" w:lineRule="auto"/>
        <w:rPr>
          <w:sz w:val="20"/>
          <w:szCs w:val="20"/>
          <w:color w:val="auto"/>
        </w:rPr>
      </w:pPr>
      <w:r>
        <w:rPr>
          <w:rFonts w:ascii="Arial" w:cs="Arial" w:eastAsia="Arial" w:hAnsi="Arial"/>
          <w:sz w:val="16"/>
          <w:szCs w:val="16"/>
          <w:color w:val="auto"/>
        </w:rPr>
        <w:t>In March 2016, the FASB issued Accounting Standards Update No. 2016-09 (“ASU 2016-09”), Compensation-Stock Compensation (Topic 718), as part of its simplification initiative. The areas for simplification in ASU 2016-09 involve several aspects of the accounting for share-based payment transactions, including the income tax consequences, classification of awards as either equity or liabilities, and classification on the statement of cash flows. ASU 2016-09 is effective for periods beginning after December 15, 2016 with early adoption permitted. The adoption of this standard on January 1, 2017 did not have a material impact on our consolidated financial statements and related disclosures.</w:t>
      </w:r>
    </w:p>
    <w:p>
      <w:pPr>
        <w:spacing w:after="0" w:line="165" w:lineRule="exact"/>
        <w:rPr>
          <w:sz w:val="20"/>
          <w:szCs w:val="20"/>
          <w:color w:val="auto"/>
        </w:rPr>
      </w:pPr>
    </w:p>
    <w:p>
      <w:pPr>
        <w:ind w:left="20" w:right="119" w:firstLine="648"/>
        <w:spacing w:after="0" w:line="219" w:lineRule="exact"/>
        <w:rPr>
          <w:sz w:val="20"/>
          <w:szCs w:val="20"/>
          <w:color w:val="auto"/>
        </w:rPr>
      </w:pPr>
      <w:r>
        <w:rPr>
          <w:rFonts w:ascii="Arial" w:cs="Arial" w:eastAsia="Arial" w:hAnsi="Arial"/>
          <w:sz w:val="18"/>
          <w:szCs w:val="18"/>
          <w:color w:val="auto"/>
        </w:rPr>
        <w:t>In November 2015, the FASB issued Accounting Standards Update No. 2015</w:t>
      </w:r>
      <w:r>
        <w:rPr>
          <w:rFonts w:ascii="MS PGothic" w:cs="MS PGothic" w:eastAsia="MS PGothic" w:hAnsi="MS PGothic"/>
          <w:sz w:val="18"/>
          <w:szCs w:val="18"/>
          <w:color w:val="auto"/>
        </w:rPr>
        <w:t>‑</w:t>
      </w:r>
      <w:r>
        <w:rPr>
          <w:rFonts w:ascii="Arial" w:cs="Arial" w:eastAsia="Arial" w:hAnsi="Arial"/>
          <w:sz w:val="18"/>
          <w:szCs w:val="18"/>
          <w:color w:val="auto"/>
        </w:rPr>
        <w:t>17 (“ASU 2015</w:t>
      </w:r>
      <w:r>
        <w:rPr>
          <w:rFonts w:ascii="MS PGothic" w:cs="MS PGothic" w:eastAsia="MS PGothic" w:hAnsi="MS PGothic"/>
          <w:sz w:val="18"/>
          <w:szCs w:val="18"/>
          <w:color w:val="auto"/>
        </w:rPr>
        <w:t>‑</w:t>
      </w:r>
      <w:r>
        <w:rPr>
          <w:rFonts w:ascii="Arial" w:cs="Arial" w:eastAsia="Arial" w:hAnsi="Arial"/>
          <w:sz w:val="18"/>
          <w:szCs w:val="18"/>
          <w:color w:val="auto"/>
        </w:rPr>
        <w:t>17”), Income Taxes (Topic 740): Balance Sheet Classification of Deferred Taxes. ASU 2015</w:t>
      </w:r>
      <w:r>
        <w:rPr>
          <w:rFonts w:ascii="MS PGothic" w:cs="MS PGothic" w:eastAsia="MS PGothic" w:hAnsi="MS PGothic"/>
          <w:sz w:val="18"/>
          <w:szCs w:val="18"/>
          <w:color w:val="auto"/>
        </w:rPr>
        <w:t>‑</w:t>
      </w:r>
      <w:r>
        <w:rPr>
          <w:rFonts w:ascii="Arial" w:cs="Arial" w:eastAsia="Arial" w:hAnsi="Arial"/>
          <w:sz w:val="18"/>
          <w:szCs w:val="18"/>
          <w:color w:val="auto"/>
        </w:rPr>
        <w:t>17 simplifies current guidance and requires companies to classify all deferred tax assets and liabilities as noncurrent on the balance sheet. ASU 2015</w:t>
      </w:r>
      <w:r>
        <w:rPr>
          <w:rFonts w:ascii="MS PGothic" w:cs="MS PGothic" w:eastAsia="MS PGothic" w:hAnsi="MS PGothic"/>
          <w:sz w:val="18"/>
          <w:szCs w:val="18"/>
          <w:color w:val="auto"/>
        </w:rPr>
        <w:t>‑</w:t>
      </w:r>
      <w:r>
        <w:rPr>
          <w:rFonts w:ascii="Arial" w:cs="Arial" w:eastAsia="Arial" w:hAnsi="Arial"/>
          <w:sz w:val="18"/>
          <w:szCs w:val="18"/>
          <w:color w:val="auto"/>
        </w:rPr>
        <w:t>17 can be applied either prospectively or retrospectively and is effective for periods beginning after December 15, 2016, with early adoption permitted. The adoption of this standard on January 1, 2017 did not have a material impact on our consolidated financial statements and related disclosures.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Issued Accounting Pronouncements – Not Yet Adopted</w:t>
      </w:r>
    </w:p>
    <w:p>
      <w:pPr>
        <w:spacing w:after="0" w:line="225" w:lineRule="exact"/>
        <w:rPr>
          <w:sz w:val="20"/>
          <w:szCs w:val="20"/>
          <w:color w:val="auto"/>
        </w:rPr>
      </w:pPr>
    </w:p>
    <w:p>
      <w:pPr>
        <w:ind w:left="20" w:right="179" w:firstLine="648"/>
        <w:spacing w:after="0" w:line="293" w:lineRule="auto"/>
        <w:rPr>
          <w:sz w:val="20"/>
          <w:szCs w:val="20"/>
          <w:color w:val="auto"/>
        </w:rPr>
      </w:pPr>
      <w:r>
        <w:rPr>
          <w:rFonts w:ascii="Arial" w:cs="Arial" w:eastAsia="Arial" w:hAnsi="Arial"/>
          <w:sz w:val="16"/>
          <w:szCs w:val="16"/>
          <w:color w:val="auto"/>
        </w:rPr>
        <w:t>In August 2018, the Securities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 Under the amendments, an analysis of changes in each caption of stockholders’ equity presented in the balance sheet must be provided in a note or separate statement. The analysis should present a reconciliation of the beginning balance to the ending balance of each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20" w:right="319"/>
        <w:spacing w:after="0" w:line="264" w:lineRule="auto"/>
        <w:rPr>
          <w:sz w:val="20"/>
          <w:szCs w:val="20"/>
          <w:color w:val="auto"/>
        </w:rPr>
      </w:pPr>
      <w:r>
        <w:rPr>
          <w:rFonts w:ascii="Arial" w:cs="Arial" w:eastAsia="Arial" w:hAnsi="Arial"/>
          <w:sz w:val="18"/>
          <w:szCs w:val="18"/>
          <w:color w:val="auto"/>
        </w:rPr>
        <w:t>for which a statement of comprehensive income is required to be filed. The Company anticipates its first presentation of changes in stockholders’ equity as required under the new SEC guidance will be included in its Form 10-Q for the three-month period ended March 31, 2019.</w:t>
      </w:r>
    </w:p>
    <w:p>
      <w:pPr>
        <w:spacing w:after="0" w:line="181" w:lineRule="exact"/>
        <w:rPr>
          <w:sz w:val="20"/>
          <w:szCs w:val="20"/>
          <w:color w:val="auto"/>
        </w:rPr>
      </w:pPr>
    </w:p>
    <w:p>
      <w:pPr>
        <w:ind w:left="20" w:right="99"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2018-15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Company is currently evaluating the impact its adoption may have on its consolidated financial statements.</w:t>
      </w:r>
    </w:p>
    <w:p>
      <w:pPr>
        <w:spacing w:after="0" w:line="182" w:lineRule="exact"/>
        <w:rPr>
          <w:sz w:val="20"/>
          <w:szCs w:val="20"/>
          <w:color w:val="auto"/>
        </w:rPr>
      </w:pPr>
    </w:p>
    <w:p>
      <w:pPr>
        <w:ind w:left="20" w:right="119" w:firstLine="648"/>
        <w:spacing w:after="0" w:line="273" w:lineRule="auto"/>
        <w:rPr>
          <w:sz w:val="20"/>
          <w:szCs w:val="20"/>
          <w:color w:val="auto"/>
        </w:rPr>
      </w:pPr>
      <w:r>
        <w:rPr>
          <w:rFonts w:ascii="Arial" w:cs="Arial" w:eastAsia="Arial" w:hAnsi="Arial"/>
          <w:sz w:val="17"/>
          <w:szCs w:val="17"/>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Company does not expect this ASU to have a significant impact on its consolidated financial statements.</w:t>
      </w:r>
    </w:p>
    <w:p>
      <w:pPr>
        <w:spacing w:after="0" w:line="178" w:lineRule="exact"/>
        <w:rPr>
          <w:sz w:val="20"/>
          <w:szCs w:val="20"/>
          <w:color w:val="auto"/>
        </w:rPr>
      </w:pPr>
    </w:p>
    <w:p>
      <w:pPr>
        <w:ind w:left="20" w:right="139" w:firstLine="648"/>
        <w:spacing w:after="0" w:line="218" w:lineRule="exact"/>
        <w:rPr>
          <w:sz w:val="20"/>
          <w:szCs w:val="20"/>
          <w:color w:val="auto"/>
        </w:rPr>
      </w:pPr>
      <w:r>
        <w:rPr>
          <w:rFonts w:ascii="Arial" w:cs="Arial" w:eastAsia="Arial" w:hAnsi="Arial"/>
          <w:sz w:val="18"/>
          <w:szCs w:val="18"/>
          <w:color w:val="auto"/>
        </w:rPr>
        <w:t>In June 2018, the FASB issued Accounting Standards Update No. 2018</w:t>
      </w:r>
      <w:r>
        <w:rPr>
          <w:rFonts w:ascii="MS PGothic" w:cs="MS PGothic" w:eastAsia="MS PGothic" w:hAnsi="MS PGothic"/>
          <w:sz w:val="18"/>
          <w:szCs w:val="18"/>
          <w:color w:val="auto"/>
        </w:rPr>
        <w:t>‑</w:t>
      </w:r>
      <w:r>
        <w:rPr>
          <w:rFonts w:ascii="Arial" w:cs="Arial" w:eastAsia="Arial" w:hAnsi="Arial"/>
          <w:sz w:val="18"/>
          <w:szCs w:val="18"/>
          <w:color w:val="auto"/>
        </w:rPr>
        <w:t>07, (“ASU 2018-07”), Compensation— Stock Compensation (Topic 718), Improvements to Nonemployee Share</w:t>
      </w:r>
      <w:r>
        <w:rPr>
          <w:rFonts w:ascii="MS PGothic" w:cs="MS PGothic" w:eastAsia="MS PGothic" w:hAnsi="MS PGothic"/>
          <w:sz w:val="18"/>
          <w:szCs w:val="18"/>
          <w:color w:val="auto"/>
        </w:rPr>
        <w:t>‑</w:t>
      </w:r>
      <w:r>
        <w:rPr>
          <w:rFonts w:ascii="Arial" w:cs="Arial" w:eastAsia="Arial" w:hAnsi="Arial"/>
          <w:sz w:val="18"/>
          <w:szCs w:val="18"/>
          <w:color w:val="auto"/>
        </w:rPr>
        <w:t>Based Payment Accounting. ASU 2018</w:t>
      </w:r>
      <w:r>
        <w:rPr>
          <w:rFonts w:ascii="MS PGothic" w:cs="MS PGothic" w:eastAsia="MS PGothic" w:hAnsi="MS PGothic"/>
          <w:sz w:val="18"/>
          <w:szCs w:val="18"/>
          <w:color w:val="auto"/>
        </w:rPr>
        <w:t>‑</w:t>
      </w:r>
      <w:r>
        <w:rPr>
          <w:rFonts w:ascii="Arial" w:cs="Arial" w:eastAsia="Arial" w:hAnsi="Arial"/>
          <w:sz w:val="18"/>
          <w:szCs w:val="18"/>
          <w:color w:val="auto"/>
        </w:rPr>
        <w:t>07 is intended to simplify aspects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by making the guidance consistent with the accounting for employee share</w:t>
      </w:r>
      <w:r>
        <w:rPr>
          <w:rFonts w:ascii="MS PGothic" w:cs="MS PGothic" w:eastAsia="MS PGothic" w:hAnsi="MS PGothic"/>
          <w:sz w:val="18"/>
          <w:szCs w:val="18"/>
          <w:color w:val="auto"/>
        </w:rPr>
        <w:t>‑</w:t>
      </w:r>
      <w:r>
        <w:rPr>
          <w:rFonts w:ascii="Arial" w:cs="Arial" w:eastAsia="Arial" w:hAnsi="Arial"/>
          <w:sz w:val="18"/>
          <w:szCs w:val="18"/>
          <w:color w:val="auto"/>
        </w:rPr>
        <w:t>based compensation. ASU 2018</w:t>
      </w:r>
      <w:r>
        <w:rPr>
          <w:rFonts w:ascii="MS PGothic" w:cs="MS PGothic" w:eastAsia="MS PGothic" w:hAnsi="MS PGothic"/>
          <w:sz w:val="18"/>
          <w:szCs w:val="18"/>
          <w:color w:val="auto"/>
        </w:rPr>
        <w:t>‑</w:t>
      </w:r>
      <w:r>
        <w:rPr>
          <w:rFonts w:ascii="Arial" w:cs="Arial" w:eastAsia="Arial" w:hAnsi="Arial"/>
          <w:sz w:val="18"/>
          <w:szCs w:val="18"/>
          <w:color w:val="auto"/>
        </w:rPr>
        <w:t>07 is required to be adopted for annual periods beginning after December 15, 2018, including interim periods within those fiscal years. Early adoption is permitted. The Company is currently evaluating the impact that the adoption of ASU 2018</w:t>
      </w:r>
      <w:r>
        <w:rPr>
          <w:rFonts w:ascii="MS PGothic" w:cs="MS PGothic" w:eastAsia="MS PGothic" w:hAnsi="MS PGothic"/>
          <w:sz w:val="18"/>
          <w:szCs w:val="18"/>
          <w:color w:val="auto"/>
        </w:rPr>
        <w:t>‑</w:t>
      </w:r>
      <w:r>
        <w:rPr>
          <w:rFonts w:ascii="Arial" w:cs="Arial" w:eastAsia="Arial" w:hAnsi="Arial"/>
          <w:sz w:val="18"/>
          <w:szCs w:val="18"/>
          <w:color w:val="auto"/>
        </w:rPr>
        <w:t>07 will have on its consolidated financial statements.</w:t>
      </w:r>
    </w:p>
    <w:p>
      <w:pPr>
        <w:spacing w:after="0" w:line="207" w:lineRule="exact"/>
        <w:rPr>
          <w:sz w:val="20"/>
          <w:szCs w:val="20"/>
          <w:color w:val="auto"/>
        </w:rPr>
      </w:pPr>
    </w:p>
    <w:p>
      <w:pPr>
        <w:ind w:left="20" w:right="39" w:firstLine="648"/>
        <w:spacing w:after="0" w:line="219" w:lineRule="exact"/>
        <w:rPr>
          <w:sz w:val="20"/>
          <w:szCs w:val="20"/>
          <w:color w:val="auto"/>
        </w:rPr>
      </w:pPr>
      <w:r>
        <w:rPr>
          <w:rFonts w:ascii="Arial" w:cs="Arial" w:eastAsia="Arial" w:hAnsi="Arial"/>
          <w:sz w:val="18"/>
          <w:szCs w:val="18"/>
          <w:color w:val="auto"/>
        </w:rPr>
        <w:t>In February 2018, the FASB issued Accounting Standards Update No. 2018</w:t>
      </w:r>
      <w:r>
        <w:rPr>
          <w:rFonts w:ascii="MS PGothic" w:cs="MS PGothic" w:eastAsia="MS PGothic" w:hAnsi="MS PGothic"/>
          <w:sz w:val="18"/>
          <w:szCs w:val="18"/>
          <w:color w:val="auto"/>
        </w:rPr>
        <w:t>‑</w:t>
      </w:r>
      <w:r>
        <w:rPr>
          <w:rFonts w:ascii="Arial" w:cs="Arial" w:eastAsia="Arial" w:hAnsi="Arial"/>
          <w:sz w:val="18"/>
          <w:szCs w:val="18"/>
          <w:color w:val="auto"/>
        </w:rPr>
        <w:t>02, (“ASU 2018-02”), Reclassification of Certain Tax Effects from Accumulated Other Comprehensive Income. ASU 2018</w:t>
      </w:r>
      <w:r>
        <w:rPr>
          <w:rFonts w:ascii="MS PGothic" w:cs="MS PGothic" w:eastAsia="MS PGothic" w:hAnsi="MS PGothic"/>
          <w:sz w:val="18"/>
          <w:szCs w:val="18"/>
          <w:color w:val="auto"/>
        </w:rPr>
        <w:t>‑</w:t>
      </w:r>
      <w:r>
        <w:rPr>
          <w:rFonts w:ascii="Arial" w:cs="Arial" w:eastAsia="Arial" w:hAnsi="Arial"/>
          <w:sz w:val="18"/>
          <w:szCs w:val="18"/>
          <w:color w:val="auto"/>
        </w:rPr>
        <w:t>02 allows a reclassification from accumulated other comprehensive income to retained earnings for stranded tax effects resulting from the Tax Cuts and Jobs Act. ASU 2018</w:t>
      </w:r>
      <w:r>
        <w:rPr>
          <w:rFonts w:ascii="MS PGothic" w:cs="MS PGothic" w:eastAsia="MS PGothic" w:hAnsi="MS PGothic"/>
          <w:sz w:val="18"/>
          <w:szCs w:val="18"/>
          <w:color w:val="auto"/>
        </w:rPr>
        <w:t>‑</w:t>
      </w:r>
      <w:r>
        <w:rPr>
          <w:rFonts w:ascii="Arial" w:cs="Arial" w:eastAsia="Arial" w:hAnsi="Arial"/>
          <w:sz w:val="18"/>
          <w:szCs w:val="18"/>
          <w:color w:val="auto"/>
        </w:rPr>
        <w:t>07 is required to be adopted for annual periods beginning after December 15, 2018, including interim periods within those fiscal years. Early adoption is permitted. The Company does not expect this ASU to have a significant impact on its consolidated financial statements.</w:t>
      </w:r>
    </w:p>
    <w:p>
      <w:pPr>
        <w:spacing w:after="0" w:line="203" w:lineRule="exact"/>
        <w:rPr>
          <w:sz w:val="20"/>
          <w:szCs w:val="20"/>
          <w:color w:val="auto"/>
        </w:rPr>
      </w:pPr>
    </w:p>
    <w:p>
      <w:pPr>
        <w:ind w:left="20" w:right="19" w:firstLine="648"/>
        <w:spacing w:after="0" w:line="218" w:lineRule="exact"/>
        <w:rPr>
          <w:sz w:val="20"/>
          <w:szCs w:val="20"/>
          <w:color w:val="auto"/>
        </w:rPr>
      </w:pPr>
      <w:r>
        <w:rPr>
          <w:rFonts w:ascii="Arial" w:cs="Arial" w:eastAsia="Arial" w:hAnsi="Arial"/>
          <w:sz w:val="17"/>
          <w:szCs w:val="17"/>
          <w:color w:val="auto"/>
        </w:rPr>
        <w:t>In February 2016, the FASB issued Accounting Standards Update No. 2016</w:t>
      </w:r>
      <w:r>
        <w:rPr>
          <w:rFonts w:ascii="MS PGothic" w:cs="MS PGothic" w:eastAsia="MS PGothic" w:hAnsi="MS PGothic"/>
          <w:sz w:val="17"/>
          <w:szCs w:val="17"/>
          <w:color w:val="auto"/>
        </w:rPr>
        <w:t>‑</w:t>
      </w:r>
      <w:r>
        <w:rPr>
          <w:rFonts w:ascii="Arial" w:cs="Arial" w:eastAsia="Arial" w:hAnsi="Arial"/>
          <w:sz w:val="17"/>
          <w:szCs w:val="17"/>
          <w:color w:val="auto"/>
        </w:rPr>
        <w:t>02 (“ASU 2016</w:t>
      </w:r>
      <w:r>
        <w:rPr>
          <w:rFonts w:ascii="MS PGothic" w:cs="MS PGothic" w:eastAsia="MS PGothic" w:hAnsi="MS PGothic"/>
          <w:sz w:val="17"/>
          <w:szCs w:val="17"/>
          <w:color w:val="auto"/>
        </w:rPr>
        <w:t>‑</w:t>
      </w:r>
      <w:r>
        <w:rPr>
          <w:rFonts w:ascii="Arial" w:cs="Arial" w:eastAsia="Arial" w:hAnsi="Arial"/>
          <w:sz w:val="17"/>
          <w:szCs w:val="17"/>
          <w:color w:val="auto"/>
        </w:rPr>
        <w:t>02”), Leases, which is effective for fiscal years, and interim periods within those years, beginning after December 15, 2018 with early adoption permitted. Under ASU 2016</w:t>
      </w:r>
      <w:r>
        <w:rPr>
          <w:rFonts w:ascii="MS PGothic" w:cs="MS PGothic" w:eastAsia="MS PGothic" w:hAnsi="MS PGothic"/>
          <w:sz w:val="17"/>
          <w:szCs w:val="17"/>
          <w:color w:val="auto"/>
        </w:rPr>
        <w:t>‑</w:t>
      </w:r>
      <w:r>
        <w:rPr>
          <w:rFonts w:ascii="Arial" w:cs="Arial" w:eastAsia="Arial" w:hAnsi="Arial"/>
          <w:sz w:val="17"/>
          <w:szCs w:val="17"/>
          <w:color w:val="auto"/>
        </w:rPr>
        <w:t>02, lessees will be required to recognize for all leases, at the commencement date of the lease, a lease liability, which is a lessee’s obligation to make lease payments arising from a lease measured on a discounted basis,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which is an asset that represents the lessee’s right to use or control the use of a specified asset for the lease term. Topic 842 was subsequently amended by ASU 2017-13, Revenue and Leases: Amendments to SEC Paragraphs Pursuant to the Staff Announcement at the July 20, 2017 EITF Meeting and Rescission of Prior SEC Staff Announcements and Observer Comments; ASU 2018-01, Land Easement Practical Expedient for Transition to Topic 842; ASU No. 2018-10, Codification Improvements to Topic 842, Leases; ASU No. 2018-11, Targeted Improvements and ASU No. 2018-20, Narrow Scope Improvements for Lessors.</w:t>
      </w:r>
    </w:p>
    <w:p>
      <w:pPr>
        <w:spacing w:after="0" w:line="202" w:lineRule="exact"/>
        <w:rPr>
          <w:sz w:val="20"/>
          <w:szCs w:val="20"/>
          <w:color w:val="auto"/>
        </w:rPr>
      </w:pPr>
    </w:p>
    <w:p>
      <w:pPr>
        <w:ind w:left="20" w:right="19" w:firstLine="648"/>
        <w:spacing w:after="0" w:line="270" w:lineRule="auto"/>
        <w:rPr>
          <w:sz w:val="20"/>
          <w:szCs w:val="20"/>
          <w:color w:val="auto"/>
        </w:rPr>
      </w:pPr>
      <w:r>
        <w:rPr>
          <w:rFonts w:ascii="Arial" w:cs="Arial" w:eastAsia="Arial" w:hAnsi="Arial"/>
          <w:sz w:val="17"/>
          <w:szCs w:val="17"/>
          <w:color w:val="auto"/>
        </w:rPr>
        <w:t>ASU 2016-02 is effective for the Company on January 1, 2019. The Company expects to adopt the new standard on its effective date. A modified retrospective transition approach is required, applying the new standard to all leases existing on the date of initial application. An entity may choose to use either (1) its effective date or (2) the beginning of the earliest comparative period presented in the financial statements as its date of initial application. The Company expects to adopt the new standard on January 1, 2019 and use the effective date as our date of initial application. Consequently, financial information will not be updated and the disclosures required under the new standard will not be provided for dates and periods before January 1, 2019. The new standard also provides a number of optional practical expedients in transition. The Company expects to elect the package of practical expedients, which permits us not to reassess under the new standard our prior conclusions about lease identification, lease classification and initial direct costs. The Company is currently evaluating the effect that the new guidance will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240"/>
        <w:spacing w:after="0" w:line="264" w:lineRule="auto"/>
        <w:rPr>
          <w:sz w:val="20"/>
          <w:szCs w:val="20"/>
          <w:color w:val="auto"/>
        </w:rPr>
      </w:pPr>
      <w:r>
        <w:rPr>
          <w:rFonts w:ascii="Arial" w:cs="Arial" w:eastAsia="Arial" w:hAnsi="Arial"/>
          <w:sz w:val="18"/>
          <w:szCs w:val="18"/>
          <w:color w:val="auto"/>
        </w:rPr>
        <w:t>have on its financial statements and related disclosures and currently believe the most significant effects of the adoption relate to (1) the recognition of new ROU asset and lease liabilities on our balance sheet for our real estate operating leases and (2) providing significant new disclosures for our leasing activities.</w:t>
      </w:r>
    </w:p>
    <w:p>
      <w:pPr>
        <w:spacing w:after="0" w:line="181" w:lineRule="exact"/>
        <w:rPr>
          <w:sz w:val="20"/>
          <w:szCs w:val="20"/>
          <w:color w:val="auto"/>
        </w:rPr>
      </w:pPr>
    </w:p>
    <w:p>
      <w:pPr>
        <w:ind w:left="20" w:right="140" w:firstLine="648"/>
        <w:spacing w:after="0" w:line="273" w:lineRule="auto"/>
        <w:rPr>
          <w:sz w:val="20"/>
          <w:szCs w:val="20"/>
          <w:color w:val="auto"/>
        </w:rPr>
      </w:pPr>
      <w:r>
        <w:rPr>
          <w:rFonts w:ascii="Arial" w:cs="Arial" w:eastAsia="Arial" w:hAnsi="Arial"/>
          <w:sz w:val="17"/>
          <w:szCs w:val="17"/>
          <w:color w:val="auto"/>
        </w:rPr>
        <w:t>ASU 2016-02 also provides practical expedients and certain exemptions for an entity’s ongoing accounting post implementation. The Company currently expects to elect the short-term lease recognition exemption for all leases that qualify. This means, for those leases that qualify, we will not recognize ROU assets or liabilities, and this includes not recognizing ROU assets or liabilities for existing short-term leases of those assets in transition. We also currently expect to elect the practical expedient to not separate lease and non-lease components for all of our leases.We expect to complete our assessment of the full financial impact of ASC 842 during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4—LOSS PER SHARE</w:t>
      </w:r>
    </w:p>
    <w:p>
      <w:pPr>
        <w:spacing w:after="0" w:line="229" w:lineRule="exact"/>
        <w:rPr>
          <w:sz w:val="20"/>
          <w:szCs w:val="20"/>
          <w:color w:val="auto"/>
        </w:rPr>
      </w:pPr>
    </w:p>
    <w:p>
      <w:pPr>
        <w:ind w:left="20" w:right="40" w:firstLine="648"/>
        <w:spacing w:after="0" w:line="273" w:lineRule="auto"/>
        <w:rPr>
          <w:sz w:val="20"/>
          <w:szCs w:val="20"/>
          <w:color w:val="auto"/>
        </w:rPr>
      </w:pPr>
      <w:r>
        <w:rPr>
          <w:rFonts w:ascii="Arial" w:cs="Arial" w:eastAsia="Arial" w:hAnsi="Arial"/>
          <w:sz w:val="17"/>
          <w:szCs w:val="17"/>
          <w:color w:val="auto"/>
        </w:rPr>
        <w:t>Basic loss per share (“EPS”) is calculated by dividing net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5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2017</w:t>
            </w:r>
          </w:p>
        </w:tc>
      </w:tr>
      <w:tr>
        <w:trPr>
          <w:trHeight w:val="291"/>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89"/>
              </w:rPr>
              <w:t>(in thousands, except share and per share amounts)</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(43,274)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Weighted-average shares (denominator)</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28,772,384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19,397,506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bl>
    <w:p>
      <w:pPr>
        <w:spacing w:after="0" w:line="202" w:lineRule="exact"/>
        <w:rPr>
          <w:sz w:val="20"/>
          <w:szCs w:val="20"/>
          <w:color w:val="auto"/>
        </w:rPr>
      </w:pPr>
    </w:p>
    <w:p>
      <w:pPr>
        <w:ind w:left="20" w:right="120" w:firstLine="648"/>
        <w:spacing w:after="0" w:line="277" w:lineRule="auto"/>
        <w:rPr>
          <w:sz w:val="20"/>
          <w:szCs w:val="20"/>
          <w:color w:val="auto"/>
        </w:rPr>
      </w:pPr>
      <w:r>
        <w:rPr>
          <w:rFonts w:ascii="Arial" w:cs="Arial" w:eastAsia="Arial" w:hAnsi="Arial"/>
          <w:sz w:val="18"/>
          <w:szCs w:val="18"/>
          <w:color w:val="auto"/>
        </w:rPr>
        <w:t>Potentially dilutive securities outstanding as of December 31, 2018 and 2017 relate to stock options outstanding of 3,357,873 and 2,219,000 shares, respectively.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Accrued short</w:t>
      </w:r>
      <w:r>
        <w:rPr>
          <w:rFonts w:ascii="MS PGothic" w:cs="MS PGothic" w:eastAsia="MS PGothic" w:hAnsi="MS PGothic"/>
          <w:sz w:val="18"/>
          <w:szCs w:val="18"/>
          <w:color w:val="auto"/>
        </w:rPr>
        <w:t>‑</w:t>
      </w:r>
      <w:r>
        <w:rPr>
          <w:rFonts w:ascii="Arial" w:cs="Arial" w:eastAsia="Arial" w:hAnsi="Arial"/>
          <w:sz w:val="18"/>
          <w:szCs w:val="18"/>
          <w:color w:val="auto"/>
        </w:rPr>
        <w:t>term liabilities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4"/>
          </w:tcPr>
          <w:p>
            <w:pPr>
              <w:jc w:val="right"/>
              <w:ind w:right="493"/>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milestone payments</w:t>
            </w:r>
          </w:p>
        </w:tc>
        <w:tc>
          <w:tcPr>
            <w:tcW w:w="1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1,475</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costs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compensation and board fees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rent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left="20" w:right="80" w:firstLine="648"/>
        <w:spacing w:after="0" w:line="273" w:lineRule="auto"/>
        <w:rPr>
          <w:sz w:val="20"/>
          <w:szCs w:val="20"/>
          <w:color w:val="auto"/>
        </w:rPr>
      </w:pPr>
      <w:r>
        <w:rPr>
          <w:rFonts w:ascii="Arial" w:cs="Arial" w:eastAsia="Arial" w:hAnsi="Arial"/>
          <w:sz w:val="17"/>
          <w:szCs w:val="17"/>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footnote 5 for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40"/>
          </w:cols>
          <w:pgMar w:left="1440" w:top="125" w:right="1419" w:bottom="1440" w:gutter="0" w:footer="0" w:header="0"/>
        </w:sectPr>
      </w:pPr>
    </w:p>
    <w:bookmarkStart w:id="150" w:name="page151"/>
    <w:bookmarkEnd w:id="15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19"/>
        <w:spacing w:after="0" w:line="277" w:lineRule="auto"/>
        <w:rPr>
          <w:sz w:val="20"/>
          <w:szCs w:val="20"/>
          <w:color w:val="auto"/>
        </w:rPr>
      </w:pPr>
      <w:r>
        <w:rPr>
          <w:rFonts w:ascii="Arial" w:cs="Arial" w:eastAsia="Arial" w:hAnsi="Arial"/>
          <w:sz w:val="18"/>
          <w:szCs w:val="18"/>
          <w:color w:val="auto"/>
        </w:rPr>
        <w:t>accrued milestone and royalty payments are inclusive of obligations under the MSK License Agreement and CD33 License Agreement, collectively.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left="20" w:right="339" w:firstLine="648"/>
        <w:spacing w:after="0" w:line="220" w:lineRule="exact"/>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w:t>
      </w:r>
      <w:r>
        <w:rPr>
          <w:rFonts w:ascii="MS PGothic" w:cs="MS PGothic" w:eastAsia="MS PGothic" w:hAnsi="MS PGothic"/>
          <w:sz w:val="18"/>
          <w:szCs w:val="18"/>
          <w:color w:val="auto"/>
        </w:rPr>
        <w:t>‑</w:t>
      </w:r>
      <w:r>
        <w:rPr>
          <w:rFonts w:ascii="Arial" w:cs="Arial" w:eastAsia="Arial" w:hAnsi="Arial"/>
          <w:sz w:val="18"/>
          <w:szCs w:val="18"/>
          <w:color w:val="auto"/>
        </w:rPr>
        <w:t>how to develop, make, and commercialize licensed products and to perform services for all therapeutic and diagnostic uses in the field of cancer diagnostics and cancer treatments.</w:t>
      </w:r>
    </w:p>
    <w:p>
      <w:pPr>
        <w:spacing w:after="0" w:line="204" w:lineRule="exact"/>
        <w:rPr>
          <w:sz w:val="20"/>
          <w:szCs w:val="20"/>
          <w:color w:val="auto"/>
        </w:rPr>
      </w:pPr>
    </w:p>
    <w:p>
      <w:pPr>
        <w:ind w:left="20" w:right="19" w:firstLine="648"/>
        <w:spacing w:after="0" w:line="218" w:lineRule="exact"/>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B3</w:t>
      </w:r>
      <w:r>
        <w:rPr>
          <w:rFonts w:ascii="MS PGothic" w:cs="MS PGothic" w:eastAsia="MS PGothic" w:hAnsi="MS PGothic"/>
          <w:sz w:val="16"/>
          <w:szCs w:val="16"/>
          <w:color w:val="auto"/>
        </w:rPr>
        <w:t>‑</w:t>
      </w:r>
      <w:r>
        <w:rPr>
          <w:rFonts w:ascii="Arial" w:cs="Arial" w:eastAsia="Arial" w:hAnsi="Arial"/>
          <w:sz w:val="16"/>
          <w:szCs w:val="16"/>
          <w:color w:val="auto"/>
        </w:rPr>
        <w:t>H7 antibody, as well as affinity matured versions of certain antibodies and certain single chain variable fragments (Fv) constructs, and their use for immunotherapy, targeting the treatment of neuroblastoma and other oncology indications. Upon entering into the MSK License Agreement in 2015 and in exchange for the licenses, we paid MSK an upfront payment, issued 1,428,500 shares of our common stock to MSK and agreed to provide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to MSK. In addition, we are required to pay to MSK certain royalty and milestone payments. We expensed the upfront payment and the issuance of shares to MSK in 2015. We also recorded expense related to common stock issued related to certain anti</w:t>
      </w:r>
      <w:r>
        <w:rPr>
          <w:rFonts w:ascii="MS PGothic" w:cs="MS PGothic" w:eastAsia="MS PGothic" w:hAnsi="MS PGothic"/>
          <w:sz w:val="16"/>
          <w:szCs w:val="16"/>
          <w:color w:val="auto"/>
        </w:rPr>
        <w:t>‑</w:t>
      </w:r>
      <w:r>
        <w:rPr>
          <w:rFonts w:ascii="Arial" w:cs="Arial" w:eastAsia="Arial" w:hAnsi="Arial"/>
          <w:sz w:val="16"/>
          <w:szCs w:val="16"/>
          <w:color w:val="auto"/>
        </w:rPr>
        <w:t>dilution rights held by MSK. See further description in note 7, Stockholders’ Equity.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MSK License Agreement requires us to pay to MSK mid to high single digit royalties based on annual net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of licensed products or the performance of licensed services by us and our affiliates and sublicensees. We are obligated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 pay annual minimum royalties of $80,000 over the royalty term, commencing on the fifth anniversary of the license</w:t>
      </w:r>
    </w:p>
    <w:p>
      <w:pPr>
        <w:spacing w:after="0" w:line="21"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MSK</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License Agreement. Total expensed minimum royalty payments in 2016 under the MSK License Agreement were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$1,200,000, upon determination that the payment of such minimum royalties was probable and the amount was estimable in</w:t>
      </w:r>
    </w:p>
    <w:p>
      <w:pPr>
        <w:spacing w:after="0" w:line="32"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2016. The accrued minimum royalties were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as of December 31, 2018 and 2017. We</w:t>
      </w:r>
    </w:p>
    <w:p>
      <w:pPr>
        <w:spacing w:after="0" w:line="32"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are also obligated to pay MSK certain clinical, regulatory and sales</w:t>
      </w:r>
      <w:r>
        <w:rPr>
          <w:rFonts w:ascii="MS PGothic" w:cs="MS PGothic" w:eastAsia="MS PGothic" w:hAnsi="MS PGothic"/>
          <w:sz w:val="17"/>
          <w:szCs w:val="17"/>
          <w:color w:val="auto"/>
        </w:rPr>
        <w:t>‑</w:t>
      </w:r>
      <w:r>
        <w:rPr>
          <w:rFonts w:ascii="Arial" w:cs="Arial" w:eastAsia="Arial" w:hAnsi="Arial"/>
          <w:sz w:val="17"/>
          <w:szCs w:val="17"/>
          <w:color w:val="auto"/>
        </w:rPr>
        <w:t>based milestone payments under the MSK License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Agreement. Certain of the clinical and regulatory milestone payments become due at the earlier of completion of the related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milestone activity or the date indicated in the MSK License Agreement. Total clinical and regulatory milestones potentially</w:t>
      </w:r>
    </w:p>
    <w:p>
      <w:pPr>
        <w:spacing w:after="0" w:line="32"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due under the MSK License Agreement are $2,450,000 and $9,000,000,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that become due should the Company achieve certain amounts of sales of licensed products resulting from the license</w:t>
      </w:r>
    </w:p>
    <w:p>
      <w:pPr>
        <w:spacing w:after="0" w:line="21"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arrangement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$20,000,000. The Company records milestones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period in which the contingent liability is probable and the amount is reasonably estimable. In addition, to the extent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enter into sublicense arrangements, we are obligated to pay to MSK a percentage of certain payments that we receive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from sublicensees of the rights licensed to us by MSK, which percentage will be based upon the achievement of certain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clinical milestones. The Company has not entered into any sublicenses related to the MSK License Agreement. Failure by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 to meet certain conditions under the arrangement could cause the related license to such licensed product to be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canceled and could result in termination of the entire arrangement with MSK. In addition, the Company may terminate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MSK License Agreement with prior written notice to MSK.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milestones were expensed in the twelve months ended December 31, 2018. The Company expensed $150,000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milestones in the twelve months ended December 31, 2017. As of both December 31, 2018, and December 31, 2017,</w:t>
      </w:r>
    </w:p>
    <w:p>
      <w:pPr>
        <w:spacing w:after="0" w:line="32"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$875,000 of accrued milestone obligations were recorded in accrued short</w:t>
      </w:r>
      <w:r>
        <w:rPr>
          <w:rFonts w:ascii="MS PGothic" w:cs="MS PGothic" w:eastAsia="MS PGothic" w:hAnsi="MS PGothic"/>
          <w:sz w:val="16"/>
          <w:szCs w:val="16"/>
          <w:color w:val="auto"/>
        </w:rPr>
        <w:t>‑</w:t>
      </w:r>
      <w:r>
        <w:rPr>
          <w:rFonts w:ascii="Arial" w:cs="Arial" w:eastAsia="Arial" w:hAnsi="Arial"/>
          <w:sz w:val="16"/>
          <w:szCs w:val="16"/>
          <w:color w:val="auto"/>
        </w:rPr>
        <w:t>term liabilities and $300,000 was recorded within</w:t>
      </w:r>
    </w:p>
    <w:p>
      <w:pPr>
        <w:spacing w:after="0" w:line="32" w:lineRule="exact"/>
        <w:rPr>
          <w:sz w:val="20"/>
          <w:szCs w:val="20"/>
          <w:color w:val="auto"/>
        </w:rPr>
      </w:pPr>
    </w:p>
    <w:p>
      <w:pPr>
        <w:ind w:left="20"/>
        <w:spacing w:after="0" w:line="184" w:lineRule="exact"/>
        <w:rPr>
          <w:sz w:val="20"/>
          <w:szCs w:val="20"/>
          <w:color w:val="auto"/>
        </w:rPr>
      </w:pPr>
      <w:r>
        <w:rPr>
          <w:rFonts w:ascii="Arial" w:cs="Arial" w:eastAsia="Arial" w:hAnsi="Arial"/>
          <w:sz w:val="16"/>
          <w:szCs w:val="16"/>
          <w:color w:val="auto"/>
        </w:rPr>
        <w:t>accrued long</w:t>
      </w:r>
      <w:r>
        <w:rPr>
          <w:rFonts w:ascii="MS PGothic" w:cs="MS PGothic" w:eastAsia="MS PGothic" w:hAnsi="MS PGothic"/>
          <w:sz w:val="16"/>
          <w:szCs w:val="16"/>
          <w:color w:val="auto"/>
        </w:rPr>
        <w:t>‑</w:t>
      </w:r>
      <w:r>
        <w:rPr>
          <w:rFonts w:ascii="Arial" w:cs="Arial" w:eastAsia="Arial" w:hAnsi="Arial"/>
          <w:sz w:val="16"/>
          <w:szCs w:val="16"/>
          <w:color w:val="auto"/>
        </w:rPr>
        <w:t>term liabilities. These milestone-related charges were recorded as research and development expense upon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determination that payment of these clinical milestone obligations was probable after satisfying the financing requirements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described herein.</w:t>
      </w:r>
    </w:p>
    <w:p>
      <w:pPr>
        <w:spacing w:after="0" w:line="211" w:lineRule="exact"/>
        <w:rPr>
          <w:sz w:val="20"/>
          <w:szCs w:val="20"/>
          <w:color w:val="auto"/>
        </w:rPr>
      </w:pPr>
    </w:p>
    <w:p>
      <w:pPr>
        <w:ind w:left="20" w:right="119" w:firstLine="648"/>
        <w:spacing w:after="0" w:line="218" w:lineRule="exact"/>
        <w:rPr>
          <w:sz w:val="20"/>
          <w:szCs w:val="20"/>
          <w:color w:val="auto"/>
        </w:rPr>
      </w:pPr>
      <w:r>
        <w:rPr>
          <w:rFonts w:ascii="Arial" w:cs="Arial" w:eastAsia="Arial" w:hAnsi="Arial"/>
          <w:sz w:val="16"/>
          <w:szCs w:val="16"/>
          <w:color w:val="auto"/>
        </w:rPr>
        <w:t>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r>
        <w:rPr>
          <w:rFonts w:ascii="MS PGothic" w:cs="MS PGothic" w:eastAsia="MS PGothic" w:hAnsi="MS PGothic"/>
          <w:sz w:val="16"/>
          <w:szCs w:val="16"/>
          <w:color w:val="auto"/>
        </w:rPr>
        <w:t>‑</w:t>
      </w:r>
      <w:r>
        <w:rPr>
          <w:rFonts w:ascii="Arial" w:cs="Arial" w:eastAsia="Arial" w:hAnsi="Arial"/>
          <w:sz w:val="16"/>
          <w:szCs w:val="16"/>
          <w:color w:val="auto"/>
        </w:rPr>
        <w:t>based milestone payments, certain of which also contain time</w:t>
      </w:r>
      <w:r>
        <w:rPr>
          <w:rFonts w:ascii="MS PGothic" w:cs="MS PGothic" w:eastAsia="MS PGothic" w:hAnsi="MS PGothic"/>
          <w:sz w:val="16"/>
          <w:szCs w:val="16"/>
          <w:color w:val="auto"/>
        </w:rPr>
        <w:t>‑</w:t>
      </w:r>
      <w:r>
        <w:rPr>
          <w:rFonts w:ascii="Arial" w:cs="Arial" w:eastAsia="Arial" w:hAnsi="Arial"/>
          <w:sz w:val="16"/>
          <w:szCs w:val="16"/>
          <w:color w:val="auto"/>
        </w:rPr>
        <w:t>based payment requirements, were probable. Given the uncertainty associated with research and development and the Company’s ability to cancel the MSK License Agreement, such regulatory</w:t>
      </w:r>
      <w:r>
        <w:rPr>
          <w:rFonts w:ascii="MS PGothic" w:cs="MS PGothic" w:eastAsia="MS PGothic" w:hAnsi="MS PGothic"/>
          <w:sz w:val="16"/>
          <w:szCs w:val="16"/>
          <w:color w:val="auto"/>
        </w:rPr>
        <w:t>‑</w:t>
      </w:r>
      <w:r>
        <w:rPr>
          <w:rFonts w:ascii="Arial" w:cs="Arial" w:eastAsia="Arial" w:hAnsi="Arial"/>
          <w:sz w:val="16"/>
          <w:szCs w:val="16"/>
          <w:color w:val="auto"/>
        </w:rPr>
        <w:t>based obligations were determined not to be probable as of December 31, 2018 and 2017, and therefore have not been accrued.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left="20" w:right="19" w:firstLine="648"/>
        <w:spacing w:after="0" w:line="217" w:lineRule="exact"/>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resulting from the CD33 License Agreement with MSK,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w:t>
      </w:r>
    </w:p>
    <w:p>
      <w:pPr>
        <w:spacing w:after="0" w:line="12" w:lineRule="exact"/>
        <w:rPr>
          <w:sz w:val="20"/>
          <w:szCs w:val="20"/>
          <w:color w:val="auto"/>
        </w:rPr>
      </w:pPr>
    </w:p>
    <w:p>
      <w:pPr>
        <w:ind w:left="20" w:right="119"/>
        <w:spacing w:after="0" w:line="261" w:lineRule="auto"/>
        <w:rPr>
          <w:sz w:val="20"/>
          <w:szCs w:val="20"/>
          <w:color w:val="auto"/>
        </w:rPr>
      </w:pPr>
      <w:r>
        <w:rPr>
          <w:rFonts w:ascii="Arial" w:cs="Arial" w:eastAsia="Arial" w:hAnsi="Arial"/>
          <w:sz w:val="18"/>
          <w:szCs w:val="18"/>
          <w:color w:val="auto"/>
        </w:rPr>
        <w:t>which percentage will be based upon the achievement of certain clinical milestones. The Company has not entered into any sublicenses related to the CD33 License Agreement.</w:t>
      </w:r>
    </w:p>
    <w:p>
      <w:pPr>
        <w:spacing w:after="0" w:line="184" w:lineRule="exact"/>
        <w:rPr>
          <w:sz w:val="20"/>
          <w:szCs w:val="20"/>
          <w:color w:val="auto"/>
        </w:rPr>
      </w:pPr>
    </w:p>
    <w:p>
      <w:pPr>
        <w:ind w:left="20" w:right="39" w:firstLine="648"/>
        <w:spacing w:after="0" w:line="217" w:lineRule="exact"/>
        <w:rPr>
          <w:sz w:val="20"/>
          <w:szCs w:val="20"/>
          <w:color w:val="auto"/>
        </w:rPr>
      </w:pPr>
      <w:r>
        <w:rPr>
          <w:rFonts w:ascii="Arial" w:cs="Arial" w:eastAsia="Arial" w:hAnsi="Arial"/>
          <w:sz w:val="17"/>
          <w:szCs w:val="17"/>
          <w:color w:val="auto"/>
        </w:rPr>
        <w:t>In 2017, the total milestone obligations expensed under the CD33 License Agreement with MSK was $550,000, all of which related to clinical milestones. Such clinical milestone obligations become due either based upon the passage of time or achievement of the related milestone activities. None of these clinical milestone obligations were paid in 2017 or 2018, and the total amount of $550,000 was recorded as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as of December 31, 2018 and December 31, 2017. These milestone</w:t>
      </w:r>
      <w:r>
        <w:rPr>
          <w:rFonts w:ascii="MS PGothic" w:cs="MS PGothic" w:eastAsia="MS PGothic" w:hAnsi="MS PGothic"/>
          <w:sz w:val="17"/>
          <w:szCs w:val="17"/>
          <w:color w:val="auto"/>
        </w:rPr>
        <w:t>‑</w:t>
      </w:r>
      <w:r>
        <w:rPr>
          <w:rFonts w:ascii="Arial" w:cs="Arial" w:eastAsia="Arial" w:hAnsi="Arial"/>
          <w:sz w:val="17"/>
          <w:szCs w:val="17"/>
          <w:color w:val="auto"/>
        </w:rPr>
        <w:t>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w:t>
      </w:r>
      <w:r>
        <w:rPr>
          <w:rFonts w:ascii="MS PGothic" w:cs="MS PGothic" w:eastAsia="MS PGothic" w:hAnsi="MS PGothic"/>
          <w:sz w:val="17"/>
          <w:szCs w:val="17"/>
          <w:color w:val="auto"/>
        </w:rPr>
        <w:t>‑</w:t>
      </w:r>
      <w:r>
        <w:rPr>
          <w:rFonts w:ascii="Arial" w:cs="Arial" w:eastAsia="Arial" w:hAnsi="Arial"/>
          <w:sz w:val="17"/>
          <w:szCs w:val="17"/>
          <w:color w:val="auto"/>
        </w:rPr>
        <w:t>based milestone payments and minimum royalty payments, certain of which also contain time</w:t>
      </w:r>
      <w:r>
        <w:rPr>
          <w:rFonts w:ascii="MS PGothic" w:cs="MS PGothic" w:eastAsia="MS PGothic" w:hAnsi="MS PGothic"/>
          <w:sz w:val="17"/>
          <w:szCs w:val="17"/>
          <w:color w:val="auto"/>
        </w:rPr>
        <w:t>‑</w:t>
      </w:r>
      <w:r>
        <w:rPr>
          <w:rFonts w:ascii="Arial" w:cs="Arial" w:eastAsia="Arial" w:hAnsi="Arial"/>
          <w:sz w:val="17"/>
          <w:szCs w:val="17"/>
          <w:color w:val="auto"/>
        </w:rPr>
        <w:t>based payment requirements, were probable. Given the uncertainty associated with research and development and the Company’s ability to cancel the CD33 License Agreement, such obligations were determined not to be probable as of December 31, 2018 and December 31, 2017 and therefore have not been accrued.</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left="20" w:right="19" w:firstLine="648"/>
        <w:spacing w:after="0" w:line="217" w:lineRule="exact"/>
        <w:rPr>
          <w:sz w:val="20"/>
          <w:szCs w:val="20"/>
          <w:color w:val="auto"/>
        </w:rPr>
      </w:pPr>
      <w:r>
        <w:rPr>
          <w:rFonts w:ascii="Arial" w:cs="Arial" w:eastAsia="Arial" w:hAnsi="Arial"/>
          <w:sz w:val="16"/>
          <w:szCs w:val="16"/>
          <w:color w:val="auto"/>
        </w:rPr>
        <w:t>On June 27, 2018, we entered into a sublicense agreement with MabVax Therapeutics Holding, Inc (“MabVax”) pursuant to which MabVax has sublicensed to the Company certain of MabVax’s patent rights and know</w:t>
      </w:r>
      <w:r>
        <w:rPr>
          <w:rFonts w:ascii="MS PGothic" w:cs="MS PGothic" w:eastAsia="MS PGothic" w:hAnsi="MS PGothic"/>
          <w:sz w:val="16"/>
          <w:szCs w:val="16"/>
          <w:color w:val="auto"/>
        </w:rPr>
        <w:t>‑</w:t>
      </w:r>
      <w:r>
        <w:rPr>
          <w:rFonts w:ascii="Arial" w:cs="Arial" w:eastAsia="Arial" w:hAnsi="Arial"/>
          <w:sz w:val="16"/>
          <w:szCs w:val="16"/>
          <w:color w:val="auto"/>
        </w:rPr>
        <w:t>how for development and commercialization of products for the prevention or treatment of neuroblastoma by means of administering a bi</w:t>
      </w:r>
      <w:r>
        <w:rPr>
          <w:rFonts w:ascii="MS PGothic" w:cs="MS PGothic" w:eastAsia="MS PGothic" w:hAnsi="MS PGothic"/>
          <w:sz w:val="16"/>
          <w:szCs w:val="16"/>
          <w:color w:val="auto"/>
        </w:rPr>
        <w:t>‑</w:t>
      </w:r>
      <w:r>
        <w:rPr>
          <w:rFonts w:ascii="Arial" w:cs="Arial" w:eastAsia="Arial" w:hAnsi="Arial"/>
          <w:sz w:val="16"/>
          <w:szCs w:val="16"/>
          <w:color w:val="auto"/>
        </w:rPr>
        <w:t>valent ganglioside vaccine, granted to MabVax pursuant to an exclusive license agreement between MabVax and MSK. Under the sublicense agreement, the Company has paid a license fee of $700,000 to MabVax and will pay an additional $600,000 at the first anniversary of the sublicense agreement. The initial license fee of $700,000 was expensed and paid upon execution of the agreement and the continuation fee of $600,000 was accrued in 2018. The Company has agreed to become solely responsible for future amounts payable to MSK and to handle other of MabVax’ obligations applicable to the licensed indication towards MSK. This includes the obligation to pay development milestones totaling $1,400,000 and mid single</w:t>
      </w:r>
      <w:r>
        <w:rPr>
          <w:rFonts w:ascii="MS PGothic" w:cs="MS PGothic" w:eastAsia="MS PGothic" w:hAnsi="MS PGothic"/>
          <w:sz w:val="16"/>
          <w:szCs w:val="16"/>
          <w:color w:val="auto"/>
        </w:rPr>
        <w:t>‑</w:t>
      </w:r>
      <w:r>
        <w:rPr>
          <w:rFonts w:ascii="Arial" w:cs="Arial" w:eastAsia="Arial" w:hAnsi="Arial"/>
          <w:sz w:val="16"/>
          <w:szCs w:val="16"/>
          <w:color w:val="auto"/>
        </w:rPr>
        <w:t>digit royalty payments to MSK. Research and development is inherently uncertain and as described above, should such research and development fail, the MabVax sublicense agreement is cancelable at the Company’s option. The Company considered risks as well as each party’s termination rights under the MabVax sublicense agreement when considering whether any milestone payments and minimum royalty payments were probable. Given the uncertainty associated with research and development and the Company’s ability to cancel the MabVax sublicense agreement, such obligations were determined not to be probable as of December 31, 2018 and therefore have not been accrued.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left="20" w:right="159" w:firstLine="648"/>
        <w:spacing w:after="0" w:line="259" w:lineRule="auto"/>
        <w:rPr>
          <w:sz w:val="20"/>
          <w:szCs w:val="20"/>
          <w:color w:val="auto"/>
        </w:rPr>
      </w:pPr>
      <w:r>
        <w:rPr>
          <w:rFonts w:ascii="Arial" w:cs="Arial" w:eastAsia="Arial" w:hAnsi="Arial"/>
          <w:sz w:val="18"/>
          <w:szCs w:val="18"/>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Agreement. During 2018 and 2017, we incurred research and development expenses of $1,192,000 and $1,160,000, respectively, under the SRA.</w:t>
      </w:r>
    </w:p>
    <w:p>
      <w:pPr>
        <w:spacing w:after="0" w:line="187" w:lineRule="exact"/>
        <w:rPr>
          <w:sz w:val="20"/>
          <w:szCs w:val="20"/>
          <w:color w:val="auto"/>
        </w:rPr>
      </w:pPr>
    </w:p>
    <w:p>
      <w:pPr>
        <w:ind w:left="20" w:right="39" w:firstLine="648"/>
        <w:spacing w:after="0" w:line="219" w:lineRule="exact"/>
        <w:rPr>
          <w:sz w:val="20"/>
          <w:szCs w:val="20"/>
          <w:color w:val="auto"/>
        </w:rPr>
      </w:pPr>
      <w:r>
        <w:rPr>
          <w:rFonts w:ascii="Arial" w:cs="Arial" w:eastAsia="Arial" w:hAnsi="Arial"/>
          <w:sz w:val="17"/>
          <w:szCs w:val="17"/>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 transferring clinical data, databases, regulatory files and other know</w:t>
      </w:r>
      <w:r>
        <w:rPr>
          <w:rFonts w:ascii="MS PGothic" w:cs="MS PGothic" w:eastAsia="MS PGothic" w:hAnsi="MS PGothic"/>
          <w:sz w:val="17"/>
          <w:szCs w:val="17"/>
          <w:color w:val="auto"/>
        </w:rPr>
        <w:t>‑</w:t>
      </w:r>
      <w:r>
        <w:rPr>
          <w:rFonts w:ascii="Arial" w:cs="Arial" w:eastAsia="Arial" w:hAnsi="Arial"/>
          <w:sz w:val="17"/>
          <w:szCs w:val="17"/>
          <w:color w:val="auto"/>
        </w:rPr>
        <w:t>how included in the MSK License Agreement to the Company. On October 11, 2017 the MDSA was amended to increase the resources to approximately three full time employees. During 2018 and 2017, we incurred expenses of $396,000 and $357,000, respectively, under the MDSA.</w:t>
      </w:r>
    </w:p>
    <w:p>
      <w:pPr>
        <w:spacing w:after="0" w:line="203" w:lineRule="exact"/>
        <w:rPr>
          <w:sz w:val="20"/>
          <w:szCs w:val="20"/>
          <w:color w:val="auto"/>
        </w:rPr>
      </w:pPr>
    </w:p>
    <w:p>
      <w:pPr>
        <w:ind w:left="20" w:right="99" w:firstLine="648"/>
        <w:spacing w:after="0" w:line="259" w:lineRule="auto"/>
        <w:rPr>
          <w:sz w:val="20"/>
          <w:szCs w:val="20"/>
          <w:color w:val="auto"/>
        </w:rPr>
      </w:pPr>
      <w:r>
        <w:rPr>
          <w:rFonts w:ascii="Arial" w:cs="Arial" w:eastAsia="Arial" w:hAnsi="Arial"/>
          <w:sz w:val="18"/>
          <w:szCs w:val="18"/>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 year period. During 2018 and 2017, we incurred research and development expenses of $3,043,000 and $725,000, respectively, under the CTA.</w:t>
      </w:r>
    </w:p>
    <w:p>
      <w:pPr>
        <w:spacing w:after="0" w:line="187" w:lineRule="exact"/>
        <w:rPr>
          <w:sz w:val="20"/>
          <w:szCs w:val="20"/>
          <w:color w:val="auto"/>
        </w:rPr>
      </w:pPr>
    </w:p>
    <w:p>
      <w:pPr>
        <w:jc w:val="both"/>
        <w:ind w:left="20" w:right="139" w:firstLine="648"/>
        <w:spacing w:after="0" w:line="312" w:lineRule="auto"/>
        <w:rPr>
          <w:sz w:val="20"/>
          <w:szCs w:val="20"/>
          <w:color w:val="auto"/>
        </w:rPr>
      </w:pPr>
      <w:r>
        <w:rPr>
          <w:rFonts w:ascii="Arial" w:cs="Arial" w:eastAsia="Arial" w:hAnsi="Arial"/>
          <w:sz w:val="16"/>
          <w:szCs w:val="16"/>
          <w:color w:val="auto"/>
        </w:rPr>
        <w:t>On June 27, 2017, we entered into two separate core facility service agreements, which we refer to as the CFSAs, with MSK pursuant to which we committed to obtaining certain laboratory services from MSK. During 2018 and 2017, we incurred research and development expenses of $325,000 and $195,000, respectively, under the CFSAs.</w:t>
      </w:r>
    </w:p>
    <w:p>
      <w:pPr>
        <w:spacing w:after="0" w:line="147" w:lineRule="exact"/>
        <w:rPr>
          <w:sz w:val="20"/>
          <w:szCs w:val="20"/>
          <w:color w:val="auto"/>
        </w:rPr>
      </w:pPr>
    </w:p>
    <w:p>
      <w:pPr>
        <w:ind w:left="20" w:right="59" w:firstLine="648"/>
        <w:spacing w:after="0" w:line="219" w:lineRule="exact"/>
        <w:rPr>
          <w:sz w:val="20"/>
          <w:szCs w:val="20"/>
          <w:color w:val="auto"/>
        </w:rPr>
      </w:pPr>
      <w:r>
        <w:rPr>
          <w:rFonts w:ascii="Arial" w:cs="Arial" w:eastAsia="Arial" w:hAnsi="Arial"/>
          <w:sz w:val="17"/>
          <w:szCs w:val="17"/>
          <w:color w:val="auto"/>
        </w:rPr>
        <w:t>On November 13, 2017, we entered into a CD33</w:t>
      </w:r>
      <w:r>
        <w:rPr>
          <w:rFonts w:ascii="MS PGothic" w:cs="MS PGothic" w:eastAsia="MS PGothic" w:hAnsi="MS PGothic"/>
          <w:sz w:val="17"/>
          <w:szCs w:val="17"/>
          <w:color w:val="auto"/>
        </w:rPr>
        <w:t>‑</w:t>
      </w:r>
      <w:r>
        <w:rPr>
          <w:rFonts w:ascii="Arial" w:cs="Arial" w:eastAsia="Arial" w:hAnsi="Arial"/>
          <w:sz w:val="17"/>
          <w:szCs w:val="17"/>
          <w:color w:val="auto"/>
        </w:rPr>
        <w:t>sponsored research agreement, which we refer to as the CD33</w:t>
      </w:r>
      <w:r>
        <w:rPr>
          <w:rFonts w:ascii="MS PGothic" w:cs="MS PGothic" w:eastAsia="MS PGothic" w:hAnsi="MS PGothic"/>
          <w:sz w:val="17"/>
          <w:szCs w:val="17"/>
          <w:color w:val="auto"/>
        </w:rPr>
        <w:t>‑</w:t>
      </w:r>
      <w:r>
        <w:rPr>
          <w:rFonts w:ascii="Arial" w:cs="Arial" w:eastAsia="Arial" w:hAnsi="Arial"/>
          <w:sz w:val="17"/>
          <w:szCs w:val="17"/>
          <w:color w:val="auto"/>
        </w:rPr>
        <w:t>SRA, with MSK pursuant to which we agreed to pay MSK to provide research services over a period of two years related to the intellectual property licensed under the CD33 License Agreement. During the second half of 2017, we incurred research and development expenses of $88,000 under the CD33</w:t>
      </w:r>
      <w:r>
        <w:rPr>
          <w:rFonts w:ascii="MS PGothic" w:cs="MS PGothic" w:eastAsia="MS PGothic" w:hAnsi="MS PGothic"/>
          <w:sz w:val="17"/>
          <w:szCs w:val="17"/>
          <w:color w:val="auto"/>
        </w:rPr>
        <w:t>‑</w:t>
      </w:r>
      <w:r>
        <w:rPr>
          <w:rFonts w:ascii="Arial" w:cs="Arial" w:eastAsia="Arial" w:hAnsi="Arial"/>
          <w:sz w:val="17"/>
          <w:szCs w:val="17"/>
          <w:color w:val="auto"/>
        </w:rPr>
        <w:t>SRA. During 2018 and 2017, we incurred research and development expenses of $670,000 and $88,000, respectively, under the CD33-SRA.</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20" w:right="19" w:firstLine="648"/>
        <w:spacing w:after="0" w:line="220" w:lineRule="exact"/>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The term of the lease is five years from the date the Company begins to occupy the premises. Fixed rent payable under the lease is approximately $384,000 per annum and is payable in equal monthly installments of approximately $32,000, which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w:t>
      </w:r>
    </w:p>
    <w:p>
      <w:pPr>
        <w:spacing w:after="0" w:line="204" w:lineRule="exact"/>
        <w:rPr>
          <w:sz w:val="20"/>
          <w:szCs w:val="20"/>
          <w:color w:val="auto"/>
        </w:rPr>
      </w:pPr>
    </w:p>
    <w:p>
      <w:pPr>
        <w:ind w:left="20" w:right="79" w:firstLine="648"/>
        <w:spacing w:after="0" w:line="220" w:lineRule="exact"/>
        <w:rPr>
          <w:sz w:val="20"/>
          <w:szCs w:val="20"/>
          <w:color w:val="auto"/>
        </w:rPr>
      </w:pPr>
      <w:r>
        <w:rPr>
          <w:rFonts w:ascii="Arial" w:cs="Arial" w:eastAsia="Arial" w:hAnsi="Arial"/>
          <w:sz w:val="16"/>
          <w:szCs w:val="16"/>
          <w:color w:val="auto"/>
        </w:rPr>
        <w:t>Additionally, the Company entered a three</w:t>
      </w:r>
      <w:r>
        <w:rPr>
          <w:rFonts w:ascii="MS PGothic" w:cs="MS PGothic" w:eastAsia="MS PGothic" w:hAnsi="MS PGothic"/>
          <w:sz w:val="16"/>
          <w:szCs w:val="16"/>
          <w:color w:val="auto"/>
        </w:rPr>
        <w:t>‑</w:t>
      </w:r>
      <w:r>
        <w:rPr>
          <w:rFonts w:ascii="Arial" w:cs="Arial" w:eastAsia="Arial" w:hAnsi="Arial"/>
          <w:sz w:val="16"/>
          <w:szCs w:val="16"/>
          <w:color w:val="auto"/>
        </w:rPr>
        <w:t>year lease agreement for the lease of certain office space in Denmark in February 2018, as amended in November 2018 and February 2019. The lease is payable in monthly installments of approximately $19,000, which are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Until the end of March 2018, the Company, has maintained a lease for certain office space in Denmark as further described in footnote 9, Related Party Transactions.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jc w:val="both"/>
        <w:ind w:left="20" w:right="119" w:firstLine="648"/>
        <w:spacing w:after="0" w:line="342" w:lineRule="auto"/>
        <w:rPr>
          <w:sz w:val="20"/>
          <w:szCs w:val="20"/>
          <w:color w:val="auto"/>
        </w:rPr>
      </w:pPr>
      <w:r>
        <w:rPr>
          <w:rFonts w:ascii="Arial" w:cs="Arial" w:eastAsia="Arial" w:hAnsi="Arial"/>
          <w:sz w:val="16"/>
          <w:szCs w:val="16"/>
          <w:color w:val="auto"/>
        </w:rPr>
        <w:t>As of December 31, 2018, the Company has authorized a total of 105,500,000 shares, 100,000,000 of which are to be common stock, par value $0.0001 per stock, and 5,500,000 of which are to preferred stock, par value $0.0001 per share.</w:t>
      </w:r>
    </w:p>
    <w:p>
      <w:pPr>
        <w:spacing w:after="0" w:line="124" w:lineRule="exact"/>
        <w:rPr>
          <w:sz w:val="20"/>
          <w:szCs w:val="20"/>
          <w:color w:val="auto"/>
        </w:rPr>
      </w:pPr>
    </w:p>
    <w:p>
      <w:pPr>
        <w:ind w:left="20" w:right="79" w:firstLine="648"/>
        <w:spacing w:after="0" w:line="342" w:lineRule="auto"/>
        <w:rPr>
          <w:sz w:val="20"/>
          <w:szCs w:val="20"/>
          <w:color w:val="auto"/>
        </w:rPr>
      </w:pPr>
      <w:r>
        <w:rPr>
          <w:rFonts w:ascii="Arial" w:cs="Arial" w:eastAsia="Arial" w:hAnsi="Arial"/>
          <w:sz w:val="16"/>
          <w:szCs w:val="16"/>
          <w:color w:val="auto"/>
        </w:rPr>
        <w:t>As of December 31, 2017, the Company has authorized a total of 55,500,000 shares, 50,000,000 of which are to be common stock, par value $0.0001 per stock, and 5,500,000 of which are to preferred stock, par value $0.0001 per share.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20" w:right="19"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34,193,666 shares of its common stock as of December 31, 2018 and 26,749,666 shares of its common stock as of December 31, 2017.</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20" w:right="419" w:firstLine="648"/>
        <w:spacing w:after="0" w:line="312"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2018 or December 31, 2017.</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Issuances of common stock for MSK License Agreement</w:t>
      </w:r>
    </w:p>
    <w:p>
      <w:pPr>
        <w:spacing w:after="0" w:line="225" w:lineRule="exact"/>
        <w:rPr>
          <w:sz w:val="20"/>
          <w:szCs w:val="20"/>
          <w:color w:val="auto"/>
        </w:rPr>
      </w:pPr>
    </w:p>
    <w:p>
      <w:pPr>
        <w:ind w:left="20" w:right="39" w:firstLine="648"/>
        <w:spacing w:after="0" w:line="217" w:lineRule="exact"/>
        <w:rPr>
          <w:sz w:val="20"/>
          <w:szCs w:val="20"/>
          <w:color w:val="auto"/>
        </w:rPr>
      </w:pPr>
      <w:r>
        <w:rPr>
          <w:rFonts w:ascii="Arial" w:cs="Arial" w:eastAsia="Arial" w:hAnsi="Arial"/>
          <w:sz w:val="17"/>
          <w:szCs w:val="17"/>
          <w:color w:val="auto"/>
        </w:rPr>
        <w:t>In connection with the MSK License Agreement, in August 2015 we issued to MSK 1,428,500 shares of our common stock. We also agreed to provide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In 2016, our aggregate equity financing reached $25,000,000 since inception, and we issued to MSK an additional 999,929 shares of our common stock in order to maintain MSK’s 12.5% ownership of the Company. The additional shares were issued at the estimated fair market value of such shares at the time of issuance of $4.38 per share, and the total value of $4,380,000 was charged to expense in the period when the anti</w:t>
      </w:r>
      <w:r>
        <w:rPr>
          <w:rFonts w:ascii="MS PGothic" w:cs="MS PGothic" w:eastAsia="MS PGothic" w:hAnsi="MS PGothic"/>
          <w:sz w:val="17"/>
          <w:szCs w:val="17"/>
          <w:color w:val="auto"/>
        </w:rPr>
        <w:t>‑</w:t>
      </w:r>
      <w:r>
        <w:rPr>
          <w:rFonts w:ascii="Arial" w:cs="Arial" w:eastAsia="Arial" w:hAnsi="Arial"/>
          <w:sz w:val="17"/>
          <w:szCs w:val="17"/>
          <w:color w:val="auto"/>
        </w:rPr>
        <w:t>dilution rights were triggered, with $2,280,000 recognized in 2016. Subsequent to the issuance of such shares and upon achievement of the financing requirement, there are no further anti</w:t>
      </w:r>
      <w:r>
        <w:rPr>
          <w:rFonts w:ascii="MS PGothic" w:cs="MS PGothic" w:eastAsia="MS PGothic" w:hAnsi="MS PGothic"/>
          <w:sz w:val="17"/>
          <w:szCs w:val="17"/>
          <w:color w:val="auto"/>
        </w:rPr>
        <w:t>‑</w:t>
      </w:r>
      <w:r>
        <w:rPr>
          <w:rFonts w:ascii="Arial" w:cs="Arial" w:eastAsia="Arial" w:hAnsi="Arial"/>
          <w:sz w:val="17"/>
          <w:szCs w:val="17"/>
          <w:color w:val="auto"/>
        </w:rPr>
        <w:t>dilution rights due to MSK.</w:t>
      </w:r>
    </w:p>
    <w:p>
      <w:pPr>
        <w:spacing w:after="0" w:line="210"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b w:val="1"/>
          <w:bCs w:val="1"/>
          <w:i w:val="1"/>
          <w:iCs w:val="1"/>
          <w:color w:val="auto"/>
        </w:rPr>
        <w:t>Stock grant agreements with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left="20" w:right="59" w:firstLine="648"/>
        <w:spacing w:after="0" w:line="217" w:lineRule="exact"/>
        <w:rPr>
          <w:sz w:val="20"/>
          <w:szCs w:val="20"/>
          <w:color w:val="auto"/>
        </w:rPr>
      </w:pPr>
      <w:r>
        <w:rPr>
          <w:rFonts w:ascii="Arial" w:cs="Arial" w:eastAsia="Arial" w:hAnsi="Arial"/>
          <w:sz w:val="16"/>
          <w:szCs w:val="16"/>
          <w:color w:val="auto"/>
        </w:rPr>
        <w:t>In August 2015, we entered into certain stock grant agreements with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We agreed to issue a total of 2,800,000 shares to two non</w:t>
      </w:r>
      <w:r>
        <w:rPr>
          <w:rFonts w:ascii="MS PGothic" w:cs="MS PGothic" w:eastAsia="MS PGothic" w:hAnsi="MS PGothic"/>
          <w:sz w:val="16"/>
          <w:szCs w:val="16"/>
          <w:color w:val="auto"/>
        </w:rPr>
        <w:t>‑</w:t>
      </w:r>
      <w:r>
        <w:rPr>
          <w:rFonts w:ascii="Arial" w:cs="Arial" w:eastAsia="Arial" w:hAnsi="Arial"/>
          <w:sz w:val="16"/>
          <w:szCs w:val="16"/>
          <w:color w:val="auto"/>
        </w:rPr>
        <w:t>employee physicians who were involved in the development of technology licensed from MSK in consideration for their prior service. These two physicians were employees of MSK on the date of grant. The shares are released according to a vesting schedule. A total of 560,000 shares were issued in 2015, with a total of 448,000 shares issued in each of 2016 and 2017. In 2018 a total of 448,000 shares were issued to the two researchers, and upon completion of the IPO we issued an additional 96,000 shares such that one of the two grants was fully issued. The issuance was made pursuant to a stock grant agreement and did not result in proceeds to the Company. A total of 400,000 shares are to be issued in each of 2019 and 2020 to one non-employee physician, subject to certain conditions, such that the total grant will have been issued. The total award was expensed at its estimated fair value in 2015, as no future service was required to continue to vest in and receive the shares of common stock. In August 2016, the Company repurchased and retired a total of 83,600 shares from the two non</w:t>
      </w:r>
      <w:r>
        <w:rPr>
          <w:rFonts w:ascii="MS PGothic" w:cs="MS PGothic" w:eastAsia="MS PGothic" w:hAnsi="MS PGothic"/>
          <w:sz w:val="16"/>
          <w:szCs w:val="16"/>
          <w:color w:val="auto"/>
        </w:rPr>
        <w:t>‑</w:t>
      </w:r>
      <w:r>
        <w:rPr>
          <w:rFonts w:ascii="Arial" w:cs="Arial" w:eastAsia="Arial" w:hAnsi="Arial"/>
          <w:sz w:val="16"/>
          <w:szCs w:val="16"/>
          <w:color w:val="auto"/>
        </w:rPr>
        <w:t>employees of the Company at an amount equal to the estimated fair value of $4.38 per share. The transaction reduced the Company’s shareholders’ equity by $366,000.</w:t>
      </w:r>
    </w:p>
    <w:p>
      <w:pPr>
        <w:spacing w:after="0" w:line="206" w:lineRule="exact"/>
        <w:rPr>
          <w:sz w:val="20"/>
          <w:szCs w:val="20"/>
          <w:color w:val="auto"/>
        </w:rPr>
      </w:pPr>
    </w:p>
    <w:p>
      <w:pPr>
        <w:ind w:left="20" w:right="19" w:firstLine="648"/>
        <w:spacing w:after="0" w:line="218" w:lineRule="exact"/>
        <w:rPr>
          <w:sz w:val="20"/>
          <w:szCs w:val="20"/>
          <w:color w:val="auto"/>
        </w:rPr>
      </w:pPr>
      <w:r>
        <w:rPr>
          <w:rFonts w:ascii="Arial" w:cs="Arial" w:eastAsia="Arial" w:hAnsi="Arial"/>
          <w:sz w:val="16"/>
          <w:szCs w:val="16"/>
          <w:color w:val="auto"/>
        </w:rPr>
        <w:t>In April 2018, the Company granted 72,373 common stock options to a non</w:t>
      </w:r>
      <w:r>
        <w:rPr>
          <w:rFonts w:ascii="MS PGothic" w:cs="MS PGothic" w:eastAsia="MS PGothic" w:hAnsi="MS PGothic"/>
          <w:sz w:val="16"/>
          <w:szCs w:val="16"/>
          <w:color w:val="auto"/>
        </w:rPr>
        <w:t>‑</w:t>
      </w:r>
      <w:r>
        <w:rPr>
          <w:rFonts w:ascii="Arial" w:cs="Arial" w:eastAsia="Arial" w:hAnsi="Arial"/>
          <w:sz w:val="16"/>
          <w:szCs w:val="16"/>
          <w:color w:val="auto"/>
        </w:rPr>
        <w:t>employee physician employed by MSK under our 2015 Equity Incentive Plan (the 2015 Plan). The options become exercisable over a four</w:t>
      </w:r>
      <w:r>
        <w:rPr>
          <w:rFonts w:ascii="MS PGothic" w:cs="MS PGothic" w:eastAsia="MS PGothic" w:hAnsi="MS PGothic"/>
          <w:sz w:val="16"/>
          <w:szCs w:val="16"/>
          <w:color w:val="auto"/>
        </w:rPr>
        <w:t>‑</w:t>
      </w:r>
      <w:r>
        <w:rPr>
          <w:rFonts w:ascii="Arial" w:cs="Arial" w:eastAsia="Arial" w:hAnsi="Arial"/>
          <w:sz w:val="16"/>
          <w:szCs w:val="16"/>
          <w:color w:val="auto"/>
        </w:rPr>
        <w:t>year period, with the first twenty</w:t>
      </w:r>
      <w:r>
        <w:rPr>
          <w:rFonts w:ascii="MS PGothic" w:cs="MS PGothic" w:eastAsia="MS PGothic" w:hAnsi="MS PGothic"/>
          <w:sz w:val="16"/>
          <w:szCs w:val="16"/>
          <w:color w:val="auto"/>
        </w:rPr>
        <w:t>‑</w:t>
      </w:r>
      <w:r>
        <w:rPr>
          <w:rFonts w:ascii="Arial" w:cs="Arial" w:eastAsia="Arial" w:hAnsi="Arial"/>
          <w:sz w:val="16"/>
          <w:szCs w:val="16"/>
          <w:color w:val="auto"/>
        </w:rPr>
        <w:t>five percent (25%) exercisable twelve (months) from the date of grant and the remainder becoming exercisable ratably each month over the three years thereafter. The contractual term of the option award is 10 years from the date of grant. The total award was expensed at its estimated fair value in April 2018, as no future service was required by the non</w:t>
      </w:r>
      <w:r>
        <w:rPr>
          <w:rFonts w:ascii="MS PGothic" w:cs="MS PGothic" w:eastAsia="MS PGothic" w:hAnsi="MS PGothic"/>
          <w:sz w:val="16"/>
          <w:szCs w:val="16"/>
          <w:color w:val="auto"/>
        </w:rPr>
        <w:t>‑</w:t>
      </w:r>
      <w:r>
        <w:rPr>
          <w:rFonts w:ascii="Arial" w:cs="Arial" w:eastAsia="Arial" w:hAnsi="Arial"/>
          <w:sz w:val="16"/>
          <w:szCs w:val="16"/>
          <w:color w:val="auto"/>
        </w:rPr>
        <w:t>employee to continue to vest in the option grant. The shares will become immediately exercisable upon the occurrence of a change in control, as defined in the 2015 Plan as further described in footnote 8, Stock Options.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left="20" w:right="379" w:firstLine="648"/>
        <w:spacing w:after="0" w:line="342" w:lineRule="auto"/>
        <w:rPr>
          <w:sz w:val="20"/>
          <w:szCs w:val="20"/>
          <w:color w:val="auto"/>
        </w:rPr>
      </w:pPr>
      <w:r>
        <w:rPr>
          <w:rFonts w:ascii="Arial" w:cs="Arial" w:eastAsia="Arial" w:hAnsi="Arial"/>
          <w:sz w:val="16"/>
          <w:szCs w:val="16"/>
          <w:color w:val="auto"/>
        </w:rPr>
        <w:t>In September 2018, we completed an initial public offering and issued 6,900,000 shares of Common Stock at a purchase price of $16.00 per share for an aggregate consideration of $99,507,000, net of issuance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54" w:name="page155"/>
    <w:bookmarkEnd w:id="15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380" w:firstLine="648"/>
        <w:spacing w:after="0" w:line="277" w:lineRule="auto"/>
        <w:rPr>
          <w:sz w:val="20"/>
          <w:szCs w:val="20"/>
          <w:color w:val="auto"/>
        </w:rPr>
      </w:pPr>
      <w:r>
        <w:rPr>
          <w:rFonts w:ascii="Arial" w:cs="Arial" w:eastAsia="Arial" w:hAnsi="Arial"/>
          <w:sz w:val="18"/>
          <w:szCs w:val="18"/>
          <w:color w:val="auto"/>
        </w:rPr>
        <w:t>In November 2017, we issued 3,208,552 shares of Common Stock at a purchase price of $9.35 per share for an aggregate consideration of $28,887,000, net of issuance costs.</w:t>
      </w:r>
    </w:p>
    <w:p>
      <w:pPr>
        <w:spacing w:after="0" w:line="170" w:lineRule="exact"/>
        <w:rPr>
          <w:sz w:val="20"/>
          <w:szCs w:val="20"/>
          <w:color w:val="auto"/>
        </w:rPr>
      </w:pPr>
    </w:p>
    <w:p>
      <w:pPr>
        <w:ind w:left="20" w:right="560" w:firstLine="648"/>
        <w:spacing w:after="0" w:line="277" w:lineRule="auto"/>
        <w:rPr>
          <w:sz w:val="20"/>
          <w:szCs w:val="20"/>
          <w:color w:val="auto"/>
        </w:rPr>
      </w:pPr>
      <w:r>
        <w:rPr>
          <w:rFonts w:ascii="Arial" w:cs="Arial" w:eastAsia="Arial" w:hAnsi="Arial"/>
          <w:sz w:val="18"/>
          <w:szCs w:val="18"/>
          <w:color w:val="auto"/>
        </w:rPr>
        <w:t>In October 2017, we issued 5,347,568 shares of Common Stock at a purchase price of $9.35 per share for an aggregate consideration of $49,812,000, net of issuance costs.</w:t>
      </w:r>
    </w:p>
    <w:p>
      <w:pPr>
        <w:spacing w:after="0" w:line="170" w:lineRule="exact"/>
        <w:rPr>
          <w:sz w:val="20"/>
          <w:szCs w:val="20"/>
          <w:color w:val="auto"/>
        </w:rPr>
      </w:pPr>
    </w:p>
    <w:p>
      <w:pPr>
        <w:ind w:left="20" w:right="40" w:firstLine="648"/>
        <w:spacing w:after="0" w:line="277" w:lineRule="auto"/>
        <w:rPr>
          <w:sz w:val="20"/>
          <w:szCs w:val="20"/>
          <w:color w:val="auto"/>
        </w:rPr>
      </w:pPr>
      <w:r>
        <w:rPr>
          <w:rFonts w:ascii="Arial" w:cs="Arial" w:eastAsia="Arial" w:hAnsi="Arial"/>
          <w:sz w:val="18"/>
          <w:szCs w:val="18"/>
          <w:color w:val="auto"/>
        </w:rPr>
        <w:t>In January and February 2017, we issued 1,192,662 shares of Common Stock at a purchase price of $8.50 per share for an aggregate consideration of $10,137,000,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8—STOCK OPTIONS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20" w:firstLine="648"/>
        <w:spacing w:after="0" w:line="285" w:lineRule="auto"/>
        <w:rPr>
          <w:sz w:val="20"/>
          <w:szCs w:val="20"/>
          <w:color w:val="auto"/>
        </w:rPr>
      </w:pPr>
      <w:r>
        <w:rPr>
          <w:rFonts w:ascii="Arial" w:cs="Arial" w:eastAsia="Arial" w:hAnsi="Arial"/>
          <w:sz w:val="16"/>
          <w:szCs w:val="16"/>
          <w:color w:val="auto"/>
        </w:rPr>
        <w:t>Our board of directors and stockholders have approved and adopted the 2015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Plan. In addition, the number of shares available for issuance under the 2015 Plan will also include an annual increase on the first day of each fiscal year beginning in 2016, equal to 6%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over a four year period and generally become immediately exercisable upon the occurrence of a change in control, as defined. Upon the adoption of the 2018 Equity Incentive Plan in September 2018, no further grants are allowed under the 2015 Equity Incentive Plan.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20" w:right="100"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over a four year period and generally become immediately exercisable upon the occurrence of a change in control,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155" w:name="page156"/>
    <w:bookmarkEnd w:id="15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left="20" w:right="140" w:firstLine="648"/>
        <w:spacing w:after="0" w:line="218" w:lineRule="exact"/>
        <w:rPr>
          <w:sz w:val="20"/>
          <w:szCs w:val="20"/>
          <w:color w:val="auto"/>
        </w:rPr>
      </w:pPr>
      <w:r>
        <w:rPr>
          <w:rFonts w:ascii="Arial" w:cs="Arial" w:eastAsia="Arial" w:hAnsi="Arial"/>
          <w:sz w:val="17"/>
          <w:szCs w:val="17"/>
          <w:color w:val="auto"/>
        </w:rPr>
        <w:t>During the years ended December 31, 2018 and 2017,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stock option grants were $1,381,000 and $609,000, respectively, for options granted to employees. During 2018 the expenses were recorded as $276,000 in research and development expense and $1,105,000 in general and administrative expense. During 2017 the expenses were recorded as $167,000 in research and development expense and $442,000 in general and administrative expense. During the year ended December 31, 2018, stock-based compensation for stock option grants was $585,000 in research and development expense for options granted to non-employees. The Company did not grant any options to non</w:t>
      </w:r>
      <w:r>
        <w:rPr>
          <w:rFonts w:ascii="MS PGothic" w:cs="MS PGothic" w:eastAsia="MS PGothic" w:hAnsi="MS PGothic"/>
          <w:sz w:val="17"/>
          <w:szCs w:val="17"/>
          <w:color w:val="auto"/>
        </w:rPr>
        <w:t>‑</w:t>
      </w:r>
      <w:r>
        <w:rPr>
          <w:rFonts w:ascii="Arial" w:cs="Arial" w:eastAsia="Arial" w:hAnsi="Arial"/>
          <w:sz w:val="17"/>
          <w:szCs w:val="17"/>
          <w:color w:val="auto"/>
        </w:rPr>
        <w:t>employees during the year ended December 31, 2017.</w:t>
      </w:r>
    </w:p>
    <w:p>
      <w:pPr>
        <w:spacing w:after="0" w:line="206" w:lineRule="exact"/>
        <w:rPr>
          <w:sz w:val="20"/>
          <w:szCs w:val="20"/>
          <w:color w:val="auto"/>
        </w:rPr>
      </w:pPr>
    </w:p>
    <w:p>
      <w:pPr>
        <w:ind w:left="20" w:right="140" w:firstLine="64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tcPr>
          <w:p>
            <w:pPr>
              <w:jc w:val="right"/>
              <w:ind w:right="216"/>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December 31, 2018</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December 31, 2017</w:t>
            </w: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right="120" w:firstLine="648"/>
        <w:spacing w:after="0" w:line="223" w:lineRule="exact"/>
        <w:rPr>
          <w:sz w:val="20"/>
          <w:szCs w:val="20"/>
          <w:color w:val="auto"/>
        </w:rPr>
      </w:pPr>
      <w:r>
        <w:rPr>
          <w:rFonts w:ascii="Arial" w:cs="Arial" w:eastAsia="Arial" w:hAnsi="Arial"/>
          <w:sz w:val="18"/>
          <w:szCs w:val="18"/>
          <w:color w:val="auto"/>
        </w:rPr>
        <w:t>The assumptions that the Company used to determine the fair value of the stock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were as follows, presented on a weighted average basis: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36"/>
              <w:spacing w:after="0"/>
              <w:rPr>
                <w:sz w:val="20"/>
                <w:szCs w:val="20"/>
                <w:color w:val="auto"/>
              </w:rPr>
            </w:pPr>
            <w:r>
              <w:rPr>
                <w:rFonts w:ascii="Arial" w:cs="Arial" w:eastAsia="Arial" w:hAnsi="Arial"/>
                <w:sz w:val="14"/>
                <w:szCs w:val="14"/>
                <w:b w:val="1"/>
                <w:bCs w:val="1"/>
                <w:color w:val="auto"/>
                <w:w w:val="98"/>
              </w:rPr>
              <w:t>December 31, 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ind w:left="1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compensation expense for only the portion of awards that vest.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2017</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2,219,000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1,138,873</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16.56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2018</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3,357,873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2018</w:t>
            </w:r>
          </w:p>
        </w:tc>
        <w:tc>
          <w:tcPr>
            <w:tcW w:w="88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89"/>
              </w:rPr>
              <w:t>1,690,153</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29,303</w:t>
            </w: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right="40" w:firstLine="648"/>
        <w:spacing w:after="0" w:line="223" w:lineRule="exact"/>
        <w:rPr>
          <w:sz w:val="20"/>
          <w:szCs w:val="20"/>
          <w:color w:val="auto"/>
        </w:rPr>
      </w:pPr>
      <w:r>
        <w:rPr>
          <w:rFonts w:ascii="Arial" w:cs="Arial" w:eastAsia="Arial" w:hAnsi="Arial"/>
          <w:sz w:val="18"/>
          <w:szCs w:val="18"/>
          <w:color w:val="auto"/>
        </w:rPr>
        <w:t>The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stock options granted during the years ended December 31, 2018 and 2017 was $9.58 and $5.59 per share, respectively.</w:t>
      </w:r>
    </w:p>
    <w:p>
      <w:pPr>
        <w:spacing w:after="0" w:line="203" w:lineRule="exact"/>
        <w:rPr>
          <w:sz w:val="20"/>
          <w:szCs w:val="20"/>
          <w:color w:val="auto"/>
        </w:rPr>
      </w:pPr>
    </w:p>
    <w:p>
      <w:pPr>
        <w:ind w:left="20" w:right="60" w:firstLine="648"/>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1" w:lineRule="exact"/>
        <w:rPr>
          <w:sz w:val="20"/>
          <w:szCs w:val="20"/>
          <w:color w:val="auto"/>
        </w:rPr>
      </w:pPr>
    </w:p>
    <w:p>
      <w:pPr>
        <w:ind w:left="20" w:right="240" w:firstLine="648"/>
        <w:spacing w:after="0" w:line="277" w:lineRule="auto"/>
        <w:rPr>
          <w:sz w:val="20"/>
          <w:szCs w:val="20"/>
          <w:color w:val="auto"/>
        </w:rPr>
      </w:pPr>
      <w:r>
        <w:rPr>
          <w:rFonts w:ascii="Arial" w:cs="Arial" w:eastAsia="Arial" w:hAnsi="Arial"/>
          <w:sz w:val="18"/>
          <w:szCs w:val="18"/>
          <w:color w:val="auto"/>
        </w:rPr>
        <w:t>As of December 31, 2018, we had $10,848,000 of unrecognized compensation related to employee stock options that are expected to vest over a period of 2.82 years.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left="20" w:right="400" w:firstLine="648"/>
        <w:spacing w:after="0" w:line="277" w:lineRule="auto"/>
        <w:rPr>
          <w:sz w:val="20"/>
          <w:szCs w:val="20"/>
          <w:color w:val="auto"/>
        </w:rPr>
      </w:pPr>
      <w:r>
        <w:rPr>
          <w:rFonts w:ascii="Arial" w:cs="Arial" w:eastAsia="Arial" w:hAnsi="Arial"/>
          <w:sz w:val="18"/>
          <w:szCs w:val="18"/>
          <w:color w:val="auto"/>
        </w:rPr>
        <w:t>MSK is a shareholder of the Company and under the MSK License Agreement, the CD33 License Agreement, CTA, CFAs, SRA and MDSA, we have expensed costs in the total amount of $5,761,000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156" w:name="page157"/>
    <w:bookmarkEnd w:id="156"/>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19"/>
        <w:spacing w:after="0" w:line="259" w:lineRule="auto"/>
        <w:rPr>
          <w:sz w:val="20"/>
          <w:szCs w:val="20"/>
          <w:color w:val="auto"/>
        </w:rPr>
      </w:pPr>
      <w:r>
        <w:rPr>
          <w:rFonts w:ascii="Arial" w:cs="Arial" w:eastAsia="Arial" w:hAnsi="Arial"/>
          <w:sz w:val="18"/>
          <w:szCs w:val="18"/>
          <w:color w:val="auto"/>
        </w:rPr>
        <w:t>$3,730,000 in the years ended December 31, 2018 and 2017, respectively, for milestones, minimum royalties, research and development costs and patent activities. Please refer to footnote 6 for additional details on our various agreements with MSK. As of December 31, 2018 and 2017, we had a total of $4,475,000 and $4,587,000, respectively, recorded as accounts payable and accrued liabilities related to amounts due to MSK.</w:t>
      </w:r>
    </w:p>
    <w:p>
      <w:pPr>
        <w:spacing w:after="0" w:line="187" w:lineRule="exact"/>
        <w:rPr>
          <w:sz w:val="20"/>
          <w:szCs w:val="20"/>
          <w:color w:val="auto"/>
        </w:rPr>
      </w:pPr>
    </w:p>
    <w:p>
      <w:pPr>
        <w:ind w:left="20" w:right="99" w:firstLine="648"/>
        <w:spacing w:after="0" w:line="219" w:lineRule="exact"/>
        <w:rPr>
          <w:sz w:val="20"/>
          <w:szCs w:val="20"/>
          <w:color w:val="auto"/>
        </w:rPr>
      </w:pPr>
      <w:r>
        <w:rPr>
          <w:rFonts w:ascii="Arial" w:cs="Arial" w:eastAsia="Arial" w:hAnsi="Arial"/>
          <w:sz w:val="17"/>
          <w:szCs w:val="17"/>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The lease terminated in March 2018, when the Company moved to a new third</w:t>
      </w:r>
      <w:r>
        <w:rPr>
          <w:rFonts w:ascii="MS PGothic" w:cs="MS PGothic" w:eastAsia="MS PGothic" w:hAnsi="MS PGothic"/>
          <w:sz w:val="17"/>
          <w:szCs w:val="17"/>
          <w:color w:val="auto"/>
        </w:rPr>
        <w:t>‑</w:t>
      </w:r>
      <w:r>
        <w:rPr>
          <w:rFonts w:ascii="Arial" w:cs="Arial" w:eastAsia="Arial" w:hAnsi="Arial"/>
          <w:sz w:val="17"/>
          <w:szCs w:val="17"/>
          <w:color w:val="auto"/>
        </w:rPr>
        <w:t>party lease. In addition, the Company has reimbursed Weco Group for certain administrative expenses. The total expenses, including rent, equaled $44,000 and $88,000 during 2018 and 2017, respectively.</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For The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For The</w:t>
            </w:r>
          </w:p>
        </w:tc>
      </w:tr>
      <w:tr>
        <w:trPr>
          <w:trHeight w:val="149"/>
        </w:trPr>
        <w:tc>
          <w:tcPr>
            <w:tcW w:w="52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52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49"/>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2017</w:t>
            </w:r>
          </w:p>
        </w:tc>
      </w:tr>
      <w:tr>
        <w:trPr>
          <w:trHeight w:val="171"/>
        </w:trPr>
        <w:tc>
          <w:tcPr>
            <w:tcW w:w="5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(thousands)</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w:t>
            </w: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w:t>
            </w:r>
          </w:p>
        </w:tc>
      </w:tr>
    </w:tbl>
    <w:p>
      <w:pPr>
        <w:spacing w:after="0" w:line="202" w:lineRule="exact"/>
        <w:rPr>
          <w:sz w:val="20"/>
          <w:szCs w:val="20"/>
          <w:color w:val="auto"/>
        </w:rPr>
      </w:pPr>
    </w:p>
    <w:p>
      <w:pPr>
        <w:ind w:left="20" w:right="339" w:firstLine="648"/>
        <w:spacing w:after="0" w:line="277" w:lineRule="auto"/>
        <w:rPr>
          <w:sz w:val="20"/>
          <w:szCs w:val="20"/>
          <w:color w:val="auto"/>
        </w:rPr>
      </w:pPr>
      <w:r>
        <w:rPr>
          <w:rFonts w:ascii="Arial" w:cs="Arial" w:eastAsia="Arial" w:hAnsi="Arial"/>
          <w:sz w:val="18"/>
          <w:szCs w:val="18"/>
          <w:color w:val="auto"/>
        </w:rPr>
        <w:t>The Company provided no current and deferred income taxes on net losses of $(43,274,000) and $(19,161,000) for years ended December 31, 2018 and 2017, respectively.</w:t>
      </w:r>
    </w:p>
    <w:p>
      <w:pPr>
        <w:spacing w:after="0" w:line="170" w:lineRule="exact"/>
        <w:rPr>
          <w:sz w:val="20"/>
          <w:szCs w:val="20"/>
          <w:color w:val="auto"/>
        </w:rPr>
      </w:pPr>
    </w:p>
    <w:p>
      <w:pPr>
        <w:ind w:left="20" w:right="79" w:firstLine="648"/>
        <w:spacing w:after="0" w:line="218" w:lineRule="exact"/>
        <w:rPr>
          <w:sz w:val="20"/>
          <w:szCs w:val="20"/>
          <w:color w:val="auto"/>
        </w:rPr>
      </w:pPr>
      <w:r>
        <w:rPr>
          <w:rFonts w:ascii="Arial" w:cs="Arial" w:eastAsia="Arial" w:hAnsi="Arial"/>
          <w:sz w:val="16"/>
          <w:szCs w:val="16"/>
          <w:color w:val="auto"/>
        </w:rPr>
        <w:t>The Tax Cuts and Jobs Act (TCJA) was enacted on December 22, 2017. The TCJA contains significant changes to corporate taxation, including but not limited to, a reduction in the U.S. federal corporate tax rate from a top marginal rate of 35% to 21%, a one</w:t>
      </w:r>
      <w:r>
        <w:rPr>
          <w:rFonts w:ascii="MS PGothic" w:cs="MS PGothic" w:eastAsia="MS PGothic" w:hAnsi="MS PGothic"/>
          <w:sz w:val="16"/>
          <w:szCs w:val="16"/>
          <w:color w:val="auto"/>
        </w:rPr>
        <w:t>‑</w:t>
      </w:r>
      <w:r>
        <w:rPr>
          <w:rFonts w:ascii="Arial" w:cs="Arial" w:eastAsia="Arial" w:hAnsi="Arial"/>
          <w:sz w:val="16"/>
          <w:szCs w:val="16"/>
          <w:color w:val="auto"/>
        </w:rPr>
        <w:t>time mandatory transition tax on accumulated foreign earnings, limitation of the deduction for net operating losses to 80% of annual taxable income while providing that the net operating loss carryovers for years after 2017 will not expire, limitation on the amount of research and development expenses deductible per year beginning in years after 2021 and reduction of the Orphan Drug Credit from 50% to 25% of qualified clinical testing expenditures for years after 2017. The TCJA also made changes to the U.S. federal taxation of foreign earnings and to the timing of recognition of certain revenue and expenses and the deductibility of certain business expenses.</w:t>
      </w:r>
    </w:p>
    <w:p>
      <w:pPr>
        <w:spacing w:after="0" w:line="203" w:lineRule="exact"/>
        <w:rPr>
          <w:sz w:val="20"/>
          <w:szCs w:val="20"/>
          <w:color w:val="auto"/>
        </w:rPr>
      </w:pPr>
    </w:p>
    <w:p>
      <w:pPr>
        <w:ind w:left="20" w:right="179" w:firstLine="648"/>
        <w:spacing w:after="0" w:line="259" w:lineRule="auto"/>
        <w:rPr>
          <w:sz w:val="20"/>
          <w:szCs w:val="20"/>
          <w:color w:val="auto"/>
        </w:rPr>
      </w:pPr>
      <w:r>
        <w:rPr>
          <w:rFonts w:ascii="Arial" w:cs="Arial" w:eastAsia="Arial" w:hAnsi="Arial"/>
          <w:sz w:val="18"/>
          <w:szCs w:val="18"/>
          <w:color w:val="auto"/>
        </w:rPr>
        <w:t>In response to the TCJA, the staff of the Securities and Exchange Commission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TCJA.</w:t>
      </w:r>
    </w:p>
    <w:p>
      <w:pPr>
        <w:spacing w:after="0" w:line="187" w:lineRule="exact"/>
        <w:rPr>
          <w:sz w:val="20"/>
          <w:szCs w:val="20"/>
          <w:color w:val="auto"/>
        </w:rPr>
      </w:pPr>
    </w:p>
    <w:p>
      <w:pPr>
        <w:ind w:left="20" w:right="19" w:firstLine="648"/>
        <w:spacing w:after="0" w:line="218" w:lineRule="exact"/>
        <w:rPr>
          <w:sz w:val="20"/>
          <w:szCs w:val="20"/>
          <w:color w:val="auto"/>
        </w:rPr>
      </w:pPr>
      <w:r>
        <w:rPr>
          <w:rFonts w:ascii="Arial" w:cs="Arial" w:eastAsia="Arial" w:hAnsi="Arial"/>
          <w:sz w:val="17"/>
          <w:szCs w:val="17"/>
          <w:color w:val="auto"/>
        </w:rPr>
        <w:t>As a result of the TCJA being signed into law, the Company recognized a provisional charge of $4,394,000 in the fourth quarter of 2017 related to the re</w:t>
      </w:r>
      <w:r>
        <w:rPr>
          <w:rFonts w:ascii="MS PGothic" w:cs="MS PGothic" w:eastAsia="MS PGothic" w:hAnsi="MS PGothic"/>
          <w:sz w:val="17"/>
          <w:szCs w:val="17"/>
          <w:color w:val="auto"/>
        </w:rPr>
        <w:t>‑</w:t>
      </w:r>
      <w:r>
        <w:rPr>
          <w:rFonts w:ascii="Arial" w:cs="Arial" w:eastAsia="Arial" w:hAnsi="Arial"/>
          <w:sz w:val="17"/>
          <w:szCs w:val="17"/>
          <w:color w:val="auto"/>
        </w:rPr>
        <w:t>measurement of its U.S. deferred tax assets at the lower enacted corporate tax rate. Due to the history of net operating losses, the Company is in a full valuation allowance position. As a result, the additional tax expense due to the TCJA was offset by an equal reduction to the valuation allowance, resulting in no net tax impact from the TCJA to the overall financial condition and results of operations of the Company. The Company was allowed a measurement period of up to one year after the enactment date of the TCJA to finalize the recording of the related tax accounting effects. As of December 31, 2018, the Company had completed its accounting for the effects of the TCJA and no adjustments were recorded to the provisional amount.</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7" w:name="page158"/>
    <w:bookmarkEnd w:id="157"/>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39" w:firstLine="648"/>
        <w:spacing w:after="0" w:line="342" w:lineRule="auto"/>
        <w:rPr>
          <w:sz w:val="20"/>
          <w:szCs w:val="20"/>
          <w:color w:val="auto"/>
        </w:rPr>
      </w:pPr>
      <w:r>
        <w:rPr>
          <w:rFonts w:ascii="Arial" w:cs="Arial" w:eastAsia="Arial" w:hAnsi="Arial"/>
          <w:sz w:val="16"/>
          <w:szCs w:val="16"/>
          <w:color w:val="auto"/>
        </w:rPr>
        <w:t>The difference between income taxes expected at the U.S. federal statutory income tax rate of 21% and 34% for tax years ended December 31, 2018 and December 31, 2017, respectively, and income taxes provided are set forth below:</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2017</w:t>
            </w:r>
          </w:p>
        </w:tc>
      </w:tr>
      <w:tr>
        <w:trPr>
          <w:trHeight w:val="171"/>
        </w:trPr>
        <w:tc>
          <w:tcPr>
            <w:tcW w:w="39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(thousands)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(thousands)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 of rate change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Tax credits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0" w:right="119" w:firstLine="648"/>
        <w:spacing w:after="0" w:line="221" w:lineRule="exact"/>
        <w:rPr>
          <w:sz w:val="20"/>
          <w:szCs w:val="20"/>
          <w:color w:val="auto"/>
        </w:rPr>
      </w:pPr>
      <w:r>
        <w:rPr>
          <w:rFonts w:ascii="Arial" w:cs="Arial" w:eastAsia="Arial" w:hAnsi="Arial"/>
          <w:sz w:val="17"/>
          <w:szCs w:val="17"/>
          <w:color w:val="auto"/>
        </w:rPr>
        <w:t>For the year ended December 31, 2017, as a result of the enactment of the Tax Cuts and Jobs Act, there was no impact to our financial position or results associated with a write</w:t>
      </w:r>
      <w:r>
        <w:rPr>
          <w:rFonts w:ascii="MS PGothic" w:cs="MS PGothic" w:eastAsia="MS PGothic" w:hAnsi="MS PGothic"/>
          <w:sz w:val="17"/>
          <w:szCs w:val="17"/>
          <w:color w:val="auto"/>
        </w:rPr>
        <w:t>‑</w:t>
      </w:r>
      <w:r>
        <w:rPr>
          <w:rFonts w:ascii="Arial" w:cs="Arial" w:eastAsia="Arial" w:hAnsi="Arial"/>
          <w:sz w:val="17"/>
          <w:szCs w:val="17"/>
          <w:color w:val="auto"/>
        </w:rPr>
        <w:t>off of deferred tax assets due to the rate change from 34% to 21% and their associated valuation allowance, and a one</w:t>
      </w:r>
      <w:r>
        <w:rPr>
          <w:rFonts w:ascii="MS PGothic" w:cs="MS PGothic" w:eastAsia="MS PGothic" w:hAnsi="MS PGothic"/>
          <w:sz w:val="17"/>
          <w:szCs w:val="17"/>
          <w:color w:val="auto"/>
        </w:rPr>
        <w:t>‑</w:t>
      </w:r>
      <w:r>
        <w:rPr>
          <w:rFonts w:ascii="Arial" w:cs="Arial" w:eastAsia="Arial" w:hAnsi="Arial"/>
          <w:sz w:val="17"/>
          <w:szCs w:val="17"/>
          <w:color w:val="auto"/>
        </w:rPr>
        <w:t>time mandatory transition tax.</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the Company’s net deferred tax assets/(liabilities) are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2017</w:t>
            </w:r>
          </w:p>
        </w:tc>
      </w:tr>
      <w:tr>
        <w:trPr>
          <w:trHeight w:val="171"/>
        </w:trPr>
        <w:tc>
          <w:tcPr>
            <w:tcW w:w="36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(thousands)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7"/>
              </w:rPr>
              <w:t>(thousands)</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Acquired Intangibles</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2,381</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bonus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Unrealized foreign exchange loss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royalty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tcPr>
          <w:p>
            <w:pPr>
              <w:ind w:left="220"/>
              <w:spacing w:after="0"/>
              <w:rPr>
                <w:sz w:val="20"/>
                <w:szCs w:val="20"/>
                <w:color w:val="auto"/>
              </w:rPr>
            </w:pPr>
            <w:r>
              <w:rPr>
                <w:rFonts w:ascii="Arial" w:cs="Arial" w:eastAsia="Arial" w:hAnsi="Arial"/>
                <w:sz w:val="18"/>
                <w:szCs w:val="18"/>
                <w:color w:val="auto"/>
              </w:rPr>
              <w:t>Total deferred tax assets/(liabilities)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15,687</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(15,687)</w:t>
            </w:r>
          </w:p>
        </w:tc>
      </w:tr>
      <w:tr>
        <w:trPr>
          <w:trHeight w:val="217"/>
        </w:trPr>
        <w:tc>
          <w:tcPr>
            <w:tcW w:w="3680" w:type="dxa"/>
            <w:vAlign w:val="bottom"/>
          </w:tcPr>
          <w:p>
            <w:pPr>
              <w:ind w:left="220"/>
              <w:spacing w:after="0"/>
              <w:rPr>
                <w:sz w:val="20"/>
                <w:szCs w:val="20"/>
                <w:color w:val="auto"/>
              </w:rPr>
            </w:pPr>
            <w:r>
              <w:rPr>
                <w:rFonts w:ascii="Arial" w:cs="Arial" w:eastAsia="Arial" w:hAnsi="Arial"/>
                <w:sz w:val="18"/>
                <w:szCs w:val="18"/>
                <w:color w:val="auto"/>
              </w:rPr>
              <w:t>Net deferred tax assets/(liabilities)</w:t>
            </w: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0" w:right="239" w:firstLine="648"/>
        <w:spacing w:after="0" w:line="279" w:lineRule="auto"/>
        <w:rPr>
          <w:sz w:val="20"/>
          <w:szCs w:val="20"/>
          <w:color w:val="auto"/>
        </w:rPr>
      </w:pPr>
      <w:r>
        <w:rPr>
          <w:rFonts w:ascii="Arial" w:cs="Arial" w:eastAsia="Arial" w:hAnsi="Arial"/>
          <w:sz w:val="17"/>
          <w:szCs w:val="17"/>
          <w:color w:val="auto"/>
        </w:rPr>
        <w:t>The Company recognizes income tax benefits for tax positions determined more likely than not to be sustained upon examination, based on the technical merits of the positions. As of December 31, 2018, and 2017, the Company has determined that there were no uncertain tax positions. The Company’s tax returns for years 2017, 2016 and 2015 are open for tax examination by U.S. federal and state, and the Danish tax authorities.</w:t>
      </w:r>
    </w:p>
    <w:p>
      <w:pPr>
        <w:spacing w:after="0" w:line="171" w:lineRule="exact"/>
        <w:rPr>
          <w:sz w:val="20"/>
          <w:szCs w:val="20"/>
          <w:color w:val="auto"/>
        </w:rPr>
      </w:pPr>
    </w:p>
    <w:p>
      <w:pPr>
        <w:ind w:left="20" w:right="59" w:firstLine="648"/>
        <w:spacing w:after="0" w:line="218" w:lineRule="exact"/>
        <w:rPr>
          <w:sz w:val="20"/>
          <w:szCs w:val="20"/>
          <w:color w:val="auto"/>
        </w:rPr>
      </w:pPr>
      <w:r>
        <w:rPr>
          <w:rFonts w:ascii="Arial" w:cs="Arial" w:eastAsia="Arial" w:hAnsi="Arial"/>
          <w:sz w:val="16"/>
          <w:szCs w:val="16"/>
          <w:color w:val="auto"/>
        </w:rPr>
        <w:t>The Company maintains a full valuation allowance on its U.S. and foreign deferred tax assets. The assessment regarding whether a valuation allowance is required considers both positive and negative evidence when determining whether it is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that deferred tax assets are recoverable. In making this assessment, significant weight is given to evidence that can be objectively verified. In its evaluation, the Company considered its cumulative loss in recent years and its forecasted losses in the near</w:t>
      </w:r>
      <w:r>
        <w:rPr>
          <w:rFonts w:ascii="MS PGothic" w:cs="MS PGothic" w:eastAsia="MS PGothic" w:hAnsi="MS PGothic"/>
          <w:sz w:val="16"/>
          <w:szCs w:val="16"/>
          <w:color w:val="auto"/>
        </w:rPr>
        <w:t>‑</w:t>
      </w:r>
      <w:r>
        <w:rPr>
          <w:rFonts w:ascii="Arial" w:cs="Arial" w:eastAsia="Arial" w:hAnsi="Arial"/>
          <w:sz w:val="16"/>
          <w:szCs w:val="16"/>
          <w:color w:val="auto"/>
        </w:rPr>
        <w:t>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203" w:lineRule="exact"/>
        <w:rPr>
          <w:sz w:val="20"/>
          <w:szCs w:val="20"/>
          <w:color w:val="auto"/>
        </w:rPr>
      </w:pPr>
    </w:p>
    <w:p>
      <w:pPr>
        <w:ind w:left="20" w:right="99" w:firstLine="648"/>
        <w:spacing w:after="0" w:line="272" w:lineRule="auto"/>
        <w:rPr>
          <w:sz w:val="20"/>
          <w:szCs w:val="20"/>
          <w:color w:val="auto"/>
        </w:rPr>
      </w:pPr>
      <w:r>
        <w:rPr>
          <w:rFonts w:ascii="Arial" w:cs="Arial" w:eastAsia="Arial" w:hAnsi="Arial"/>
          <w:sz w:val="17"/>
          <w:szCs w:val="17"/>
          <w:color w:val="auto"/>
        </w:rPr>
        <w:t>As of December 31, 2018, the Company had U.S. federal and state and local net operating loss (“NOL”) carryforwards of approximately $72,323,000, which are available to reduce future taxable income. The Company also had U.S. federal tax credits of $2,789,000 as of December 31, 2018,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The Company has performed an analysis of 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Section 382 ownership changes through December 31, 2018. Due to the large annual limitation, the Company believes that it is more likely than not that none of the net operating loss carryforwards will expire as a result of the limitation from the ownership change under Section 382. The Company also has Danish NOL carryforwards of $1,154,000, which have an indefinite carryforward period.</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left="20" w:right="40" w:firstLine="648"/>
        <w:spacing w:after="0" w:line="276" w:lineRule="auto"/>
        <w:rPr>
          <w:sz w:val="20"/>
          <w:szCs w:val="20"/>
          <w:color w:val="auto"/>
        </w:rPr>
      </w:pPr>
      <w:r>
        <w:rPr>
          <w:rFonts w:ascii="Arial" w:cs="Arial" w:eastAsia="Arial" w:hAnsi="Arial"/>
          <w:sz w:val="17"/>
          <w:szCs w:val="17"/>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years ended December 31, 2018 and 2017. In addition, health insurance benefits for our Danish employees are fully paid for by such employees. Our Danish subsidiary does not incur any costs for these health insurance benefits.</w:t>
      </w:r>
    </w:p>
    <w:p>
      <w:pPr>
        <w:spacing w:after="0" w:line="173" w:lineRule="exact"/>
        <w:rPr>
          <w:sz w:val="20"/>
          <w:szCs w:val="20"/>
          <w:color w:val="auto"/>
        </w:rPr>
      </w:pPr>
    </w:p>
    <w:p>
      <w:pPr>
        <w:ind w:left="20" w:right="80" w:firstLine="648"/>
        <w:spacing w:after="0" w:line="302" w:lineRule="auto"/>
        <w:rPr>
          <w:sz w:val="20"/>
          <w:szCs w:val="20"/>
          <w:color w:val="auto"/>
        </w:rPr>
      </w:pPr>
      <w:r>
        <w:rPr>
          <w:rFonts w:ascii="Arial" w:cs="Arial" w:eastAsia="Arial" w:hAnsi="Arial"/>
          <w:sz w:val="16"/>
          <w:szCs w:val="16"/>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years ended December 31, 2018 and December 31, 2017.</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12—SUBSEQUENT EVENTS</w:t>
      </w:r>
    </w:p>
    <w:p>
      <w:pPr>
        <w:spacing w:after="0" w:line="229" w:lineRule="exact"/>
        <w:rPr>
          <w:sz w:val="20"/>
          <w:szCs w:val="20"/>
          <w:color w:val="auto"/>
        </w:rPr>
      </w:pPr>
    </w:p>
    <w:p>
      <w:pPr>
        <w:ind w:left="20" w:right="200" w:firstLine="648"/>
        <w:spacing w:after="0" w:line="277" w:lineRule="auto"/>
        <w:rPr>
          <w:sz w:val="20"/>
          <w:szCs w:val="20"/>
          <w:color w:val="auto"/>
        </w:rPr>
      </w:pPr>
      <w:r>
        <w:rPr>
          <w:rFonts w:ascii="Arial" w:cs="Arial" w:eastAsia="Arial" w:hAnsi="Arial"/>
          <w:sz w:val="18"/>
          <w:szCs w:val="18"/>
          <w:color w:val="auto"/>
        </w:rPr>
        <w:t>In February 2019, the Company entered a three year lease for a 4,500 square feet laboratory lease in Nutley, New Jersey. Monthly lease payments are approximately $12,000 per month during the lease term.</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13—QUARTERLY CONSOLIDATED FINANCIAL DATA (unaudited)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620" w:type="dxa"/>
            <w:vAlign w:val="bottom"/>
          </w:tcPr>
          <w:p>
            <w:pPr>
              <w:spacing w:after="0"/>
              <w:rPr>
                <w:sz w:val="14"/>
                <w:szCs w:val="14"/>
                <w:color w:val="auto"/>
              </w:rPr>
            </w:pPr>
          </w:p>
        </w:tc>
        <w:tc>
          <w:tcPr>
            <w:tcW w:w="100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7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w w:val="91"/>
              </w:rPr>
              <w:t>June 30</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September</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$(10,258)</w:t>
            </w: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(11,415)</w:t>
            </w: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$(14,078)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(7,483)</w:t>
            </w:r>
          </w:p>
        </w:tc>
        <w:tc>
          <w:tcPr>
            <w:tcW w:w="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(10,305)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(11,426)</w:t>
            </w:r>
          </w:p>
        </w:tc>
        <w:tc>
          <w:tcPr>
            <w:tcW w:w="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0"/>
                <w:szCs w:val="10"/>
                <w:color w:val="auto"/>
              </w:rPr>
            </w:pPr>
          </w:p>
        </w:tc>
        <w:tc>
          <w:tcPr>
            <w:tcW w:w="82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September</w:t>
            </w:r>
          </w:p>
        </w:tc>
        <w:tc>
          <w:tcPr>
            <w:tcW w:w="12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December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b w:val="1"/>
                <w:bCs w:val="1"/>
                <w:color w:val="auto"/>
              </w:rPr>
              <w:t>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(2,897)</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(9,275)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(3,191)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(9,253)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159" w:name="page160"/>
    <w:bookmarkEnd w:id="159"/>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120" w:right="679" w:hanging="1101"/>
        <w:spacing w:after="0" w:line="282" w:lineRule="auto"/>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20" w:right="19" w:firstLine="648"/>
        <w:spacing w:after="0" w:line="219" w:lineRule="exact"/>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Annual Report, the effectiveness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or the Exchange Act). Based on that evaluation, our Chief Executive Officer and Chief Financial Officer concluded that our disclosure controls and procedures were not effective at the reasonable assurance level as of December 31, 2018, due to material weaknesses in our internal control over financial reporting.</w:t>
      </w:r>
    </w:p>
    <w:p>
      <w:pPr>
        <w:spacing w:after="0" w:line="203" w:lineRule="exact"/>
        <w:rPr>
          <w:sz w:val="20"/>
          <w:szCs w:val="20"/>
          <w:color w:val="auto"/>
        </w:rPr>
      </w:pPr>
    </w:p>
    <w:p>
      <w:pPr>
        <w:ind w:left="20" w:right="139" w:firstLine="648"/>
        <w:spacing w:after="0" w:line="220" w:lineRule="exact"/>
        <w:rPr>
          <w:sz w:val="20"/>
          <w:szCs w:val="20"/>
          <w:color w:val="auto"/>
        </w:rPr>
      </w:pPr>
      <w:r>
        <w:rPr>
          <w:rFonts w:ascii="Arial" w:cs="Arial" w:eastAsia="Arial" w:hAnsi="Arial"/>
          <w:sz w:val="18"/>
          <w:szCs w:val="18"/>
          <w:color w:val="auto"/>
        </w:rPr>
        <w:t>In designing and evaluating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or the Exchange Act), management recognizes that any controls and procedures, no matter how well designed and operated, can provide only reasonable assurance of achieving the desired control objectives.</w:t>
      </w:r>
    </w:p>
    <w:p>
      <w:pPr>
        <w:spacing w:after="0" w:line="204" w:lineRule="exact"/>
        <w:rPr>
          <w:sz w:val="20"/>
          <w:szCs w:val="20"/>
          <w:color w:val="auto"/>
        </w:rPr>
      </w:pPr>
    </w:p>
    <w:p>
      <w:pPr>
        <w:ind w:left="20" w:right="79" w:firstLine="648"/>
        <w:spacing w:after="0" w:line="277" w:lineRule="auto"/>
        <w:rPr>
          <w:sz w:val="20"/>
          <w:szCs w:val="20"/>
          <w:color w:val="auto"/>
        </w:rPr>
      </w:pPr>
      <w:r>
        <w:rPr>
          <w:rFonts w:ascii="Arial" w:cs="Arial" w:eastAsia="Arial" w:hAnsi="Arial"/>
          <w:sz w:val="18"/>
          <w:szCs w:val="18"/>
          <w:b w:val="1"/>
          <w:bCs w:val="1"/>
          <w:i w:val="1"/>
          <w:iCs w:val="1"/>
          <w:color w:val="auto"/>
        </w:rPr>
        <w:t>Exemption from Management’s Report on Internal Control over Financial Reporting for the Fiscal Year Ended December 31, 2018.</w:t>
      </w:r>
    </w:p>
    <w:p>
      <w:pPr>
        <w:spacing w:after="0" w:line="170" w:lineRule="exact"/>
        <w:rPr>
          <w:sz w:val="20"/>
          <w:szCs w:val="20"/>
          <w:color w:val="auto"/>
        </w:rPr>
      </w:pPr>
    </w:p>
    <w:p>
      <w:pPr>
        <w:jc w:val="both"/>
        <w:ind w:left="20" w:right="59" w:firstLine="648"/>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20" w:right="179" w:firstLine="648"/>
        <w:spacing w:after="0" w:line="221" w:lineRule="exact"/>
        <w:rPr>
          <w:sz w:val="20"/>
          <w:szCs w:val="20"/>
          <w:color w:val="auto"/>
        </w:rPr>
      </w:pPr>
      <w:r>
        <w:rPr>
          <w:rFonts w:ascii="Arial" w:cs="Arial" w:eastAsia="Arial" w:hAnsi="Arial"/>
          <w:sz w:val="18"/>
          <w:szCs w:val="18"/>
          <w:color w:val="auto"/>
        </w:rPr>
        <w:t>There was 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fourth quarter of the year ended December 31, 2018 that has materially affected, or is reasonably likely to materially affect, our internal control over financial reporting.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Control</w:t>
      </w:r>
    </w:p>
    <w:p>
      <w:pPr>
        <w:spacing w:after="0" w:line="225" w:lineRule="exact"/>
        <w:rPr>
          <w:sz w:val="20"/>
          <w:szCs w:val="20"/>
          <w:color w:val="auto"/>
        </w:rPr>
      </w:pPr>
    </w:p>
    <w:p>
      <w:pPr>
        <w:ind w:left="20" w:right="99" w:firstLine="648"/>
        <w:spacing w:after="0" w:line="254" w:lineRule="auto"/>
        <w:rPr>
          <w:sz w:val="20"/>
          <w:szCs w:val="20"/>
          <w:color w:val="auto"/>
        </w:rPr>
      </w:pPr>
      <w:r>
        <w:rPr>
          <w:rFonts w:ascii="Arial" w:cs="Arial" w:eastAsia="Arial" w:hAnsi="Arial"/>
          <w:sz w:val="18"/>
          <w:szCs w:val="18"/>
          <w:color w:val="auto"/>
        </w:rPr>
        <w:t>We will be required, pursuant to Section 404(a) of the Sarbanes-Oxley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92" w:lineRule="exact"/>
        <w:rPr>
          <w:sz w:val="20"/>
          <w:szCs w:val="20"/>
          <w:color w:val="auto"/>
        </w:rPr>
      </w:pPr>
    </w:p>
    <w:p>
      <w:pPr>
        <w:ind w:left="20" w:right="19" w:firstLine="648"/>
        <w:spacing w:after="0" w:line="290"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our initial public offering, we were a private company and we are currently planning a process for reviewing, documenting and testing our internal control over financial reporting. Certain material weaknesses have been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66" w:lineRule="exact"/>
        <w:rPr>
          <w:sz w:val="20"/>
          <w:szCs w:val="20"/>
          <w:color w:val="auto"/>
        </w:rPr>
      </w:pPr>
    </w:p>
    <w:p>
      <w:pPr>
        <w:jc w:val="both"/>
        <w:ind w:left="20" w:right="279" w:firstLine="648"/>
        <w:spacing w:after="0" w:line="286" w:lineRule="auto"/>
        <w:rPr>
          <w:sz w:val="20"/>
          <w:szCs w:val="20"/>
          <w:color w:val="auto"/>
        </w:rPr>
      </w:pPr>
      <w:r>
        <w:rPr>
          <w:rFonts w:ascii="Arial" w:cs="Arial" w:eastAsia="Arial" w:hAnsi="Arial"/>
          <w:sz w:val="17"/>
          <w:szCs w:val="17"/>
          <w:color w:val="auto"/>
        </w:rPr>
        <w:t>In connection with the audit of our financial statements for the years ended December 31, 2017 and 2018, it was determined that we lack a sufficient number of trained professionals with an appropriate level of accounting knowledge, training and experience to: (a) design and maintain formal accounting policies, procedures and controls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0" w:name="page161"/>
    <w:bookmarkEnd w:id="16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179"/>
        <w:spacing w:after="0" w:line="259" w:lineRule="auto"/>
        <w:rPr>
          <w:sz w:val="20"/>
          <w:szCs w:val="20"/>
          <w:color w:val="auto"/>
        </w:rPr>
      </w:pPr>
      <w:r>
        <w:rPr>
          <w:rFonts w:ascii="Arial" w:cs="Arial" w:eastAsia="Arial" w:hAnsi="Arial"/>
          <w:sz w:val="18"/>
          <w:szCs w:val="18"/>
          <w:color w:val="auto"/>
        </w:rPr>
        <w:t>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87" w:lineRule="exact"/>
        <w:rPr>
          <w:sz w:val="20"/>
          <w:szCs w:val="20"/>
          <w:color w:val="auto"/>
        </w:rPr>
      </w:pPr>
    </w:p>
    <w:p>
      <w:pPr>
        <w:ind w:left="20" w:right="39" w:firstLine="648"/>
        <w:spacing w:after="0" w:line="268" w:lineRule="auto"/>
        <w:rPr>
          <w:sz w:val="20"/>
          <w:szCs w:val="20"/>
          <w:color w:val="auto"/>
        </w:rPr>
      </w:pPr>
      <w:r>
        <w:rPr>
          <w:rFonts w:ascii="Arial" w:cs="Arial" w:eastAsia="Arial" w:hAnsi="Arial"/>
          <w:sz w:val="17"/>
          <w:szCs w:val="17"/>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 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81" w:lineRule="exact"/>
        <w:rPr>
          <w:sz w:val="20"/>
          <w:szCs w:val="20"/>
          <w:color w:val="auto"/>
        </w:rPr>
      </w:pPr>
    </w:p>
    <w:p>
      <w:pPr>
        <w:ind w:left="20" w:right="79" w:firstLine="648"/>
        <w:spacing w:after="0" w:line="290" w:lineRule="auto"/>
        <w:rPr>
          <w:sz w:val="20"/>
          <w:szCs w:val="20"/>
          <w:color w:val="auto"/>
        </w:rPr>
      </w:pPr>
      <w:r>
        <w:rPr>
          <w:rFonts w:ascii="Arial" w:cs="Arial" w:eastAsia="Arial" w:hAnsi="Arial"/>
          <w:sz w:val="16"/>
          <w:szCs w:val="16"/>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59" w:lineRule="exact"/>
        <w:rPr>
          <w:sz w:val="20"/>
          <w:szCs w:val="20"/>
          <w:color w:val="auto"/>
        </w:rPr>
      </w:pPr>
    </w:p>
    <w:p>
      <w:pPr>
        <w:ind w:left="20" w:right="59" w:firstLine="648"/>
        <w:spacing w:after="0" w:line="270" w:lineRule="auto"/>
        <w:rPr>
          <w:sz w:val="20"/>
          <w:szCs w:val="20"/>
          <w:color w:val="auto"/>
        </w:rPr>
      </w:pPr>
      <w:r>
        <w:rPr>
          <w:rFonts w:ascii="Arial" w:cs="Arial" w:eastAsia="Arial" w:hAnsi="Arial"/>
          <w:sz w:val="19"/>
          <w:szCs w:val="19"/>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29" w:lineRule="exact"/>
        <w:rPr>
          <w:sz w:val="20"/>
          <w:szCs w:val="20"/>
          <w:color w:val="auto"/>
        </w:rPr>
      </w:pPr>
    </w:p>
    <w:p>
      <w:pPr>
        <w:ind w:left="20" w:right="319"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so long as we are an emerging growth company and qualify as a smaller reporting company we expect that:</w:t>
      </w:r>
    </w:p>
    <w:p>
      <w:pPr>
        <w:spacing w:after="0" w:line="248" w:lineRule="exact"/>
        <w:rPr>
          <w:sz w:val="20"/>
          <w:szCs w:val="20"/>
          <w:color w:val="auto"/>
        </w:rPr>
      </w:pPr>
    </w:p>
    <w:p>
      <w:pPr>
        <w:jc w:val="both"/>
        <w:ind w:left="980" w:right="139" w:hanging="315"/>
        <w:spacing w:after="0" w:line="312"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will present only two years of audited financial statements, in addition to any required unaudited financial statements, with correspondingly reduced Management’s Discussion and Analysis of Financial Condition and Results of Operations disclosure as long as we continue to qualify as a smaller reporting company;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1" w:name="page162"/>
    <w:bookmarkEnd w:id="161"/>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right="259" w:hanging="315"/>
        <w:spacing w:after="0" w:line="264"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81" w:lineRule="exact"/>
        <w:rPr>
          <w:rFonts w:ascii="Arial" w:cs="Arial" w:eastAsia="Arial" w:hAnsi="Arial"/>
          <w:sz w:val="18"/>
          <w:szCs w:val="18"/>
          <w:color w:val="auto"/>
        </w:rPr>
      </w:pPr>
    </w:p>
    <w:p>
      <w:pPr>
        <w:ind w:left="980" w:right="79" w:hanging="315"/>
        <w:spacing w:after="0" w:line="221" w:lineRule="exact"/>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1" w:lineRule="exact"/>
        <w:rPr>
          <w:rFonts w:ascii="Arial" w:cs="Arial" w:eastAsia="Arial" w:hAnsi="Arial"/>
          <w:sz w:val="18"/>
          <w:szCs w:val="18"/>
          <w:color w:val="auto"/>
        </w:rPr>
      </w:pPr>
    </w:p>
    <w:p>
      <w:pPr>
        <w:ind w:left="980" w:hanging="315"/>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20" w:right="119" w:firstLine="648"/>
        <w:spacing w:after="0" w:line="219" w:lineRule="exact"/>
        <w:rPr>
          <w:sz w:val="20"/>
          <w:szCs w:val="20"/>
          <w:color w:val="auto"/>
        </w:rPr>
      </w:pPr>
      <w:r>
        <w:rPr>
          <w:rFonts w:ascii="Arial" w:cs="Arial" w:eastAsia="Arial" w:hAnsi="Arial"/>
          <w:sz w:val="18"/>
          <w:szCs w:val="18"/>
          <w:color w:val="auto"/>
        </w:rPr>
        <w:t>We will remain an emerging growth company for up to five years, although we will cease to be an “emerging growth company” upon the earliest of: (i) the last day of the fiscal year following the fifth anniversary of our initial public offering, (ii) 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8"/>
          <w:szCs w:val="18"/>
          <w:color w:val="auto"/>
        </w:rPr>
        <w:t>‑</w:t>
      </w:r>
      <w:r>
        <w:rPr>
          <w:rFonts w:ascii="Arial" w:cs="Arial" w:eastAsia="Arial" w:hAnsi="Arial"/>
          <w:sz w:val="18"/>
          <w:szCs w:val="18"/>
          <w:color w:val="auto"/>
        </w:rPr>
        <w:t>year period,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199"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2" w:name="page163"/>
    <w:bookmarkEnd w:id="162"/>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20" w:right="279" w:firstLine="648"/>
        <w:spacing w:after="0" w:line="279" w:lineRule="auto"/>
        <w:rPr>
          <w:sz w:val="20"/>
          <w:szCs w:val="20"/>
          <w:color w:val="auto"/>
        </w:rPr>
      </w:pPr>
      <w:r>
        <w:rPr>
          <w:rFonts w:ascii="Arial" w:cs="Arial" w:eastAsia="Arial" w:hAnsi="Arial"/>
          <w:sz w:val="17"/>
          <w:szCs w:val="17"/>
          <w:color w:val="auto"/>
        </w:rPr>
        <w:t>The information required by this Item 10 is incorporated by reference to the information set forth in the sections titled “Proposal 1 – Election of Directors,” “Executive Officers of the Company,” and “Information Regarding the Board and Corporate Governance” and “Section 16(a) Beneficial Ownership Reporting Compliance” in our Definitive Proxy Statement to be filed with the SEC with respect to our 2019 Annual Meeting of Stockholders.</w:t>
      </w:r>
    </w:p>
    <w:p>
      <w:pPr>
        <w:spacing w:after="0" w:line="384"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 w:right="359" w:firstLine="648"/>
        <w:spacing w:after="0" w:line="264" w:lineRule="auto"/>
        <w:rPr>
          <w:sz w:val="20"/>
          <w:szCs w:val="20"/>
          <w:color w:val="auto"/>
        </w:rPr>
      </w:pPr>
      <w:r>
        <w:rPr>
          <w:rFonts w:ascii="Arial" w:cs="Arial" w:eastAsia="Arial" w:hAnsi="Arial"/>
          <w:sz w:val="18"/>
          <w:szCs w:val="18"/>
          <w:color w:val="auto"/>
        </w:rPr>
        <w:t>The information required by this Item 11 is incorporated by reference to the information set forth in the section titled “Executive Compensation” in our Definitive Proxy Statement to be filed with the SEC with respect to our 2019 Annual Meeting of Stockholders.</w:t>
      </w:r>
    </w:p>
    <w:p>
      <w:pPr>
        <w:spacing w:after="0" w:line="393" w:lineRule="exact"/>
        <w:rPr>
          <w:sz w:val="20"/>
          <w:szCs w:val="20"/>
          <w:color w:val="auto"/>
        </w:rPr>
      </w:pPr>
    </w:p>
    <w:p>
      <w:pPr>
        <w:ind w:left="1120" w:right="359" w:hanging="1101"/>
        <w:spacing w:after="0" w:line="282" w:lineRule="auto"/>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20" w:right="279" w:firstLine="648"/>
        <w:spacing w:after="0" w:line="286" w:lineRule="auto"/>
        <w:rPr>
          <w:sz w:val="20"/>
          <w:szCs w:val="20"/>
          <w:color w:val="auto"/>
        </w:rPr>
      </w:pPr>
      <w:r>
        <w:rPr>
          <w:rFonts w:ascii="Arial" w:cs="Arial" w:eastAsia="Arial" w:hAnsi="Arial"/>
          <w:sz w:val="17"/>
          <w:szCs w:val="17"/>
          <w:color w:val="auto"/>
        </w:rPr>
        <w:t>The information required by this Item 12 is incorporated by reference to the information set forth in the sections titled “Security Ownership of Certain Beneficial Owners and Management” and “Executive Compensation” in our Definitive Proxy Statement to be filed with the SEC with respect to our 2019 Annual Meeting of Stockholders.</w:t>
      </w:r>
    </w:p>
    <w:p>
      <w:pPr>
        <w:spacing w:after="0" w:line="378" w:lineRule="exact"/>
        <w:rPr>
          <w:sz w:val="20"/>
          <w:szCs w:val="20"/>
          <w:color w:val="auto"/>
        </w:rPr>
      </w:pPr>
    </w:p>
    <w:p>
      <w:pPr>
        <w:ind w:left="1120" w:right="1259" w:hanging="1101"/>
        <w:spacing w:after="0" w:line="282" w:lineRule="auto"/>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20" w:right="19" w:firstLine="648"/>
        <w:spacing w:after="0" w:line="312" w:lineRule="auto"/>
        <w:rPr>
          <w:sz w:val="20"/>
          <w:szCs w:val="20"/>
          <w:color w:val="auto"/>
        </w:rPr>
      </w:pPr>
      <w:r>
        <w:rPr>
          <w:rFonts w:ascii="Arial" w:cs="Arial" w:eastAsia="Arial" w:hAnsi="Arial"/>
          <w:sz w:val="16"/>
          <w:szCs w:val="16"/>
          <w:color w:val="auto"/>
        </w:rPr>
        <w:t>The information required by this Item 13 is incorporated by reference to the information set forth in the sections titled “Transactions with Related Persons” and “Information regarding the Board of Directors and Corporate Governance” in our Definitive Proxy Statement to be filed with the SEC with respect to our 2019 Annual Meeting of Stockholders.</w:t>
      </w:r>
    </w:p>
    <w:p>
      <w:pPr>
        <w:spacing w:after="0" w:line="359"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20" w:right="199" w:firstLine="648"/>
        <w:spacing w:after="0" w:line="264" w:lineRule="auto"/>
        <w:rPr>
          <w:sz w:val="20"/>
          <w:szCs w:val="20"/>
          <w:color w:val="auto"/>
        </w:rPr>
      </w:pPr>
      <w:r>
        <w:rPr>
          <w:rFonts w:ascii="Arial" w:cs="Arial" w:eastAsia="Arial" w:hAnsi="Arial"/>
          <w:sz w:val="18"/>
          <w:szCs w:val="18"/>
          <w:color w:val="auto"/>
        </w:rPr>
        <w:t>The information required by this Item 14 is incorporated by reference to the information set forth in the section titled “Principal Accountant Fees and Services” in our Definitive Proxy Statement to be filed with the SEC with respect to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3" w:name="page164"/>
    <w:bookmarkEnd w:id="16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43"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3" w:lineRule="exact"/>
        <w:rPr>
          <w:sz w:val="20"/>
          <w:szCs w:val="20"/>
          <w:color w:val="auto"/>
        </w:rPr>
      </w:pPr>
    </w:p>
    <w:p>
      <w:pPr>
        <w:jc w:val="both"/>
        <w:ind w:left="820" w:right="40"/>
        <w:spacing w:after="0" w:line="261"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w:t>
      </w:r>
    </w:p>
    <w:p>
      <w:pPr>
        <w:spacing w:after="0" w:line="18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3"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There are no Financial Statement Schedules included with this filing for the reason that they are not applicable or are not required or the required information is included in the Financial Statements or Notes listed in the Index to Financial Statements beginning on page F-1.</w:t>
      </w:r>
    </w:p>
    <w:p>
      <w:pPr>
        <w:spacing w:after="0" w:line="19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3" w:lineRule="exact"/>
        <w:rPr>
          <w:sz w:val="20"/>
          <w:szCs w:val="20"/>
          <w:color w:val="auto"/>
        </w:rPr>
      </w:pPr>
    </w:p>
    <w:p>
      <w:pPr>
        <w:ind w:left="820" w:right="360"/>
        <w:spacing w:after="0" w:line="290" w:lineRule="auto"/>
        <w:rPr>
          <w:sz w:val="20"/>
          <w:szCs w:val="20"/>
          <w:color w:val="auto"/>
        </w:rPr>
      </w:pPr>
      <w:r>
        <w:rPr>
          <w:rFonts w:ascii="Arial" w:cs="Arial" w:eastAsia="Arial" w:hAnsi="Arial"/>
          <w:sz w:val="17"/>
          <w:szCs w:val="17"/>
          <w:color w:val="auto"/>
        </w:rPr>
        <w:t>See the Exhibit Index immediately before the signature page of this Annual Report. The exhibits listed in the Exhibit Index below are filed or incorporated by reference as part of this Annual Report.</w:t>
      </w:r>
    </w:p>
    <w:p>
      <w:pPr>
        <w:spacing w:after="0" w:line="38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60" w:type="dxa"/>
            <w:vAlign w:val="bottom"/>
            <w:gridSpan w:val="15"/>
          </w:tcPr>
          <w:p>
            <w:pPr>
              <w:jc w:val="center"/>
              <w:ind w:right="274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Amended and Restated Certificate of Incorporation of the Registrant (incorporated by reference to Exhibit 3.3</w:t>
              </w:r>
            </w:hyperlink>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to the Form S-1 filed August 24, 2018).</w:t>
              </w:r>
            </w:hyperlink>
          </w:p>
        </w:tc>
        <w:tc>
          <w:tcPr>
            <w:tcW w:w="506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EE"/>
                <w:w w:val="93"/>
              </w:rPr>
            </w:pPr>
            <w:hyperlink r:id="rId192">
              <w:r>
                <w:rPr>
                  <w:rFonts w:ascii="Arial" w:cs="Arial" w:eastAsia="Arial" w:hAnsi="Arial"/>
                  <w:sz w:val="18"/>
                  <w:szCs w:val="18"/>
                  <w:color w:val="0000EE"/>
                  <w:w w:val="93"/>
                </w:rPr>
                <w:t>Amended and Restated Bylaws of the Registrant (incorporated by reference to Exhibit 3.4 to the Form S-1</w:t>
              </w:r>
            </w:hyperlink>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filed August 24, 2018).</w:t>
              </w:r>
            </w:hyperlink>
          </w:p>
        </w:tc>
        <w:tc>
          <w:tcPr>
            <w:tcW w:w="5980" w:type="dxa"/>
            <w:vAlign w:val="bottom"/>
            <w:tcBorders>
              <w:top w:val="single" w:sz="8" w:color="0000EE"/>
            </w:tcBorders>
            <w:gridSpan w:val="10"/>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Specimen stock certificate evidencing the shares of common stock (incorporated by reference to Exhibit 4.1</w:t>
              </w:r>
            </w:hyperlink>
          </w:p>
        </w:tc>
        <w:tc>
          <w:tcPr>
            <w:tcW w:w="16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to the Form S-1/A filed September 7, 2018).</w:t>
              </w:r>
            </w:hyperlink>
          </w:p>
        </w:tc>
        <w:tc>
          <w:tcPr>
            <w:tcW w:w="4740" w:type="dxa"/>
            <w:vAlign w:val="bottom"/>
            <w:gridSpan w:val="12"/>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7540" w:type="dxa"/>
            <w:vAlign w:val="bottom"/>
            <w:tcBorders>
              <w:bottom w:val="single" w:sz="8" w:color="0000EE"/>
            </w:tcBorders>
            <w:gridSpan w:val="10"/>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Registration Rights Agreement, dated as of October 13, 2017, among the Registrant and the other parties</w:t>
              </w:r>
            </w:hyperlink>
          </w:p>
        </w:tc>
        <w:tc>
          <w:tcPr>
            <w:tcW w:w="380" w:type="dxa"/>
            <w:vAlign w:val="bottom"/>
            <w:gridSpan w:val="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thereto (incorporated by reference to Exhibit 4.2 to the Form S-1 filed August 24, 2018).</w:t>
              </w:r>
            </w:hyperlink>
          </w:p>
        </w:tc>
      </w:tr>
      <w:tr>
        <w:trPr>
          <w:trHeight w:val="20"/>
        </w:trPr>
        <w:tc>
          <w:tcPr>
            <w:tcW w:w="8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36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4.3(a)</w:t>
            </w:r>
          </w:p>
        </w:tc>
        <w:tc>
          <w:tcPr>
            <w:tcW w:w="260" w:type="dxa"/>
            <w:vAlign w:val="bottom"/>
          </w:tcPr>
          <w:p>
            <w:pPr>
              <w:spacing w:after="0"/>
              <w:rPr>
                <w:sz w:val="24"/>
                <w:szCs w:val="24"/>
                <w:color w:val="auto"/>
              </w:rPr>
            </w:pPr>
          </w:p>
        </w:tc>
        <w:tc>
          <w:tcPr>
            <w:tcW w:w="7720" w:type="dxa"/>
            <w:vAlign w:val="bottom"/>
            <w:tcBorders>
              <w:bottom w:val="single" w:sz="8" w:color="0000EE"/>
            </w:tcBorders>
            <w:gridSpan w:val="12"/>
          </w:tcPr>
          <w:p>
            <w:pPr>
              <w:spacing w:after="0"/>
              <w:rPr>
                <w:rFonts w:ascii="Arial" w:cs="Arial" w:eastAsia="Arial" w:hAnsi="Arial"/>
                <w:sz w:val="18"/>
                <w:szCs w:val="18"/>
                <w:color w:val="0000EE"/>
                <w:w w:val="89"/>
              </w:rPr>
            </w:pPr>
            <w:hyperlink r:id="rId195">
              <w:r>
                <w:rPr>
                  <w:rFonts w:ascii="Arial" w:cs="Arial" w:eastAsia="Arial" w:hAnsi="Arial"/>
                  <w:sz w:val="18"/>
                  <w:szCs w:val="18"/>
                  <w:color w:val="0000EE"/>
                  <w:w w:val="89"/>
                </w:rPr>
                <w:t>Registration Rights Agreement, dated as of November 17, 2017, among the Registrant and the other parties</w:t>
              </w:r>
            </w:hyperlink>
          </w:p>
        </w:tc>
        <w:tc>
          <w:tcPr>
            <w:tcW w:w="20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thereto (incorporated by reference to Exhibit 4.3(a) to the Form S-1 filed August 24, 2018).</w:t>
              </w:r>
            </w:hyperlink>
          </w:p>
        </w:tc>
      </w:tr>
      <w:tr>
        <w:trPr>
          <w:trHeight w:val="20"/>
        </w:trPr>
        <w:tc>
          <w:tcPr>
            <w:tcW w:w="8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5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4.3(b)</w:t>
            </w:r>
          </w:p>
        </w:tc>
        <w:tc>
          <w:tcPr>
            <w:tcW w:w="260" w:type="dxa"/>
            <w:vAlign w:val="bottom"/>
          </w:tcPr>
          <w:p>
            <w:pPr>
              <w:spacing w:after="0"/>
              <w:rPr>
                <w:sz w:val="24"/>
                <w:szCs w:val="24"/>
                <w:color w:val="auto"/>
              </w:rPr>
            </w:pPr>
          </w:p>
        </w:tc>
        <w:tc>
          <w:tcPr>
            <w:tcW w:w="7720" w:type="dxa"/>
            <w:vAlign w:val="bottom"/>
            <w:tcBorders>
              <w:bottom w:val="single" w:sz="8" w:color="0000EE"/>
            </w:tcBorders>
            <w:gridSpan w:val="12"/>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Registration Rights Agreement, dated as of November 17, 2017, among the Registrant and the other parties</w:t>
              </w:r>
            </w:hyperlink>
          </w:p>
        </w:tc>
        <w:tc>
          <w:tcPr>
            <w:tcW w:w="20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thereto (incorporated by reference to Exhibit 4.3(b) to the Form S-1 filed August 24, 2018).</w:t>
              </w:r>
            </w:hyperlink>
          </w:p>
        </w:tc>
        <w:tc>
          <w:tcPr>
            <w:tcW w:w="1340" w:type="dxa"/>
            <w:vAlign w:val="bottom"/>
            <w:gridSpan w:val="8"/>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4.3(c)</w:t>
            </w:r>
          </w:p>
        </w:tc>
        <w:tc>
          <w:tcPr>
            <w:tcW w:w="260" w:type="dxa"/>
            <w:vAlign w:val="bottom"/>
          </w:tcPr>
          <w:p>
            <w:pPr>
              <w:spacing w:after="0"/>
              <w:rPr>
                <w:sz w:val="24"/>
                <w:szCs w:val="24"/>
                <w:color w:val="auto"/>
              </w:rPr>
            </w:pPr>
          </w:p>
        </w:tc>
        <w:tc>
          <w:tcPr>
            <w:tcW w:w="7720" w:type="dxa"/>
            <w:vAlign w:val="bottom"/>
            <w:tcBorders>
              <w:bottom w:val="single" w:sz="8" w:color="0000EE"/>
            </w:tcBorders>
            <w:gridSpan w:val="12"/>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Registration Rights Agreement, dated as of November 17, 2017, among the Registrant and the other parties</w:t>
              </w:r>
            </w:hyperlink>
          </w:p>
        </w:tc>
        <w:tc>
          <w:tcPr>
            <w:tcW w:w="20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thereto (incorporated by reference to Exhibit 4.3(c) to the Form S-1 filed August 24, 2018).</w:t>
              </w:r>
            </w:hyperlink>
          </w:p>
        </w:tc>
      </w:tr>
      <w:tr>
        <w:trPr>
          <w:trHeight w:val="20"/>
        </w:trPr>
        <w:tc>
          <w:tcPr>
            <w:tcW w:w="8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6560" w:type="dxa"/>
            <w:vAlign w:val="bottom"/>
            <w:gridSpan w:val="7"/>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EE"/>
                <w:w w:val="97"/>
              </w:rPr>
            </w:pPr>
            <w:hyperlink r:id="rId198">
              <w:r>
                <w:rPr>
                  <w:rFonts w:ascii="Arial" w:cs="Arial" w:eastAsia="Arial" w:hAnsi="Arial"/>
                  <w:sz w:val="18"/>
                  <w:szCs w:val="18"/>
                  <w:color w:val="0000EE"/>
                  <w:w w:val="97"/>
                </w:rPr>
                <w:t>License Agreement, dated as of August 20, 2015, by and between the Registrant and Memorial Sloan</w:t>
              </w:r>
            </w:hyperlink>
          </w:p>
        </w:tc>
      </w:tr>
      <w:tr>
        <w:trPr>
          <w:trHeight w:val="20"/>
        </w:trPr>
        <w:tc>
          <w:tcPr>
            <w:tcW w:w="8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Kettering Cancer Center (incorporated by reference to Exhibit 10.1 to the Form S-1 filed August 724, 2018).</w:t>
              </w:r>
            </w:hyperlink>
          </w:p>
        </w:tc>
      </w:tr>
      <w:tr>
        <w:trPr>
          <w:trHeight w:val="885"/>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tcBorders>
              <w:top w:val="single" w:sz="8" w:color="0000EE"/>
            </w:tcBorders>
            <w:gridSpan w:val="5"/>
          </w:tcPr>
          <w:p>
            <w:pPr>
              <w:jc w:val="right"/>
              <w:ind w:right="560"/>
              <w:spacing w:after="0"/>
              <w:rPr>
                <w:sz w:val="20"/>
                <w:szCs w:val="20"/>
                <w:color w:val="auto"/>
              </w:rPr>
            </w:pPr>
            <w:r>
              <w:rPr>
                <w:rFonts w:ascii="Arial" w:cs="Arial" w:eastAsia="Arial" w:hAnsi="Arial"/>
                <w:sz w:val="18"/>
                <w:szCs w:val="18"/>
                <w:color w:val="auto"/>
              </w:rPr>
              <w:t>164</w:t>
            </w:r>
          </w:p>
        </w:tc>
        <w:tc>
          <w:tcPr>
            <w:tcW w:w="2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20"/>
          </w:cols>
          <w:pgMar w:left="1440" w:top="125" w:right="1439" w:bottom="1440" w:gutter="0" w:footer="0" w:header="0"/>
        </w:sectPr>
      </w:pPr>
    </w:p>
    <w:bookmarkStart w:id="164" w:name="page165"/>
    <w:bookmarkEnd w:id="16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7940" w:type="dxa"/>
            <w:vAlign w:val="bottom"/>
            <w:gridSpan w:val="28"/>
          </w:tcPr>
          <w:p>
            <w:pPr>
              <w:spacing w:after="0"/>
              <w:rPr>
                <w:rFonts w:ascii="Arial" w:cs="Arial" w:eastAsia="Arial" w:hAnsi="Arial"/>
                <w:sz w:val="18"/>
                <w:szCs w:val="18"/>
                <w:color w:val="0000EE"/>
                <w:w w:val="94"/>
              </w:rPr>
            </w:pPr>
            <w:hyperlink r:id="rId199">
              <w:r>
                <w:rPr>
                  <w:rFonts w:ascii="Arial" w:cs="Arial" w:eastAsia="Arial" w:hAnsi="Arial"/>
                  <w:sz w:val="18"/>
                  <w:szCs w:val="18"/>
                  <w:color w:val="0000EE"/>
                  <w:w w:val="94"/>
                </w:rPr>
                <w:t>License Agreement, dated as of November 13, 2017, by and between the Registrant and Memorial Sloan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Kettering Cancer Center (incorporated by reference to Exhibit 10.2 to the Form S-1 filed August 24, 2018).</w:t>
              </w:r>
            </w:hyperlink>
          </w:p>
        </w:tc>
        <w:tc>
          <w:tcPr>
            <w:tcW w:w="20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7480" w:type="dxa"/>
            <w:vAlign w:val="bottom"/>
            <w:tcBorders>
              <w:bottom w:val="single" w:sz="8" w:color="0000EE"/>
            </w:tcBorders>
            <w:gridSpan w:val="16"/>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Sponsored Research Agreement, effective as of November 10, 2015, by and between the Registrant and</w:t>
              </w:r>
            </w:hyperlink>
          </w:p>
        </w:tc>
        <w:tc>
          <w:tcPr>
            <w:tcW w:w="46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Memorial Sloan Kettering Cancer Center Registrant (incorporated by reference to Exhibit 10.3 to the Form S-</w:t>
              </w:r>
            </w:hyperlink>
          </w:p>
        </w:tc>
      </w:tr>
      <w:tr>
        <w:trPr>
          <w:trHeight w:val="196"/>
        </w:trPr>
        <w:tc>
          <w:tcPr>
            <w:tcW w:w="10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1 filed August 24, 2018).</w:t>
              </w:r>
            </w:hyperlink>
          </w:p>
        </w:tc>
        <w:tc>
          <w:tcPr>
            <w:tcW w:w="6100" w:type="dxa"/>
            <w:vAlign w:val="bottom"/>
            <w:tcBorders>
              <w:top w:val="single" w:sz="8" w:color="0000EE"/>
            </w:tcBorders>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940" w:type="dxa"/>
            <w:vAlign w:val="bottom"/>
            <w:gridSpan w:val="28"/>
          </w:tcPr>
          <w:p>
            <w:pPr>
              <w:spacing w:after="0"/>
              <w:rPr>
                <w:rFonts w:ascii="Arial" w:cs="Arial" w:eastAsia="Arial" w:hAnsi="Arial"/>
                <w:sz w:val="18"/>
                <w:szCs w:val="18"/>
                <w:color w:val="0000EE"/>
                <w:w w:val="93"/>
              </w:rPr>
            </w:pPr>
            <w:hyperlink r:id="rId201">
              <w:r>
                <w:rPr>
                  <w:rFonts w:ascii="Arial" w:cs="Arial" w:eastAsia="Arial" w:hAnsi="Arial"/>
                  <w:sz w:val="18"/>
                  <w:szCs w:val="18"/>
                  <w:color w:val="0000EE"/>
                  <w:w w:val="93"/>
                </w:rPr>
                <w:t>Sponsored Research Agreement, dated November 13, 2017, by and between the Registrant and Memorial</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w w:val="94"/>
              </w:rPr>
            </w:pPr>
            <w:hyperlink r:id="rId201">
              <w:r>
                <w:rPr>
                  <w:rFonts w:ascii="Arial" w:cs="Arial" w:eastAsia="Arial" w:hAnsi="Arial"/>
                  <w:sz w:val="18"/>
                  <w:szCs w:val="18"/>
                  <w:color w:val="0000EE"/>
                  <w:w w:val="94"/>
                </w:rPr>
                <w:t>Sloan Kettering Cancer Center (incorporated by reference to Exhibit 10.4 to the Form S-1 filed August 24,</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2018).</w:t>
              </w:r>
            </w:hyperlink>
          </w:p>
        </w:tc>
        <w:tc>
          <w:tcPr>
            <w:tcW w:w="1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7800" w:type="dxa"/>
            <w:vAlign w:val="bottom"/>
            <w:tcBorders>
              <w:bottom w:val="single" w:sz="8" w:color="0000EE"/>
            </w:tcBorders>
            <w:gridSpan w:val="23"/>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Investigator-Sponsored Master Clinical Trial Agreement, dated as of June 21, 2017, as amended on October</w:t>
              </w:r>
            </w:hyperlink>
          </w:p>
        </w:tc>
        <w:tc>
          <w:tcPr>
            <w:tcW w:w="1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11, 2017, by and between the Registrant and Memorial Sloan Kettering Cancer Center (incorporated by</w:t>
              </w:r>
            </w:hyperlink>
          </w:p>
        </w:tc>
        <w:tc>
          <w:tcPr>
            <w:tcW w:w="480" w:type="dxa"/>
            <w:vAlign w:val="bottom"/>
            <w:gridSpan w:val="1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7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reference to Exhibit 10.5 to the Form S-1 filed August 24, 2018).</w:t>
              </w:r>
            </w:hyperlink>
          </w:p>
        </w:tc>
        <w:tc>
          <w:tcPr>
            <w:tcW w:w="3240" w:type="dxa"/>
            <w:vAlign w:val="bottom"/>
            <w:gridSpan w:val="2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7780" w:type="dxa"/>
            <w:vAlign w:val="bottom"/>
            <w:tcBorders>
              <w:bottom w:val="single" w:sz="8" w:color="0000EE"/>
            </w:tcBorders>
            <w:gridSpan w:val="22"/>
          </w:tcPr>
          <w:p>
            <w:pPr>
              <w:spacing w:after="0"/>
              <w:rPr>
                <w:rFonts w:ascii="Arial" w:cs="Arial" w:eastAsia="Arial" w:hAnsi="Arial"/>
                <w:sz w:val="18"/>
                <w:szCs w:val="18"/>
                <w:color w:val="0000EE"/>
                <w:w w:val="88"/>
              </w:rPr>
            </w:pPr>
            <w:hyperlink r:id="rId203">
              <w:r>
                <w:rPr>
                  <w:rFonts w:ascii="Arial" w:cs="Arial" w:eastAsia="Arial" w:hAnsi="Arial"/>
                  <w:sz w:val="18"/>
                  <w:szCs w:val="18"/>
                  <w:color w:val="0000EE"/>
                  <w:w w:val="88"/>
                </w:rPr>
                <w:t>Master Data Services Agreement, dated as of September 23, 2016, as amended on October 11, 2017, by and</w:t>
              </w:r>
            </w:hyperlink>
          </w:p>
        </w:tc>
        <w:tc>
          <w:tcPr>
            <w:tcW w:w="16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w w:val="93"/>
              </w:rPr>
            </w:pPr>
            <w:hyperlink r:id="rId203">
              <w:r>
                <w:rPr>
                  <w:rFonts w:ascii="Arial" w:cs="Arial" w:eastAsia="Arial" w:hAnsi="Arial"/>
                  <w:sz w:val="18"/>
                  <w:szCs w:val="18"/>
                  <w:color w:val="0000EE"/>
                  <w:w w:val="93"/>
                </w:rPr>
                <w:t>between the Registrant and Memorial Sloan Kettering Cancer Center (incorporated by reference to Exhibit</w:t>
              </w:r>
            </w:hyperlink>
          </w:p>
        </w:tc>
      </w:tr>
      <w:tr>
        <w:trPr>
          <w:trHeight w:val="196"/>
        </w:trPr>
        <w:tc>
          <w:tcPr>
            <w:tcW w:w="10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r>
                <w:rPr>
                  <w:rFonts w:ascii="Arial" w:cs="Arial" w:eastAsia="Arial" w:hAnsi="Arial"/>
                  <w:sz w:val="18"/>
                  <w:szCs w:val="18"/>
                  <w:color w:val="0000EE"/>
                  <w:w w:val="91"/>
                </w:rPr>
                <w:t xml:space="preserve"> to the Form S-1 filed August 24, 2018).</w:t>
              </w:r>
            </w:hyperlink>
          </w:p>
        </w:tc>
        <w:tc>
          <w:tcPr>
            <w:tcW w:w="4460" w:type="dxa"/>
            <w:vAlign w:val="bottom"/>
            <w:tcBorders>
              <w:top w:val="single" w:sz="8" w:color="0000EE"/>
            </w:tcBorders>
            <w:gridSpan w:val="14"/>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7940" w:type="dxa"/>
            <w:vAlign w:val="bottom"/>
            <w:gridSpan w:val="28"/>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Amended and Restated 2015 Equity Incentive Plan (incorporated by reference to Exhibit 10.7 to the Form S-</w:t>
              </w:r>
            </w:hyperlink>
          </w:p>
        </w:tc>
      </w:tr>
      <w:tr>
        <w:trPr>
          <w:trHeight w:val="196"/>
        </w:trPr>
        <w:tc>
          <w:tcPr>
            <w:tcW w:w="10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1 filed August 24, 2018).</w:t>
              </w:r>
            </w:hyperlink>
          </w:p>
        </w:tc>
        <w:tc>
          <w:tcPr>
            <w:tcW w:w="6020" w:type="dxa"/>
            <w:vAlign w:val="bottom"/>
            <w:tcBorders>
              <w:top w:val="single" w:sz="8" w:color="0000EE"/>
            </w:tcBorders>
            <w:gridSpan w:val="21"/>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7280" w:type="dxa"/>
            <w:vAlign w:val="bottom"/>
            <w:tcBorders>
              <w:bottom w:val="single" w:sz="8" w:color="0000EE"/>
            </w:tcBorders>
            <w:gridSpan w:val="1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Form of Notice of Grant and Stock Option Agreement under the Amended and Restated 2015 Equity</w:t>
              </w:r>
            </w:hyperlink>
          </w:p>
        </w:tc>
        <w:tc>
          <w:tcPr>
            <w:tcW w:w="660" w:type="dxa"/>
            <w:vAlign w:val="bottom"/>
            <w:gridSpan w:val="1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0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Incentive Plan (incorporated by reference to Exhibit 10.8 to the Form S-1 filed August 24, 2018).</w:t>
              </w:r>
            </w:hyperlink>
          </w:p>
        </w:tc>
        <w:tc>
          <w:tcPr>
            <w:tcW w:w="920" w:type="dxa"/>
            <w:vAlign w:val="bottom"/>
            <w:gridSpan w:val="1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7940" w:type="dxa"/>
            <w:vAlign w:val="bottom"/>
            <w:gridSpan w:val="28"/>
          </w:tcPr>
          <w:p>
            <w:pPr>
              <w:spacing w:after="0"/>
              <w:rPr>
                <w:rFonts w:ascii="Arial" w:cs="Arial" w:eastAsia="Arial" w:hAnsi="Arial"/>
                <w:sz w:val="18"/>
                <w:szCs w:val="18"/>
                <w:color w:val="0000EE"/>
                <w:w w:val="98"/>
              </w:rPr>
            </w:pPr>
            <w:hyperlink r:id="rId206">
              <w:r>
                <w:rPr>
                  <w:rFonts w:ascii="Arial" w:cs="Arial" w:eastAsia="Arial" w:hAnsi="Arial"/>
                  <w:sz w:val="18"/>
                  <w:szCs w:val="18"/>
                  <w:color w:val="0000EE"/>
                  <w:w w:val="98"/>
                </w:rPr>
                <w:t>2018 Equity Incentive Plan (incorporated by reference to Exhibit 10.9 to the Form S-1 filed August 24,</w:t>
              </w:r>
            </w:hyperlink>
          </w:p>
        </w:tc>
      </w:tr>
      <w:tr>
        <w:trPr>
          <w:trHeight w:val="196"/>
        </w:trPr>
        <w:tc>
          <w:tcPr>
            <w:tcW w:w="106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2018).</w:t>
              </w:r>
            </w:hyperlink>
          </w:p>
        </w:tc>
        <w:tc>
          <w:tcPr>
            <w:tcW w:w="1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7940" w:type="dxa"/>
            <w:vAlign w:val="bottom"/>
            <w:gridSpan w:val="28"/>
          </w:tcPr>
          <w:p>
            <w:pPr>
              <w:spacing w:after="0"/>
              <w:rPr>
                <w:rFonts w:ascii="Arial" w:cs="Arial" w:eastAsia="Arial" w:hAnsi="Arial"/>
                <w:sz w:val="18"/>
                <w:szCs w:val="18"/>
                <w:color w:val="0000EE"/>
                <w:w w:val="97"/>
              </w:rPr>
            </w:pPr>
            <w:hyperlink r:id="rId207">
              <w:r>
                <w:rPr>
                  <w:rFonts w:ascii="Arial" w:cs="Arial" w:eastAsia="Arial" w:hAnsi="Arial"/>
                  <w:sz w:val="18"/>
                  <w:szCs w:val="18"/>
                  <w:color w:val="0000EE"/>
                  <w:w w:val="97"/>
                </w:rPr>
                <w:t>Form of Stock Option Grant Notice and Stock Option Agreement under the 2018 Equity Incentive Plan</w:t>
              </w:r>
            </w:hyperlink>
          </w:p>
        </w:tc>
      </w:tr>
      <w:tr>
        <w:trPr>
          <w:trHeight w:val="196"/>
        </w:trPr>
        <w:tc>
          <w:tcPr>
            <w:tcW w:w="1060" w:type="dxa"/>
            <w:vAlign w:val="bottom"/>
          </w:tcPr>
          <w:p>
            <w:pPr>
              <w:spacing w:after="0"/>
              <w:rPr>
                <w:sz w:val="17"/>
                <w:szCs w:val="17"/>
                <w:color w:val="auto"/>
              </w:rPr>
            </w:pPr>
          </w:p>
        </w:tc>
        <w:tc>
          <w:tcPr>
            <w:tcW w:w="7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(incorporated by reference to Exhibit 10.10 to the Form S-1 filed August 24, 2018).</w:t>
              </w:r>
            </w:hyperlink>
          </w:p>
        </w:tc>
        <w:tc>
          <w:tcPr>
            <w:tcW w:w="50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7940" w:type="dxa"/>
            <w:vAlign w:val="bottom"/>
            <w:gridSpan w:val="28"/>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Form of Officers and Directors Indemnification Agreement (incorporated by reference to Exhibit 10.11 to the</w:t>
              </w:r>
            </w:hyperlink>
          </w:p>
        </w:tc>
      </w:tr>
      <w:tr>
        <w:trPr>
          <w:trHeight w:val="196"/>
        </w:trPr>
        <w:tc>
          <w:tcPr>
            <w:tcW w:w="1060" w:type="dxa"/>
            <w:vAlign w:val="bottom"/>
          </w:tcPr>
          <w:p>
            <w:pPr>
              <w:spacing w:after="0"/>
              <w:rPr>
                <w:sz w:val="17"/>
                <w:szCs w:val="17"/>
                <w:color w:val="auto"/>
              </w:rPr>
            </w:pPr>
          </w:p>
        </w:tc>
        <w:tc>
          <w:tcPr>
            <w:tcW w:w="7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Form S-1 filed August 24, 2018).</w:t>
              </w:r>
            </w:hyperlink>
          </w:p>
        </w:tc>
        <w:tc>
          <w:tcPr>
            <w:tcW w:w="6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7720" w:type="dxa"/>
            <w:vAlign w:val="bottom"/>
            <w:tcBorders>
              <w:bottom w:val="single" w:sz="8" w:color="0000EE"/>
            </w:tcBorders>
            <w:gridSpan w:val="20"/>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Service Agreement, effective as of April 1, 2016 between the Registrant and Thomas Gad (incorporated by</w:t>
              </w:r>
            </w:hyperlink>
          </w:p>
        </w:tc>
        <w:tc>
          <w:tcPr>
            <w:tcW w:w="2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reference to Exhibit 10.12 to the Form S-1 filed August 24, 2018).</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20" w:type="dxa"/>
            <w:vAlign w:val="bottom"/>
            <w:gridSpan w:val="6"/>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7940" w:type="dxa"/>
            <w:vAlign w:val="bottom"/>
            <w:gridSpan w:val="28"/>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Service Agreement, effective as of March 1, 2016 between the Registrant and Dr. Claus Juan Møller San</w:t>
              </w:r>
            </w:hyperlink>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Pedro, M.D., Ph.D. (incorporated by reference to Exhibit 10.13 to the Form S-1 filed August 24, 2018).</w:t>
              </w:r>
            </w:hyperlink>
          </w:p>
        </w:tc>
        <w:tc>
          <w:tcPr>
            <w:tcW w:w="80" w:type="dxa"/>
            <w:vAlign w:val="bottom"/>
            <w:tcBorders>
              <w:top w:val="single" w:sz="8" w:color="0000EE"/>
            </w:tcBorders>
            <w:gridSpan w:val="2"/>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7940" w:type="dxa"/>
            <w:vAlign w:val="bottom"/>
            <w:gridSpan w:val="28"/>
          </w:tcPr>
          <w:p>
            <w:pPr>
              <w:spacing w:after="0"/>
              <w:rPr>
                <w:rFonts w:ascii="Arial" w:cs="Arial" w:eastAsia="Arial" w:hAnsi="Arial"/>
                <w:sz w:val="18"/>
                <w:szCs w:val="18"/>
                <w:color w:val="0000EE"/>
                <w:w w:val="98"/>
              </w:rPr>
            </w:pPr>
            <w:hyperlink r:id="rId211">
              <w:r>
                <w:rPr>
                  <w:rFonts w:ascii="Arial" w:cs="Arial" w:eastAsia="Arial" w:hAnsi="Arial"/>
                  <w:sz w:val="18"/>
                  <w:szCs w:val="18"/>
                  <w:color w:val="0000EE"/>
                  <w:w w:val="98"/>
                </w:rPr>
                <w:t>Service Agreement, effective as of October 1, 2016 between Y-mAbs Therapeutics A/S and Bo Kruse</w:t>
              </w:r>
            </w:hyperlink>
          </w:p>
        </w:tc>
      </w:tr>
      <w:tr>
        <w:trPr>
          <w:trHeight w:val="196"/>
        </w:trPr>
        <w:tc>
          <w:tcPr>
            <w:tcW w:w="1060" w:type="dxa"/>
            <w:vAlign w:val="bottom"/>
          </w:tcPr>
          <w:p>
            <w:pPr>
              <w:spacing w:after="0"/>
              <w:rPr>
                <w:sz w:val="17"/>
                <w:szCs w:val="17"/>
                <w:color w:val="auto"/>
              </w:rPr>
            </w:pPr>
          </w:p>
        </w:tc>
        <w:tc>
          <w:tcPr>
            <w:tcW w:w="7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(incorporated by reference to Exhibit 10.14 to the Form S-1 filed August 24, 2018).</w:t>
              </w:r>
            </w:hyperlink>
          </w:p>
        </w:tc>
        <w:tc>
          <w:tcPr>
            <w:tcW w:w="620" w:type="dxa"/>
            <w:vAlign w:val="bottom"/>
            <w:gridSpan w:val="1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7940" w:type="dxa"/>
            <w:vAlign w:val="bottom"/>
            <w:gridSpan w:val="28"/>
          </w:tcPr>
          <w:p>
            <w:pPr>
              <w:spacing w:after="0"/>
              <w:rPr>
                <w:rFonts w:ascii="Arial" w:cs="Arial" w:eastAsia="Arial" w:hAnsi="Arial"/>
                <w:sz w:val="18"/>
                <w:szCs w:val="18"/>
                <w:color w:val="0000EE"/>
                <w:w w:val="99"/>
              </w:rPr>
            </w:pPr>
            <w:hyperlink r:id="rId212">
              <w:r>
                <w:rPr>
                  <w:rFonts w:ascii="Arial" w:cs="Arial" w:eastAsia="Arial" w:hAnsi="Arial"/>
                  <w:sz w:val="18"/>
                  <w:szCs w:val="18"/>
                  <w:color w:val="0000EE"/>
                  <w:w w:val="99"/>
                </w:rPr>
                <w:t>Lease Agreement dated January 10, 2018, by and between the Registrant and RXR HB Owner LLC</w:t>
              </w:r>
            </w:hyperlink>
          </w:p>
        </w:tc>
      </w:tr>
      <w:tr>
        <w:trPr>
          <w:trHeight w:val="196"/>
        </w:trPr>
        <w:tc>
          <w:tcPr>
            <w:tcW w:w="1060" w:type="dxa"/>
            <w:vAlign w:val="bottom"/>
          </w:tcPr>
          <w:p>
            <w:pPr>
              <w:spacing w:after="0"/>
              <w:rPr>
                <w:sz w:val="17"/>
                <w:szCs w:val="17"/>
                <w:color w:val="auto"/>
              </w:rPr>
            </w:pPr>
          </w:p>
        </w:tc>
        <w:tc>
          <w:tcPr>
            <w:tcW w:w="7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(incorporated by reference to Exhibit 10.15 to the Form S-1 filed August 24, 2018).</w:t>
              </w:r>
            </w:hyperlink>
          </w:p>
        </w:tc>
        <w:tc>
          <w:tcPr>
            <w:tcW w:w="760" w:type="dxa"/>
            <w:vAlign w:val="bottom"/>
            <w:gridSpan w:val="1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7940" w:type="dxa"/>
            <w:vAlign w:val="bottom"/>
            <w:gridSpan w:val="28"/>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Form of Restricted Stock Award Grant Notice and Restricted Stock Award Agreement under the 2018 Equity</w:t>
              </w:r>
            </w:hyperlink>
          </w:p>
        </w:tc>
      </w:tr>
      <w:tr>
        <w:trPr>
          <w:trHeight w:val="196"/>
        </w:trPr>
        <w:tc>
          <w:tcPr>
            <w:tcW w:w="1060" w:type="dxa"/>
            <w:vAlign w:val="bottom"/>
          </w:tcPr>
          <w:p>
            <w:pPr>
              <w:spacing w:after="0"/>
              <w:rPr>
                <w:sz w:val="17"/>
                <w:szCs w:val="17"/>
                <w:color w:val="auto"/>
              </w:rPr>
            </w:pPr>
          </w:p>
        </w:tc>
        <w:tc>
          <w:tcPr>
            <w:tcW w:w="7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Incentive Plan (incorporated by reference to Exhibit 10.17 to the Form S-1 filed August 24, 2018).</w:t>
              </w:r>
            </w:hyperlink>
          </w:p>
        </w:tc>
        <w:tc>
          <w:tcPr>
            <w:tcW w:w="8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40" w:type="dxa"/>
            <w:vAlign w:val="bottom"/>
            <w:gridSpan w:val="9"/>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7940" w:type="dxa"/>
            <w:vAlign w:val="bottom"/>
            <w:gridSpan w:val="28"/>
          </w:tcPr>
          <w:p>
            <w:pPr>
              <w:spacing w:after="0"/>
              <w:rPr>
                <w:rFonts w:ascii="Arial" w:cs="Arial" w:eastAsia="Arial" w:hAnsi="Arial"/>
                <w:sz w:val="18"/>
                <w:szCs w:val="18"/>
                <w:color w:val="0000EE"/>
                <w:w w:val="94"/>
              </w:rPr>
            </w:pPr>
            <w:hyperlink r:id="rId213">
              <w:r>
                <w:rPr>
                  <w:rFonts w:ascii="Arial" w:cs="Arial" w:eastAsia="Arial" w:hAnsi="Arial"/>
                  <w:sz w:val="18"/>
                  <w:szCs w:val="18"/>
                  <w:color w:val="0000EE"/>
                  <w:w w:val="94"/>
                </w:rPr>
                <w:t>Form of Restricted Stock Unit Award Grant Notice and Restricted Stock Unit Award Agreement under the</w:t>
              </w:r>
            </w:hyperlink>
          </w:p>
        </w:tc>
      </w:tr>
      <w:tr>
        <w:trPr>
          <w:trHeight w:val="196"/>
        </w:trPr>
        <w:tc>
          <w:tcPr>
            <w:tcW w:w="1060" w:type="dxa"/>
            <w:vAlign w:val="bottom"/>
          </w:tcPr>
          <w:p>
            <w:pPr>
              <w:spacing w:after="0"/>
              <w:rPr>
                <w:sz w:val="17"/>
                <w:szCs w:val="17"/>
                <w:color w:val="auto"/>
              </w:rPr>
            </w:pPr>
          </w:p>
        </w:tc>
        <w:tc>
          <w:tcPr>
            <w:tcW w:w="766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2018 Equity Incentive Plan (incorporated by reference to Exhibit 10.18 to the Form S-1 filed August 24,</w:t>
              </w:r>
            </w:hyperlink>
          </w:p>
        </w:tc>
        <w:tc>
          <w:tcPr>
            <w:tcW w:w="2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13">
              <w:r>
                <w:rPr>
                  <w:rFonts w:ascii="Arial" w:cs="Arial" w:eastAsia="Arial" w:hAnsi="Arial"/>
                  <w:sz w:val="18"/>
                  <w:szCs w:val="18"/>
                  <w:color w:val="0000EE"/>
                  <w:w w:val="86"/>
                </w:rPr>
                <w:t>2018).</w:t>
              </w:r>
            </w:hyperlink>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5"/>
        </w:trPr>
        <w:tc>
          <w:tcPr>
            <w:tcW w:w="1060" w:type="dxa"/>
            <w:vAlign w:val="bottom"/>
          </w:tcPr>
          <w:p>
            <w:pPr>
              <w:spacing w:after="0"/>
              <w:rPr>
                <w:sz w:val="24"/>
                <w:szCs w:val="24"/>
                <w:color w:val="auto"/>
              </w:rPr>
            </w:pPr>
          </w:p>
        </w:tc>
        <w:tc>
          <w:tcPr>
            <w:tcW w:w="4700" w:type="dxa"/>
            <w:vAlign w:val="bottom"/>
            <w:gridSpan w:val="6"/>
          </w:tcPr>
          <w:p>
            <w:pPr>
              <w:ind w:left="330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20"/>
          </w:cols>
          <w:pgMar w:left="1440" w:top="125" w:right="1439" w:bottom="1440" w:gutter="0" w:footer="0" w:header="0"/>
        </w:sectPr>
      </w:pPr>
    </w:p>
    <w:bookmarkStart w:id="165" w:name="page166"/>
    <w:bookmarkEnd w:id="165"/>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412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Non-Employee Director Compensation Policy</w:t>
              </w:r>
            </w:hyperlink>
          </w:p>
        </w:tc>
        <w:tc>
          <w:tcPr>
            <w:tcW w:w="66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(incorporated by reference to Exhibit 10.19 to the Form</w:t>
              </w:r>
            </w:hyperlink>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gridSpan w:val="11"/>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S-1 filed August 24, 2018)</w:t>
              </w:r>
              <w:r>
                <w:rPr>
                  <w:rFonts w:ascii="Arial" w:cs="Arial" w:eastAsia="Arial" w:hAnsi="Arial"/>
                  <w:sz w:val="18"/>
                  <w:szCs w:val="18"/>
                  <w:color w:val="000000"/>
                </w:rPr>
                <w:t>.</w:t>
              </w:r>
            </w:hyperlink>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412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rPr>
            </w:pPr>
            <w:hyperlink r:id="rId215">
              <w:r>
                <w:rPr>
                  <w:rFonts w:ascii="Arial" w:cs="Arial" w:eastAsia="Arial" w:hAnsi="Arial"/>
                  <w:sz w:val="18"/>
                  <w:szCs w:val="18"/>
                  <w:color w:val="0000EE"/>
                </w:rPr>
                <w:t>Employee Stock Purchase Plan (incorporated by</w:t>
              </w:r>
            </w:hyperlink>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reference to Exhibit 10.20 to the Form S-1 filed August</w:t>
              </w:r>
            </w:hyperlink>
          </w:p>
        </w:tc>
      </w:tr>
      <w:tr>
        <w:trPr>
          <w:trHeight w:val="196"/>
        </w:trPr>
        <w:tc>
          <w:tcPr>
            <w:tcW w:w="860" w:type="dxa"/>
            <w:vAlign w:val="bottom"/>
          </w:tcPr>
          <w:p>
            <w:pPr>
              <w:spacing w:after="0"/>
              <w:rPr>
                <w:sz w:val="17"/>
                <w:szCs w:val="17"/>
                <w:color w:val="auto"/>
              </w:rPr>
            </w:pPr>
          </w:p>
        </w:tc>
        <w:tc>
          <w:tcPr>
            <w:tcW w:w="4860" w:type="dxa"/>
            <w:vAlign w:val="bottom"/>
            <w:gridSpan w:val="2"/>
          </w:tcPr>
          <w:p>
            <w:pPr>
              <w:ind w:left="4120"/>
              <w:spacing w:after="0" w:line="196"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24, 2018).</w:t>
              </w:r>
            </w:hyperlink>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412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rPr>
            </w:pPr>
            <w:hyperlink r:id="rId216">
              <w:r>
                <w:rPr>
                  <w:rFonts w:ascii="Arial" w:cs="Arial" w:eastAsia="Arial" w:hAnsi="Arial"/>
                  <w:sz w:val="18"/>
                  <w:szCs w:val="18"/>
                  <w:color w:val="0000EE"/>
                </w:rPr>
                <w:t>Subsidiaries of the Registrant (incorporated by</w:t>
              </w:r>
            </w:hyperlink>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0" w:type="dxa"/>
            <w:vAlign w:val="bottom"/>
            <w:gridSpan w:val="11"/>
          </w:tcPr>
          <w:p>
            <w:pPr>
              <w:spacing w:after="0" w:line="196"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reference to Exhibit 21.1 to the Form S-1 filed August</w:t>
              </w:r>
            </w:hyperlink>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60" w:type="dxa"/>
            <w:vAlign w:val="bottom"/>
            <w:gridSpan w:val="2"/>
          </w:tcPr>
          <w:p>
            <w:pPr>
              <w:ind w:left="4120"/>
              <w:spacing w:after="0" w:line="196"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24, 2018).</w:t>
              </w:r>
            </w:hyperlink>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12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w w:val="99"/>
              </w:rPr>
            </w:pPr>
            <w:hyperlink w:anchor="page169">
              <w:r>
                <w:rPr>
                  <w:rFonts w:ascii="Arial" w:cs="Arial" w:eastAsia="Arial" w:hAnsi="Arial"/>
                  <w:sz w:val="18"/>
                  <w:szCs w:val="18"/>
                  <w:color w:val="0000EE"/>
                  <w:w w:val="99"/>
                </w:rPr>
                <w:t>Certification of Chief Executive Officer pursuant to</w:t>
              </w:r>
            </w:hyperlink>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69">
              <w:r>
                <w:rPr>
                  <w:rFonts w:ascii="Arial" w:cs="Arial" w:eastAsia="Arial" w:hAnsi="Arial"/>
                  <w:sz w:val="18"/>
                  <w:szCs w:val="18"/>
                  <w:color w:val="0000EE"/>
                  <w:w w:val="90"/>
                </w:rPr>
                <w:t>Section 302 of the Sarbanes-Oxley Act.</w:t>
              </w:r>
            </w:hyperlink>
          </w:p>
        </w:tc>
        <w:tc>
          <w:tcPr>
            <w:tcW w:w="860" w:type="dxa"/>
            <w:vAlign w:val="bottom"/>
            <w:tcBorders>
              <w:top w:val="single" w:sz="8" w:color="0000EE"/>
            </w:tcBorders>
            <w:gridSpan w:val="6"/>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120" w:type="dxa"/>
            <w:vAlign w:val="bottom"/>
          </w:tcPr>
          <w:p>
            <w:pPr>
              <w:spacing w:after="0"/>
              <w:rPr>
                <w:sz w:val="24"/>
                <w:szCs w:val="24"/>
                <w:color w:val="auto"/>
              </w:rPr>
            </w:pPr>
          </w:p>
        </w:tc>
        <w:tc>
          <w:tcPr>
            <w:tcW w:w="36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Certification of Chief Financial Officer pursuant to</w:t>
              </w:r>
            </w:hyperlink>
          </w:p>
        </w:tc>
        <w:tc>
          <w:tcPr>
            <w:tcW w:w="320" w:type="dxa"/>
            <w:vAlign w:val="bottom"/>
            <w:gridSpan w:val="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Section 302 of the Sarbanes-Oxley Act.</w:t>
              </w:r>
            </w:hyperlink>
          </w:p>
        </w:tc>
        <w:tc>
          <w:tcPr>
            <w:tcW w:w="1120" w:type="dxa"/>
            <w:vAlign w:val="bottom"/>
            <w:gridSpan w:val="7"/>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4120" w:type="dxa"/>
            <w:vAlign w:val="bottom"/>
          </w:tcPr>
          <w:p>
            <w:pPr>
              <w:spacing w:after="0"/>
              <w:rPr>
                <w:sz w:val="24"/>
                <w:szCs w:val="24"/>
                <w:color w:val="auto"/>
              </w:rPr>
            </w:pPr>
          </w:p>
        </w:tc>
        <w:tc>
          <w:tcPr>
            <w:tcW w:w="4000" w:type="dxa"/>
            <w:vAlign w:val="bottom"/>
            <w:gridSpan w:val="11"/>
          </w:tcPr>
          <w:p>
            <w:pPr>
              <w:spacing w:after="0"/>
              <w:rPr>
                <w:rFonts w:ascii="Arial" w:cs="Arial" w:eastAsia="Arial" w:hAnsi="Arial"/>
                <w:sz w:val="18"/>
                <w:szCs w:val="18"/>
                <w:color w:val="0000EE"/>
                <w:w w:val="99"/>
              </w:rPr>
            </w:pPr>
            <w:hyperlink w:anchor="page171">
              <w:r>
                <w:rPr>
                  <w:rFonts w:ascii="Arial" w:cs="Arial" w:eastAsia="Arial" w:hAnsi="Arial"/>
                  <w:sz w:val="18"/>
                  <w:szCs w:val="18"/>
                  <w:color w:val="0000EE"/>
                  <w:w w:val="99"/>
                </w:rPr>
                <w:t>Certification of Chief Executive Officer pursuant to</w:t>
              </w:r>
            </w:hyperlink>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Section 906 of the Sarbanes-Oxley Act.</w:t>
              </w:r>
            </w:hyperlink>
          </w:p>
        </w:tc>
        <w:tc>
          <w:tcPr>
            <w:tcW w:w="860" w:type="dxa"/>
            <w:vAlign w:val="bottom"/>
            <w:tcBorders>
              <w:top w:val="single" w:sz="8" w:color="0000EE"/>
            </w:tcBorders>
            <w:gridSpan w:val="6"/>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4120" w:type="dxa"/>
            <w:vAlign w:val="bottom"/>
          </w:tcPr>
          <w:p>
            <w:pPr>
              <w:spacing w:after="0"/>
              <w:rPr>
                <w:sz w:val="24"/>
                <w:szCs w:val="24"/>
                <w:color w:val="auto"/>
              </w:rPr>
            </w:pPr>
          </w:p>
        </w:tc>
        <w:tc>
          <w:tcPr>
            <w:tcW w:w="36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72">
              <w:r>
                <w:rPr>
                  <w:rFonts w:ascii="Arial" w:cs="Arial" w:eastAsia="Arial" w:hAnsi="Arial"/>
                  <w:sz w:val="18"/>
                  <w:szCs w:val="18"/>
                  <w:color w:val="0000EE"/>
                  <w:w w:val="93"/>
                </w:rPr>
                <w:t>Certification of Chief Financial Officer pursuant to</w:t>
              </w:r>
            </w:hyperlink>
          </w:p>
        </w:tc>
        <w:tc>
          <w:tcPr>
            <w:tcW w:w="320" w:type="dxa"/>
            <w:vAlign w:val="bottom"/>
            <w:gridSpan w:val="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Section 906 of the Sarbanes-Oxley Act.</w:t>
              </w:r>
            </w:hyperlink>
          </w:p>
        </w:tc>
        <w:tc>
          <w:tcPr>
            <w:tcW w:w="1140" w:type="dxa"/>
            <w:vAlign w:val="bottom"/>
            <w:gridSpan w:val="8"/>
          </w:tcPr>
          <w:p>
            <w:pPr>
              <w:spacing w:after="0"/>
              <w:rPr>
                <w:sz w:val="17"/>
                <w:szCs w:val="17"/>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4120" w:type="dxa"/>
            <w:vAlign w:val="bottom"/>
          </w:tcPr>
          <w:p>
            <w:pPr>
              <w:spacing w:after="0"/>
              <w:rPr>
                <w:sz w:val="24"/>
                <w:szCs w:val="24"/>
                <w:color w:val="auto"/>
              </w:rPr>
            </w:pPr>
          </w:p>
        </w:tc>
        <w:tc>
          <w:tcPr>
            <w:tcW w:w="40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8120" w:type="dxa"/>
            <w:vAlign w:val="bottom"/>
            <w:gridSpan w:val="12"/>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8120" w:type="dxa"/>
            <w:vAlign w:val="bottom"/>
            <w:gridSpan w:val="1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8120" w:type="dxa"/>
            <w:vAlign w:val="bottom"/>
            <w:gridSpan w:val="12"/>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8120" w:type="dxa"/>
            <w:vAlign w:val="bottom"/>
            <w:gridSpan w:val="12"/>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8120" w:type="dxa"/>
            <w:vAlign w:val="bottom"/>
            <w:gridSpan w:val="1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_______________</w:t>
      </w:r>
    </w:p>
    <w:p>
      <w:pPr>
        <w:spacing w:after="0" w:line="27" w:lineRule="exact"/>
        <w:rPr>
          <w:sz w:val="20"/>
          <w:szCs w:val="20"/>
          <w:color w:val="auto"/>
        </w:rPr>
      </w:pPr>
    </w:p>
    <w:p>
      <w:pPr>
        <w:ind w:left="20" w:right="159"/>
        <w:spacing w:after="0" w:line="25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certifications attached as Exhibits 32.1 and 32.2 that accompany this Annual Report on Form 10-K are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20" w:right="339"/>
        <w:spacing w:after="0" w:line="261" w:lineRule="auto"/>
        <w:rPr>
          <w:sz w:val="20"/>
          <w:szCs w:val="20"/>
          <w:color w:val="auto"/>
        </w:rPr>
      </w:pPr>
      <w:r>
        <w:rPr>
          <w:rFonts w:ascii="Arial" w:cs="Arial" w:eastAsia="Arial" w:hAnsi="Arial"/>
          <w:sz w:val="18"/>
          <w:szCs w:val="18"/>
          <w:color w:val="auto"/>
        </w:rPr>
        <w:t>+Portions of the exhibit have been omitted pursuant to an order granted by the Securities and Exchange Commission for confidential treatment.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6" w:name="page167"/>
    <w:bookmarkEnd w:id="166"/>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20" w:right="8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960" w:type="dxa"/>
            <w:vAlign w:val="bottom"/>
            <w:gridSpan w:val="2"/>
          </w:tcPr>
          <w:p>
            <w:pPr>
              <w:ind w:left="1360"/>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March 22, 2019</w:t>
            </w:r>
          </w:p>
        </w:tc>
        <w:tc>
          <w:tcPr>
            <w:tcW w:w="1360" w:type="dxa"/>
            <w:vAlign w:val="bottom"/>
          </w:tcPr>
          <w:p>
            <w:pPr>
              <w:spacing w:after="0"/>
              <w:rPr>
                <w:sz w:val="24"/>
                <w:szCs w:val="24"/>
                <w:color w:val="auto"/>
              </w:rPr>
            </w:pPr>
          </w:p>
        </w:tc>
        <w:tc>
          <w:tcPr>
            <w:tcW w:w="46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 THOMAS GAD</w:t>
            </w:r>
          </w:p>
        </w:tc>
      </w:tr>
      <w:tr>
        <w:trPr>
          <w:trHeight w:val="195"/>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8"/>
              </w:rPr>
              <w:t>Thomas Gad</w:t>
            </w:r>
          </w:p>
        </w:tc>
      </w:tr>
      <w:tr>
        <w:trPr>
          <w:trHeight w:val="216"/>
        </w:trPr>
        <w:tc>
          <w:tcPr>
            <w:tcW w:w="3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0" w:type="dxa"/>
            <w:vAlign w:val="bottom"/>
          </w:tcPr>
          <w:p>
            <w:pPr>
              <w:jc w:val="center"/>
              <w:ind w:left="70"/>
              <w:spacing w:after="0"/>
              <w:rPr>
                <w:sz w:val="20"/>
                <w:szCs w:val="20"/>
                <w:color w:val="auto"/>
              </w:rPr>
            </w:pPr>
            <w:r>
              <w:rPr>
                <w:rFonts w:ascii="Arial" w:cs="Arial" w:eastAsia="Arial" w:hAnsi="Arial"/>
                <w:sz w:val="18"/>
                <w:szCs w:val="18"/>
                <w:i w:val="1"/>
                <w:iCs w:val="1"/>
                <w:color w:val="auto"/>
                <w:w w:val="89"/>
              </w:rPr>
              <w:t>Founder, Chairman, President and Head of Business</w:t>
            </w:r>
          </w:p>
        </w:tc>
      </w:tr>
      <w:tr>
        <w:trPr>
          <w:trHeight w:val="230"/>
        </w:trPr>
        <w:tc>
          <w:tcPr>
            <w:tcW w:w="3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Development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left="20" w:right="40" w:firstLine="648"/>
        <w:spacing w:after="0" w:line="290" w:lineRule="auto"/>
        <w:rPr>
          <w:sz w:val="20"/>
          <w:szCs w:val="20"/>
          <w:color w:val="auto"/>
        </w:rPr>
      </w:pPr>
      <w:r>
        <w:rPr>
          <w:rFonts w:ascii="Arial" w:cs="Arial" w:eastAsia="Arial" w:hAnsi="Arial"/>
          <w:sz w:val="16"/>
          <w:szCs w:val="16"/>
          <w:color w:val="auto"/>
        </w:rPr>
        <w:t>Each person whose signature appears below constitutes and appoints Thomas Gad,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167" w:name="page168"/>
    <w:bookmarkEnd w:id="167"/>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right="43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indicated on the 22</w:t>
      </w:r>
      <w:r>
        <w:rPr>
          <w:rFonts w:ascii="Arial" w:cs="Arial" w:eastAsia="Arial" w:hAnsi="Arial"/>
          <w:sz w:val="8"/>
          <w:szCs w:val="8"/>
          <w:color w:val="auto"/>
        </w:rPr>
        <w:t>nd</w:t>
      </w:r>
      <w:r>
        <w:rPr>
          <w:rFonts w:ascii="Arial" w:cs="Arial" w:eastAsia="Arial" w:hAnsi="Arial"/>
          <w:sz w:val="17"/>
          <w:szCs w:val="17"/>
          <w:color w:val="auto"/>
        </w:rPr>
        <w:t xml:space="preserve"> of March 2019.</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96"/>
              </w:rPr>
              <w:t>/s/ THOMAS GAD</w:t>
            </w:r>
          </w:p>
        </w:tc>
        <w:tc>
          <w:tcPr>
            <w:tcW w:w="4520" w:type="dxa"/>
            <w:vAlign w:val="bottom"/>
          </w:tcPr>
          <w:p>
            <w:pPr>
              <w:ind w:left="180"/>
              <w:spacing w:after="0"/>
              <w:rPr>
                <w:sz w:val="20"/>
                <w:szCs w:val="20"/>
                <w:color w:val="auto"/>
              </w:rPr>
            </w:pPr>
            <w:r>
              <w:rPr>
                <w:rFonts w:ascii="Arial" w:cs="Arial" w:eastAsia="Arial" w:hAnsi="Arial"/>
                <w:sz w:val="18"/>
                <w:szCs w:val="18"/>
                <w:color w:val="auto"/>
                <w:w w:val="90"/>
              </w:rPr>
              <w:t>Founder, Chairman of the Board of Directors, President and</w:t>
            </w:r>
          </w:p>
        </w:tc>
      </w:tr>
      <w:tr>
        <w:trPr>
          <w:trHeight w:val="230"/>
        </w:trPr>
        <w:tc>
          <w:tcPr>
            <w:tcW w:w="4280" w:type="dxa"/>
            <w:vAlign w:val="bottom"/>
            <w:tcBorders>
              <w:bottom w:val="single" w:sz="8" w:color="auto"/>
            </w:tcBorders>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Head of Business Development</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Thomas Gad</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CLAUS JUAN MøLLER SAN PEDRO</w:t>
            </w:r>
          </w:p>
        </w:tc>
        <w:tc>
          <w:tcPr>
            <w:tcW w:w="4520" w:type="dxa"/>
            <w:vAlign w:val="bottom"/>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Claus Juan Møller San Pedro, M.D., Ph.D</w:t>
            </w:r>
          </w:p>
        </w:tc>
        <w:tc>
          <w:tcPr>
            <w:tcW w:w="45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40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/s/ BO KRUSE</w:t>
            </w:r>
          </w:p>
        </w:tc>
        <w:tc>
          <w:tcPr>
            <w:tcW w:w="4520" w:type="dxa"/>
            <w:vAlign w:val="bottom"/>
          </w:tcPr>
          <w:p>
            <w:pPr>
              <w:ind w:left="180"/>
              <w:spacing w:after="0"/>
              <w:rPr>
                <w:sz w:val="20"/>
                <w:szCs w:val="20"/>
                <w:color w:val="auto"/>
              </w:rPr>
            </w:pPr>
            <w:r>
              <w:rPr>
                <w:rFonts w:ascii="Arial" w:cs="Arial" w:eastAsia="Arial" w:hAnsi="Arial"/>
                <w:sz w:val="18"/>
                <w:szCs w:val="18"/>
                <w:color w:val="auto"/>
                <w:w w:val="91"/>
              </w:rPr>
              <w:t>Executive Vice President, Chief Financial Officer, Secretary</w:t>
            </w:r>
          </w:p>
        </w:tc>
      </w:tr>
      <w:tr>
        <w:trPr>
          <w:trHeight w:val="230"/>
        </w:trPr>
        <w:tc>
          <w:tcPr>
            <w:tcW w:w="4280" w:type="dxa"/>
            <w:vAlign w:val="bottom"/>
            <w:tcBorders>
              <w:bottom w:val="single" w:sz="8" w:color="auto"/>
            </w:tcBorders>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Treasurer and 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Bo Kruse</w:t>
            </w:r>
          </w:p>
        </w:tc>
        <w:tc>
          <w:tcPr>
            <w:tcW w:w="4520" w:type="dxa"/>
            <w:vAlign w:val="bottom"/>
          </w:tcPr>
          <w:p>
            <w:pPr>
              <w:ind w:left="180"/>
              <w:spacing w:after="0"/>
              <w:rPr>
                <w:sz w:val="20"/>
                <w:szCs w:val="20"/>
                <w:color w:val="auto"/>
              </w:rPr>
            </w:pPr>
            <w:r>
              <w:rPr>
                <w:rFonts w:ascii="Arial" w:cs="Arial" w:eastAsia="Arial" w:hAnsi="Arial"/>
                <w:sz w:val="18"/>
                <w:szCs w:val="18"/>
                <w:color w:val="auto"/>
              </w:rPr>
              <w:t>(Principal Financial Accounting Officer)</w:t>
            </w: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JOHAN WEDELL-WEDELLSBORG</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Johan Wedell-Wedellsborg</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GREGORY RASKIN</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Gregory Raskin, M.D.</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GÉRARD BER</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Gérard Ber</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ASHUTOSH TYAGI</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Ashutosh Tyagi</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I. HEALY</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James I. Healy</w:t>
            </w:r>
          </w:p>
        </w:tc>
        <w:tc>
          <w:tcPr>
            <w:tcW w:w="452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N. GILL</w:t>
            </w:r>
          </w:p>
        </w:tc>
        <w:tc>
          <w:tcPr>
            <w:tcW w:w="45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7"/>
              </w:rPr>
              <w:t>David N. Gill</w:t>
            </w:r>
          </w:p>
        </w:tc>
        <w:tc>
          <w:tcPr>
            <w:tcW w:w="4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572008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Claus Juan Møller San Pedro certify that:</w:t>
      </w:r>
    </w:p>
    <w:p>
      <w:pPr>
        <w:spacing w:after="0" w:line="185" w:lineRule="exact"/>
        <w:rPr>
          <w:sz w:val="20"/>
          <w:szCs w:val="20"/>
          <w:color w:val="auto"/>
        </w:rPr>
      </w:pPr>
    </w:p>
    <w:p>
      <w:pPr>
        <w:ind w:left="660" w:hanging="333"/>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100" w:hanging="333"/>
        <w:spacing w:after="0" w:line="289"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6"/>
          <w:szCs w:val="16"/>
          <w:color w:val="auto"/>
        </w:rPr>
      </w:pPr>
    </w:p>
    <w:p>
      <w:pPr>
        <w:ind w:left="1400" w:right="60" w:hanging="384"/>
        <w:spacing w:after="0" w:line="219" w:lineRule="auto"/>
        <w:tabs>
          <w:tab w:leader="none" w:pos="14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400" w:hanging="384"/>
        <w:spacing w:after="0"/>
        <w:tabs>
          <w:tab w:leader="none" w:pos="14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84" w:lineRule="exact"/>
        <w:rPr>
          <w:rFonts w:ascii="Arial" w:cs="Arial" w:eastAsia="Arial" w:hAnsi="Arial"/>
          <w:sz w:val="18"/>
          <w:szCs w:val="18"/>
          <w:color w:val="auto"/>
        </w:rPr>
      </w:pPr>
    </w:p>
    <w:p>
      <w:pPr>
        <w:ind w:left="1400" w:right="160" w:hanging="384"/>
        <w:spacing w:after="0" w:line="224" w:lineRule="auto"/>
        <w:tabs>
          <w:tab w:leader="none" w:pos="14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400" w:hanging="384"/>
        <w:spacing w:after="0" w:line="219" w:lineRule="auto"/>
        <w:tabs>
          <w:tab w:leader="none" w:pos="14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20" w:hanging="333"/>
        <w:spacing w:after="0" w:line="22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520" w:right="180" w:hanging="504"/>
        <w:spacing w:after="0" w:line="224" w:lineRule="auto"/>
        <w:tabs>
          <w:tab w:leader="none" w:pos="1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520" w:right="760" w:hanging="504"/>
        <w:spacing w:after="0" w:line="235" w:lineRule="auto"/>
        <w:tabs>
          <w:tab w:leader="none" w:pos="15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2019</w:t>
      </w:r>
    </w:p>
    <w:p>
      <w:pPr>
        <w:ind w:left="4540"/>
        <w:spacing w:after="0" w:line="234" w:lineRule="auto"/>
        <w:rPr>
          <w:sz w:val="20"/>
          <w:szCs w:val="20"/>
          <w:color w:val="auto"/>
        </w:rPr>
      </w:pPr>
      <w:r>
        <w:rPr>
          <w:rFonts w:ascii="Arial" w:cs="Arial" w:eastAsia="Arial" w:hAnsi="Arial"/>
          <w:sz w:val="18"/>
          <w:szCs w:val="18"/>
          <w:color w:val="auto"/>
        </w:rPr>
        <w:t>/s/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4" w:lineRule="auto"/>
        <w:rPr>
          <w:sz w:val="20"/>
          <w:szCs w:val="20"/>
          <w:color w:val="auto"/>
        </w:rPr>
      </w:pPr>
      <w:r>
        <w:rPr>
          <w:rFonts w:ascii="Arial" w:cs="Arial" w:eastAsia="Arial" w:hAnsi="Arial"/>
          <w:sz w:val="18"/>
          <w:szCs w:val="18"/>
          <w:color w:val="auto"/>
        </w:rPr>
        <w:t>Name: Claus Juan Møller San Pedro</w:t>
      </w:r>
    </w:p>
    <w:p>
      <w:pPr>
        <w:ind w:left="4540"/>
        <w:spacing w:after="0" w:line="204" w:lineRule="auto"/>
        <w:rPr>
          <w:sz w:val="20"/>
          <w:szCs w:val="20"/>
          <w:color w:val="auto"/>
        </w:rPr>
      </w:pPr>
      <w:r>
        <w:rPr>
          <w:rFonts w:ascii="Arial" w:cs="Arial" w:eastAsia="Arial" w:hAnsi="Arial"/>
          <w:sz w:val="18"/>
          <w:szCs w:val="18"/>
          <w:color w:val="auto"/>
        </w:rPr>
        <w:t>Title: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Bo Kruse, certify that:</w:t>
      </w:r>
    </w:p>
    <w:p>
      <w:pPr>
        <w:spacing w:after="0" w:line="185" w:lineRule="exact"/>
        <w:rPr>
          <w:sz w:val="20"/>
          <w:szCs w:val="20"/>
          <w:color w:val="auto"/>
        </w:rPr>
      </w:pPr>
    </w:p>
    <w:p>
      <w:pPr>
        <w:ind w:left="660" w:hanging="333"/>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100" w:hanging="333"/>
        <w:spacing w:after="0" w:line="289"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Arial" w:cs="Arial" w:eastAsia="Arial" w:hAnsi="Arial"/>
          <w:sz w:val="16"/>
          <w:szCs w:val="16"/>
          <w:color w:val="auto"/>
        </w:rPr>
      </w:pPr>
    </w:p>
    <w:p>
      <w:pPr>
        <w:ind w:left="1400" w:right="60" w:hanging="317"/>
        <w:spacing w:after="0" w:line="219" w:lineRule="auto"/>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400" w:hanging="317"/>
        <w:spacing w:after="0"/>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84" w:lineRule="exact"/>
        <w:rPr>
          <w:rFonts w:ascii="Arial" w:cs="Arial" w:eastAsia="Arial" w:hAnsi="Arial"/>
          <w:sz w:val="18"/>
          <w:szCs w:val="18"/>
          <w:color w:val="auto"/>
        </w:rPr>
      </w:pPr>
    </w:p>
    <w:p>
      <w:pPr>
        <w:ind w:left="1400" w:right="160" w:hanging="317"/>
        <w:spacing w:after="0" w:line="224" w:lineRule="auto"/>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400" w:right="80" w:hanging="317"/>
        <w:spacing w:after="0" w:line="219" w:lineRule="auto"/>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20" w:hanging="333"/>
        <w:spacing w:after="0" w:line="22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400" w:right="300" w:hanging="317"/>
        <w:spacing w:after="0" w:line="224" w:lineRule="auto"/>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400" w:right="60" w:hanging="317"/>
        <w:spacing w:after="0" w:line="235" w:lineRule="auto"/>
        <w:tabs>
          <w:tab w:leader="none" w:pos="14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2019</w:t>
      </w:r>
    </w:p>
    <w:p>
      <w:pPr>
        <w:ind w:left="4540"/>
        <w:spacing w:after="0" w:line="219" w:lineRule="auto"/>
        <w:rPr>
          <w:sz w:val="20"/>
          <w:szCs w:val="20"/>
          <w:color w:val="auto"/>
        </w:rPr>
      </w:pPr>
      <w:r>
        <w:rPr>
          <w:rFonts w:ascii="Arial" w:cs="Arial" w:eastAsia="Arial" w:hAnsi="Arial"/>
          <w:sz w:val="18"/>
          <w:szCs w:val="18"/>
          <w:color w:val="auto"/>
        </w:rPr>
        <w:t>/s/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Name: Bo Kruse</w:t>
      </w:r>
    </w:p>
    <w:p>
      <w:pPr>
        <w:ind w:left="4540"/>
        <w:spacing w:after="0" w:line="204" w:lineRule="auto"/>
        <w:rPr>
          <w:sz w:val="20"/>
          <w:szCs w:val="20"/>
          <w:color w:val="auto"/>
        </w:rPr>
      </w:pPr>
      <w:r>
        <w:rPr>
          <w:rFonts w:ascii="Arial" w:cs="Arial" w:eastAsia="Arial" w:hAnsi="Arial"/>
          <w:sz w:val="18"/>
          <w:szCs w:val="18"/>
          <w:color w:val="auto"/>
        </w:rPr>
        <w:t>Title: EVP, Chief Financial Officer</w:t>
      </w:r>
    </w:p>
    <w:p>
      <w:pPr>
        <w:ind w:left="4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00" w:right="40" w:hanging="384"/>
        <w:spacing w:after="0" w:line="224" w:lineRule="auto"/>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2018 (the “Report”) fully complies with the requirements of Section 13(a) or Section 15(d), as applicable, of the Securities Exchange Act of 1934, as amended; and</w:t>
      </w:r>
    </w:p>
    <w:p>
      <w:pPr>
        <w:spacing w:after="0" w:line="163" w:lineRule="exact"/>
        <w:rPr>
          <w:rFonts w:ascii="Arial" w:cs="Arial" w:eastAsia="Arial" w:hAnsi="Arial"/>
          <w:sz w:val="18"/>
          <w:szCs w:val="18"/>
          <w:color w:val="auto"/>
        </w:rPr>
      </w:pPr>
    </w:p>
    <w:p>
      <w:pPr>
        <w:ind w:left="1400" w:right="20" w:hanging="384"/>
        <w:spacing w:after="0" w:line="235" w:lineRule="auto"/>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Dated: March 22, 2019</w:t>
      </w:r>
      <w:r>
        <w:rPr>
          <w:sz w:val="20"/>
          <w:szCs w:val="20"/>
          <w:color w:val="auto"/>
        </w:rPr>
        <w:tab/>
      </w:r>
      <w:r>
        <w:rPr>
          <w:rFonts w:ascii="Arial" w:cs="Arial" w:eastAsia="Arial" w:hAnsi="Arial"/>
          <w:sz w:val="16"/>
          <w:szCs w:val="16"/>
          <w:color w:val="auto"/>
        </w:rPr>
        <w:t>/s/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Name: Claus Juan Møller San Pedro</w:t>
      </w:r>
    </w:p>
    <w:p>
      <w:pPr>
        <w:ind w:left="4540"/>
        <w:spacing w:after="0" w:line="204" w:lineRule="auto"/>
        <w:rPr>
          <w:sz w:val="20"/>
          <w:szCs w:val="20"/>
          <w:color w:val="auto"/>
        </w:rPr>
      </w:pPr>
      <w:r>
        <w:rPr>
          <w:rFonts w:ascii="Arial" w:cs="Arial" w:eastAsia="Arial" w:hAnsi="Arial"/>
          <w:sz w:val="18"/>
          <w:szCs w:val="18"/>
          <w:color w:val="auto"/>
        </w:rPr>
        <w:t>Title: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8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62" w:lineRule="exact"/>
        <w:rPr>
          <w:sz w:val="20"/>
          <w:szCs w:val="20"/>
          <w:color w:val="auto"/>
        </w:rPr>
      </w:pPr>
    </w:p>
    <w:p>
      <w:pPr>
        <w:ind w:left="1400" w:right="40" w:hanging="384"/>
        <w:spacing w:after="0" w:line="224" w:lineRule="auto"/>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2018 (the “Report”) fully complies with the requirements of Section 13(a) or Section 15(d), as applicable, of the Securities Exchange Act of 1934, as amended; and</w:t>
      </w:r>
    </w:p>
    <w:p>
      <w:pPr>
        <w:spacing w:after="0" w:line="163" w:lineRule="exact"/>
        <w:rPr>
          <w:rFonts w:ascii="Arial" w:cs="Arial" w:eastAsia="Arial" w:hAnsi="Arial"/>
          <w:sz w:val="18"/>
          <w:szCs w:val="18"/>
          <w:color w:val="auto"/>
        </w:rPr>
      </w:pPr>
    </w:p>
    <w:p>
      <w:pPr>
        <w:ind w:left="1400" w:right="20" w:hanging="384"/>
        <w:spacing w:after="0" w:line="235" w:lineRule="auto"/>
        <w:tabs>
          <w:tab w:leader="none" w:pos="1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Dated: March 22, 2019</w:t>
      </w:r>
      <w:r>
        <w:rPr>
          <w:sz w:val="20"/>
          <w:szCs w:val="20"/>
          <w:color w:val="auto"/>
        </w:rPr>
        <w:tab/>
      </w:r>
      <w:r>
        <w:rPr>
          <w:rFonts w:ascii="Arial" w:cs="Arial" w:eastAsia="Arial" w:hAnsi="Arial"/>
          <w:sz w:val="16"/>
          <w:szCs w:val="16"/>
          <w:color w:val="auto"/>
        </w:rPr>
        <w:t>/s/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Name: Bo Kruse</w:t>
      </w:r>
    </w:p>
    <w:p>
      <w:pPr>
        <w:ind w:left="4540"/>
        <w:spacing w:after="0" w:line="204" w:lineRule="auto"/>
        <w:rPr>
          <w:sz w:val="20"/>
          <w:szCs w:val="20"/>
          <w:color w:val="auto"/>
        </w:rPr>
      </w:pPr>
      <w:r>
        <w:rPr>
          <w:rFonts w:ascii="Arial" w:cs="Arial" w:eastAsia="Arial" w:hAnsi="Arial"/>
          <w:sz w:val="18"/>
          <w:szCs w:val="18"/>
          <w:color w:val="auto"/>
        </w:rPr>
        <w:t>Title: EVP and Chief Financial Officer</w:t>
      </w:r>
    </w:p>
    <w:p>
      <w:pPr>
        <w:ind w:left="4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1."/>
      <w:numFmt w:val="decimal"/>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lowerRoman"/>
      <w:start w:val="4"/>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lvl w:ilvl="1">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lowerRoman"/>
      <w:start w:val="1"/>
    </w:lvl>
  </w:abstractNum>
  <w:abstractNum w:abstractNumId="101">
    <w:nsid w:val="7DE6771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191" Type="http://schemas.openxmlformats.org/officeDocument/2006/relationships/hyperlink" Target="http://www.sec.gov/Archives/edgar/data/1722964/000104746918005786/a2236551zex-3_3.htm" TargetMode="External"/><Relationship Id="rId192" Type="http://schemas.openxmlformats.org/officeDocument/2006/relationships/hyperlink" Target="http://www.sec.gov/Archives/edgar/data/1722964/000104746918005786/a2236551zex-3_4.htm" TargetMode="External"/><Relationship Id="rId193" Type="http://schemas.openxmlformats.org/officeDocument/2006/relationships/hyperlink" Target="http://www.sec.gov/Archives/edgar/data/1722964/000104746918006039/a2236615zex-4_1.htm" TargetMode="External"/><Relationship Id="rId194" Type="http://schemas.openxmlformats.org/officeDocument/2006/relationships/hyperlink" Target="http://www.sec.gov/Archives/edgar/data/1722964/000104746918005786/a2236551zex-4_2.htm" TargetMode="External"/><Relationship Id="rId195" Type="http://schemas.openxmlformats.org/officeDocument/2006/relationships/hyperlink" Target="http://www.sec.gov/Archives/edgar/data/1722964/000104746918005786/a2236551zex-4_3a.htm" TargetMode="External"/><Relationship Id="rId196" Type="http://schemas.openxmlformats.org/officeDocument/2006/relationships/hyperlink" Target="http://www.sec.gov/Archives/edgar/data/1722964/000104746918005786/a2236551zex-4_3b.htm" TargetMode="External"/><Relationship Id="rId197" Type="http://schemas.openxmlformats.org/officeDocument/2006/relationships/hyperlink" Target="http://www.sec.gov/Archives/edgar/data/1722964/000104746918005786/a2236551zex-4_3c.htm" TargetMode="External"/><Relationship Id="rId198" Type="http://schemas.openxmlformats.org/officeDocument/2006/relationships/hyperlink" Target="http://www.sec.gov/Archives/edgar/data/1722964/000104746918005786/a2236551zex-10_1.htm" TargetMode="External"/><Relationship Id="rId199" Type="http://schemas.openxmlformats.org/officeDocument/2006/relationships/hyperlink" Target="http://www.sec.gov/Archives/edgar/data/1722964/000104746918005786/a2236551zex-10_2.htm" TargetMode="External"/><Relationship Id="rId200" Type="http://schemas.openxmlformats.org/officeDocument/2006/relationships/hyperlink" Target="http://www.sec.gov/Archives/edgar/data/1722964/000104746918005786/a2236551zex-10_3.htm" TargetMode="External"/><Relationship Id="rId201" Type="http://schemas.openxmlformats.org/officeDocument/2006/relationships/hyperlink" Target="http://www.sec.gov/Archives/edgar/data/1722964/000104746918005786/a2236551zex-10_4.htm" TargetMode="External"/><Relationship Id="rId202" Type="http://schemas.openxmlformats.org/officeDocument/2006/relationships/hyperlink" Target="http://www.sec.gov/Archives/edgar/data/1722964/000104746918005786/a2236551zex-10_5.htm" TargetMode="External"/><Relationship Id="rId203" Type="http://schemas.openxmlformats.org/officeDocument/2006/relationships/hyperlink" Target="http://www.sec.gov/Archives/edgar/data/1722964/000104746918005786/a2236551zex-10_6.htm" TargetMode="External"/><Relationship Id="rId204" Type="http://schemas.openxmlformats.org/officeDocument/2006/relationships/hyperlink" Target="http://www.sec.gov/Archives/edgar/data/1722964/000104746918005786/a2236551zex-10_7.htm" TargetMode="External"/><Relationship Id="rId205" Type="http://schemas.openxmlformats.org/officeDocument/2006/relationships/hyperlink" Target="http://www.sec.gov/Archives/edgar/data/1722964/000104746918005786/a2236551zex-10_8.htm" TargetMode="External"/><Relationship Id="rId206" Type="http://schemas.openxmlformats.org/officeDocument/2006/relationships/hyperlink" Target="http://www.sec.gov/Archives/edgar/data/1722964/000104746918005786/a2236551zex-10_9.htm" TargetMode="External"/><Relationship Id="rId207" Type="http://schemas.openxmlformats.org/officeDocument/2006/relationships/hyperlink" Target="http://www.sec.gov/Archives/edgar/data/1722964/000104746918005786/a2236551zex-10_10.htm" TargetMode="External"/><Relationship Id="rId208" Type="http://schemas.openxmlformats.org/officeDocument/2006/relationships/hyperlink" Target="http://www.sec.gov/Archives/edgar/data/1722964/000104746918005786/a2236551zex-10_11.htm" TargetMode="External"/><Relationship Id="rId209" Type="http://schemas.openxmlformats.org/officeDocument/2006/relationships/hyperlink" Target="http://www.sec.gov/Archives/edgar/data/1722964/000104746918005786/a2236551zex-10_12.htm" TargetMode="External"/><Relationship Id="rId210" Type="http://schemas.openxmlformats.org/officeDocument/2006/relationships/hyperlink" Target="http://www.sec.gov/Archives/edgar/data/1722964/000104746918005786/a2236551zex-10_13.htm" TargetMode="External"/><Relationship Id="rId211" Type="http://schemas.openxmlformats.org/officeDocument/2006/relationships/hyperlink" Target="http://www.sec.gov/Archives/edgar/data/1722964/000104746918005786/a2236551zex-10_14.htm" TargetMode="External"/><Relationship Id="rId212" Type="http://schemas.openxmlformats.org/officeDocument/2006/relationships/hyperlink" Target="http://www.sec.gov/Archives/edgar/data/1722964/000104746918005786/a2236551zex-10_15.htm" TargetMode="External"/><Relationship Id="rId213" Type="http://schemas.openxmlformats.org/officeDocument/2006/relationships/hyperlink" Target="http://www.sec.gov/Archives/edgar/data/1722964/000104746918005786/a2236551zex-10_17.htm" TargetMode="External"/><Relationship Id="rId214" Type="http://schemas.openxmlformats.org/officeDocument/2006/relationships/hyperlink" Target="http://www.sec.gov/Archives/edgar/data/1722964/000104746918005786/a2236551zex-10_18.htm" TargetMode="External"/><Relationship Id="rId215" Type="http://schemas.openxmlformats.org/officeDocument/2006/relationships/hyperlink" Target="http://www.sec.gov/Archives/edgar/data/1722964/000104746918005786/a2236551zex-10_19.htm" TargetMode="External"/><Relationship Id="rId216" Type="http://schemas.openxmlformats.org/officeDocument/2006/relationships/hyperlink" Target="http://www.sec.gov/Archives/edgar/data/1722964/000104746918005786/a2236551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2019-12-28T14:35:52Z</dcterms:created>
  <dcterms:modified xsi:type="dcterms:W3CDTF">2019-12-28T14:35:52Z</dcterms:modified>
</cp:coreProperties>
</file>