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center"/>
        <w:rPr>
          <w:rFonts w:ascii="Times New Roman;Times;serif" w:hAnsi="Times New Roman;Times;serif"/>
          <w:b/>
          <w:sz w:val="20"/>
        </w:rPr>
      </w:pPr>
      <w:bookmarkStart w:id="0" w:name="tmb-20240229xs8.htm"/>
      <w:bookmarkStart w:id="1" w:name="kstmb20240229xs8"/>
      <w:bookmarkEnd w:id="0"/>
      <w:bookmarkEnd w:id="1"/>
      <w:r>
        <w:rPr>
          <w:rFonts w:ascii="Times New Roman;Times;serif" w:hAnsi="Times New Roman;Times;serif"/>
          <w:b/>
          <w:sz w:val="20"/>
        </w:rPr>
        <w:t>As filed with the Securities and Exchange Commission on February 29, 2024</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Registration No. 333-</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 w:name="_mps14483228000008706d964558645000000000"/>
      <w:bookmarkStart w:id="3" w:name="_mps605792170000000000000004054000000000"/>
      <w:bookmarkEnd w:id="2"/>
      <w:bookmarkEnd w:id="3"/>
      <w:r>
        <w:rPr/>
        <w:t>​</w:t>
      </w:r>
    </w:p>
    <w:p>
      <w:pPr>
        <w:pStyle w:val="TextBody"/>
        <w:bidi w:val="0"/>
        <w:spacing w:before="0" w:after="0"/>
        <w:ind w:left="0" w:right="0" w:hanging="0"/>
        <w:jc w:val="left"/>
        <w:rPr/>
      </w:pPr>
      <w:r>
        <w:rPr/>
        <w:t>​</w:t>
      </w:r>
    </w:p>
    <w:p>
      <w:pPr>
        <w:pStyle w:val="TextBody"/>
        <w:pBdr>
          <w:top w:val="single" w:sz="8" w:space="1" w:color="000000"/>
        </w:pBdr>
        <w:bidi w:val="0"/>
        <w:spacing w:before="0" w:after="240"/>
        <w:ind w:left="0" w:right="0" w:firstLine="360"/>
        <w:jc w:val="center"/>
        <w:rPr>
          <w:bdr w:val="single" w:sz="24" w:space="1" w:color="000000"/>
        </w:rPr>
      </w:pPr>
      <w:r>
        <w:rPr>
          <w:bdr w:val="single" w:sz="24" w:space="1" w:color="000000"/>
        </w:rPr>
        <w:t>​</w:t>
      </w:r>
    </w:p>
    <w:p>
      <w:pPr>
        <w:pStyle w:val="TextBody"/>
        <w:bidi w:val="0"/>
        <w:spacing w:before="0" w:after="0"/>
        <w:ind w:left="0" w:right="0" w:firstLine="360"/>
        <w:jc w:val="center"/>
        <w:rPr>
          <w:rFonts w:ascii="Times New Roman;Times;serif" w:hAnsi="Times New Roman;Times;serif"/>
          <w:b/>
          <w:sz w:val="26"/>
        </w:rPr>
      </w:pPr>
      <w:r>
        <w:rPr>
          <w:rFonts w:ascii="Times New Roman;Times;serif" w:hAnsi="Times New Roman;Times;serif"/>
          <w:b/>
          <w:sz w:val="26"/>
        </w:rPr>
        <w:t>UNITED STATES</w:t>
      </w:r>
    </w:p>
    <w:p>
      <w:pPr>
        <w:pStyle w:val="TextBody"/>
        <w:bidi w:val="0"/>
        <w:spacing w:before="0" w:after="0"/>
        <w:ind w:left="0" w:right="0" w:firstLine="36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240"/>
        <w:ind w:left="0" w:right="0" w:firstLine="360"/>
        <w:jc w:val="center"/>
        <w:rPr>
          <w:rFonts w:ascii="Times New Roman;Times;serif" w:hAnsi="Times New Roman;Times;serif"/>
          <w:sz w:val="18"/>
        </w:rPr>
      </w:pPr>
      <w:r>
        <w:rPr>
          <w:rFonts w:ascii="Times New Roman;Times;serif" w:hAnsi="Times New Roman;Times;serif"/>
          <w:sz w:val="18"/>
        </w:rPr>
        <w:t>Washington, D.C. 20549</w:t>
      </w:r>
    </w:p>
    <w:p>
      <w:pPr>
        <w:pStyle w:val="TextBody"/>
        <w:bidi w:val="0"/>
        <w:spacing w:before="0" w:after="120"/>
        <w:ind w:left="0" w:right="0" w:firstLine="360"/>
        <w:jc w:val="center"/>
        <w:rPr>
          <w:rFonts w:ascii="Times New Roman;Times;serif" w:hAnsi="Times New Roman;Times;serif"/>
          <w:b/>
          <w:sz w:val="26"/>
        </w:rPr>
      </w:pPr>
      <w:r>
        <w:rPr>
          <w:rFonts w:ascii="Times New Roman;Times;serif" w:hAnsi="Times New Roman;Times;serif"/>
          <w:b/>
          <w:sz w:val="26"/>
        </w:rPr>
        <w:t>FORM S-8</w:t>
      </w:r>
    </w:p>
    <w:p>
      <w:pPr>
        <w:pStyle w:val="TextBody"/>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REGISTRATION STATEMENT</w:t>
      </w:r>
    </w:p>
    <w:p>
      <w:pPr>
        <w:pStyle w:val="TextBody"/>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UNDER</w:t>
      </w:r>
    </w:p>
    <w:p>
      <w:pPr>
        <w:pStyle w:val="TextBody"/>
        <w:bidi w:val="0"/>
        <w:spacing w:before="0" w:after="120"/>
        <w:ind w:left="0" w:right="0" w:firstLine="360"/>
        <w:jc w:val="center"/>
        <w:rPr>
          <w:rFonts w:ascii="Times New Roman;Times;serif" w:hAnsi="Times New Roman;Times;serif"/>
          <w:sz w:val="18"/>
        </w:rPr>
      </w:pPr>
      <w:r>
        <w:rPr>
          <w:rFonts w:ascii="Times New Roman;Times;serif" w:hAnsi="Times New Roman;Times;serif"/>
          <w:sz w:val="18"/>
        </w:rPr>
        <w:t>THE SECURITIES ACT OF 1933</w:t>
      </w:r>
    </w:p>
    <w:p>
      <w:pPr>
        <w:pStyle w:val="TextBody"/>
        <w:bidi w:val="0"/>
        <w:spacing w:before="0" w:after="0"/>
        <w:ind w:left="0" w:right="0" w:firstLine="360"/>
        <w:jc w:val="center"/>
        <w:rPr>
          <w:rFonts w:ascii="Times New Roman;Times;serif" w:hAnsi="Times New Roman;Times;serif"/>
          <w:b/>
          <w:sz w:val="46"/>
        </w:rPr>
      </w:pPr>
      <w:r>
        <w:rPr>
          <w:rFonts w:ascii="Times New Roman;Times;serif" w:hAnsi="Times New Roman;Times;serif"/>
          <w:b/>
          <w:sz w:val="46"/>
        </w:rPr>
        <w:t>Y-mAbs Therapeutics, Inc.</w:t>
      </w:r>
    </w:p>
    <w:p>
      <w:pPr>
        <w:pStyle w:val="TextBody"/>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both"/>
        <w:rPr/>
      </w:pPr>
      <w:r>
        <w:rPr/>
        <w:t>​</w:t>
      </w:r>
    </w:p>
    <w:tbl>
      <w:tblPr>
        <w:tblW w:w="7146" w:type="dxa"/>
        <w:jc w:val="center"/>
        <w:tblInd w:w="0" w:type="dxa"/>
        <w:tblLayout w:type="fixed"/>
        <w:tblCellMar>
          <w:top w:w="0" w:type="dxa"/>
          <w:left w:w="0" w:type="dxa"/>
          <w:bottom w:w="0" w:type="dxa"/>
          <w:right w:w="0" w:type="dxa"/>
        </w:tblCellMar>
      </w:tblPr>
      <w:tblGrid>
        <w:gridCol w:w="4321"/>
        <w:gridCol w:w="109"/>
        <w:gridCol w:w="2716"/>
      </w:tblGrid>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47-4619612</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both"/>
        <w:rPr/>
      </w:pPr>
      <w:r>
        <w:rPr/>
        <w:t>​</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230 Park Avenue Suite 3350</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New York, NY 10169</w:t>
      </w:r>
    </w:p>
    <w:p>
      <w:pPr>
        <w:pStyle w:val="TextBody"/>
        <w:bidi w:val="0"/>
        <w:spacing w:before="0" w:after="120"/>
        <w:ind w:left="0" w:right="0" w:firstLine="360"/>
        <w:jc w:val="center"/>
        <w:rPr>
          <w:rFonts w:ascii="Times New Roman;Times;serif" w:hAnsi="Times New Roman;Times;serif"/>
          <w:sz w:val="18"/>
        </w:rPr>
      </w:pPr>
      <w:r>
        <w:rPr>
          <w:rFonts w:ascii="Times New Roman;Times;serif" w:hAnsi="Times New Roman;Times;serif"/>
          <w:sz w:val="18"/>
        </w:rPr>
        <w:t>(Address of principal executive offices) (Zip code)</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2018 Equity Incentive Plan</w:t>
      </w:r>
    </w:p>
    <w:p>
      <w:pPr>
        <w:pStyle w:val="TextBody"/>
        <w:bidi w:val="0"/>
        <w:spacing w:before="0" w:after="120"/>
        <w:ind w:left="0" w:right="0" w:firstLine="360"/>
        <w:jc w:val="center"/>
        <w:rPr>
          <w:rFonts w:ascii="Times New Roman;Times;serif" w:hAnsi="Times New Roman;Times;serif"/>
          <w:sz w:val="18"/>
        </w:rPr>
      </w:pPr>
      <w:r>
        <w:rPr>
          <w:rFonts w:ascii="Times New Roman;Times;serif" w:hAnsi="Times New Roman;Times;serif"/>
          <w:sz w:val="18"/>
        </w:rPr>
        <w:t>(Full title of the plans)</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Michael Rossi</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President and Chief Executive Officer</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Y-mAbs Therapeutics, Inc.</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230 Park Avenue Suite 3350</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New York, New York 10169</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Tel: (646) 885-8505</w:t>
      </w:r>
    </w:p>
    <w:p>
      <w:pPr>
        <w:pStyle w:val="TextBody"/>
        <w:bidi w:val="0"/>
        <w:spacing w:before="0" w:after="240"/>
        <w:ind w:left="0" w:right="0" w:firstLine="360"/>
        <w:jc w:val="center"/>
        <w:rPr>
          <w:rFonts w:ascii="Times New Roman;Times;serif" w:hAnsi="Times New Roman;Times;serif"/>
          <w:sz w:val="18"/>
        </w:rPr>
      </w:pPr>
      <w:r>
        <w:rPr>
          <w:rFonts w:ascii="Times New Roman;Times;serif" w:hAnsi="Times New Roman;Times;serif"/>
          <w:sz w:val="18"/>
        </w:rPr>
        <w:t>(Name, address, including zip code, and telephone number, including area code, of agent for service)</w:t>
      </w:r>
    </w:p>
    <w:p>
      <w:pPr>
        <w:pStyle w:val="TextBody"/>
        <w:bidi w:val="0"/>
        <w:spacing w:before="0" w:after="120"/>
        <w:ind w:left="0" w:right="0" w:firstLine="360"/>
        <w:jc w:val="center"/>
        <w:rPr>
          <w:rFonts w:ascii="Times New Roman;Times;serif" w:hAnsi="Times New Roman;Times;serif"/>
          <w:b/>
          <w:i/>
          <w:sz w:val="18"/>
        </w:rPr>
      </w:pPr>
      <w:r>
        <w:rPr>
          <w:rFonts w:ascii="Times New Roman;Times;serif" w:hAnsi="Times New Roman;Times;serif"/>
          <w:b/>
          <w:i/>
          <w:sz w:val="18"/>
        </w:rPr>
        <w:t>Copies to:</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Divakar Gupta</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Sarah K. Sellers</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Cooley LLP</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55 Hudson Yards</w:t>
      </w:r>
    </w:p>
    <w:p>
      <w:pPr>
        <w:pStyle w:val="TextBody"/>
        <w:bidi w:val="0"/>
        <w:spacing w:before="0" w:after="0"/>
        <w:ind w:left="0" w:right="0" w:firstLine="360"/>
        <w:jc w:val="center"/>
        <w:rPr>
          <w:rFonts w:ascii="Times New Roman;Times;serif" w:hAnsi="Times New Roman;Times;serif"/>
          <w:b/>
          <w:sz w:val="18"/>
        </w:rPr>
      </w:pPr>
      <w:r>
        <w:rPr>
          <w:rFonts w:ascii="Times New Roman;Times;serif" w:hAnsi="Times New Roman;Times;serif"/>
          <w:b/>
          <w:sz w:val="18"/>
        </w:rPr>
        <w:t>New York, NY 10001</w:t>
      </w:r>
    </w:p>
    <w:p>
      <w:pPr>
        <w:pStyle w:val="TextBody"/>
        <w:bidi w:val="0"/>
        <w:spacing w:before="0" w:after="240"/>
        <w:ind w:left="0" w:right="0" w:firstLine="360"/>
        <w:jc w:val="center"/>
        <w:rPr>
          <w:rFonts w:ascii="Times New Roman;Times;serif" w:hAnsi="Times New Roman;Times;serif"/>
          <w:b/>
          <w:sz w:val="18"/>
        </w:rPr>
      </w:pPr>
      <w:r>
        <w:rPr>
          <w:rFonts w:ascii="Times New Roman;Times;serif" w:hAnsi="Times New Roman;Times;serif"/>
          <w:b/>
          <w:sz w:val="18"/>
        </w:rPr>
        <w:t>Telephone: (212) 479-6000</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4384" w:type="dxa"/>
        <w:jc w:val="center"/>
        <w:tblInd w:w="0" w:type="dxa"/>
        <w:tblLayout w:type="fixed"/>
        <w:tblCellMar>
          <w:top w:w="0" w:type="dxa"/>
          <w:left w:w="0" w:type="dxa"/>
          <w:bottom w:w="0" w:type="dxa"/>
          <w:right w:w="0" w:type="dxa"/>
        </w:tblCellMar>
      </w:tblPr>
      <w:tblGrid>
        <w:gridCol w:w="1666"/>
        <w:gridCol w:w="316"/>
        <w:gridCol w:w="2041"/>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single" w:sz="8" w:space="1" w:color="000000"/>
        </w:pBdr>
        <w:bidi w:val="0"/>
        <w:spacing w:before="0" w:after="240"/>
        <w:ind w:left="0" w:right="0" w:hanging="0"/>
        <w:jc w:val="both"/>
        <w:rPr>
          <w:bdr w:val="single" w:sz="24" w:space="1" w:color="000000"/>
        </w:rPr>
      </w:pPr>
      <w:r>
        <w:rPr>
          <w:bdr w:val="single" w:sz="24" w:space="1" w:color="000000"/>
        </w:rPr>
        <w:t>​</w:t>
      </w:r>
    </w:p>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600" w:after="240"/>
        <w:ind w:left="0" w:right="0" w:firstLine="360"/>
        <w:jc w:val="both"/>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EXPLANATORY NOTE</w:t>
      </w:r>
    </w:p>
    <w:p>
      <w:pPr>
        <w:pStyle w:val="TextBody"/>
        <w:bidi w:val="0"/>
        <w:spacing w:before="0" w:after="240"/>
        <w:ind w:left="0" w:right="0" w:firstLine="360"/>
        <w:jc w:val="both"/>
        <w:rPr/>
      </w:pPr>
      <w:r>
        <w:rPr>
          <w:rFonts w:ascii="Times New Roman;Times;serif" w:hAnsi="Times New Roman;Times;serif"/>
          <w:sz w:val="20"/>
        </w:rPr>
        <w:t>Y-mAbs Therapeutics, Inc. (the “</w:t>
      </w:r>
      <w:r>
        <w:rPr>
          <w:rFonts w:ascii="Times New Roman;Times;serif" w:hAnsi="Times New Roman;Times;serif"/>
          <w:b/>
          <w:i/>
          <w:sz w:val="20"/>
        </w:rPr>
        <w:t>Registrant</w:t>
      </w:r>
      <w:r>
        <w:rPr>
          <w:rFonts w:ascii="Times New Roman;Times;serif" w:hAnsi="Times New Roman;Times;serif"/>
          <w:sz w:val="20"/>
        </w:rPr>
        <w:t>”) is filing this Registration Statement on Form S-8 with the Securities and Exchange Commission (the “</w:t>
      </w:r>
      <w:r>
        <w:rPr>
          <w:rFonts w:ascii="Times New Roman;Times;serif" w:hAnsi="Times New Roman;Times;serif"/>
          <w:b/>
          <w:i/>
          <w:sz w:val="20"/>
        </w:rPr>
        <w:t>Commission</w:t>
      </w:r>
      <w:r>
        <w:rPr>
          <w:rFonts w:ascii="Times New Roman;Times;serif" w:hAnsi="Times New Roman;Times;serif"/>
          <w:sz w:val="20"/>
        </w:rPr>
        <w:t>”) for the purpose of registering 1,746,884 shares of the Registrant’s common stock, par value $0.0001 per share (the “</w:t>
      </w:r>
      <w:r>
        <w:rPr>
          <w:rFonts w:ascii="Times New Roman;Times;serif" w:hAnsi="Times New Roman;Times;serif"/>
          <w:b/>
          <w:i/>
          <w:sz w:val="20"/>
        </w:rPr>
        <w:t>Common Stock</w:t>
      </w:r>
      <w:r>
        <w:rPr>
          <w:rFonts w:ascii="Times New Roman;Times;serif" w:hAnsi="Times New Roman;Times;serif"/>
          <w:sz w:val="20"/>
        </w:rPr>
        <w:t>”), issuable to eligible persons under the Registrant’s 2018 Equity Incentive Plan (the “</w:t>
      </w:r>
      <w:r>
        <w:rPr>
          <w:rFonts w:ascii="Times New Roman;Times;serif" w:hAnsi="Times New Roman;Times;serif"/>
          <w:b/>
          <w:i/>
          <w:sz w:val="20"/>
        </w:rPr>
        <w:t>2018 EIP</w:t>
      </w:r>
      <w:r>
        <w:rPr>
          <w:rFonts w:ascii="Times New Roman;Times;serif" w:hAnsi="Times New Roman;Times;serif"/>
          <w:sz w:val="20"/>
        </w:rPr>
        <w:t xml:space="preserve">”), which Common Stock is in addition to, and of the same class as, the shares of Common Stock for which the Registrant previously filed registration statements on Form S-8 (File Nos. </w:t>
      </w:r>
      <w:hyperlink r:id="rId2">
        <w:r>
          <w:rPr>
            <w:rStyle w:val="InternetLink"/>
            <w:rFonts w:ascii="Times New Roman;Times;serif" w:hAnsi="Times New Roman;Times;serif"/>
            <w:b w:val="false"/>
            <w:i w:val="false"/>
            <w:caps w:val="false"/>
            <w:smallCaps w:val="false"/>
            <w:sz w:val="20"/>
          </w:rPr>
          <w:t>333-230455</w:t>
        </w:r>
      </w:hyperlink>
      <w:r>
        <w:rPr>
          <w:rFonts w:ascii="Times New Roman;Times;serif" w:hAnsi="Times New Roman;Times;serif"/>
          <w:sz w:val="20"/>
        </w:rPr>
        <w:t xml:space="preserve"> and </w:t>
      </w:r>
      <w:hyperlink r:id="rId3">
        <w:bookmarkStart w:id="4" w:name="_Hlk158153437"/>
        <w:bookmarkEnd w:id="4"/>
        <w:r>
          <w:rPr>
            <w:rStyle w:val="InternetLink"/>
            <w:rFonts w:ascii="Times New Roman;Times;serif" w:hAnsi="Times New Roman;Times;serif"/>
            <w:b w:val="false"/>
            <w:i w:val="false"/>
            <w:caps w:val="false"/>
            <w:smallCaps w:val="false"/>
            <w:sz w:val="20"/>
          </w:rPr>
          <w:t>333-271007</w:t>
        </w:r>
      </w:hyperlink>
      <w:r>
        <w:rPr>
          <w:rFonts w:ascii="Times New Roman;Times;serif" w:hAnsi="Times New Roman;Times;serif"/>
          <w:sz w:val="20"/>
        </w:rPr>
        <w:t>) with the Commission on March 22, 2019 and March 30, 2023, respectively (the “</w:t>
      </w:r>
      <w:r>
        <w:rPr>
          <w:rFonts w:ascii="Times New Roman;Times;serif" w:hAnsi="Times New Roman;Times;serif"/>
          <w:b/>
          <w:i/>
          <w:sz w:val="20"/>
        </w:rPr>
        <w:t>Prior S-8 Registration Statements</w:t>
      </w:r>
      <w:r>
        <w:rPr>
          <w:rFonts w:ascii="Times New Roman;Times;serif" w:hAnsi="Times New Roman;Times;serif"/>
          <w:sz w:val="20"/>
        </w:rPr>
        <w:t>”). Accordingly, the contents of the Prior S-8 Registration Statements are incorporated by reference into this Registration Statement pursuant to General Instruction E of Form S-8. The additional shares of Common Stock registered hereby have become reserved for issuance as a result of the operation of the “evergreen” provision in the 2018 EIP, which provides that the total number of shares subject to the plan may be increased each year pursuant to a specified formula as set forth in the 2018 EIP.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3. INCORPORATION OF DOCUMENTS BY REFERENCE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documents filed by the Registrant with the Commission are incorporated by reference into this Registration Statement:</w:t>
      </w:r>
    </w:p>
    <w:p>
      <w:pPr>
        <w:pStyle w:val="TextBody"/>
        <w:bidi w:val="0"/>
        <w:spacing w:before="0" w:after="240"/>
        <w:ind w:left="0" w:right="0" w:firstLine="360"/>
        <w:jc w:val="both"/>
        <w:rPr/>
      </w:pPr>
      <w:r>
        <w:rPr>
          <w:rFonts w:ascii="Times New Roman;Times;serif" w:hAnsi="Times New Roman;Times;serif"/>
          <w:sz w:val="20"/>
        </w:rPr>
        <w:t xml:space="preserve">The Registrant’s Annual Report on Form 10-K for the year ended December 31, 2023, filed with the Commission on </w:t>
      </w:r>
      <w:hyperlink r:id="rId4">
        <w:r>
          <w:rPr>
            <w:rStyle w:val="InternetLink"/>
            <w:rFonts w:ascii="Times New Roman;Times;serif" w:hAnsi="Times New Roman;Times;serif"/>
            <w:b w:val="false"/>
            <w:i w:val="false"/>
            <w:caps w:val="false"/>
            <w:smallCaps w:val="false"/>
            <w:sz w:val="20"/>
          </w:rPr>
          <w:t>February 29, 2024</w:t>
        </w:r>
      </w:hyperlink>
      <w:r>
        <w:rPr>
          <w:rFonts w:ascii="Times New Roman;Times;serif" w:hAnsi="Times New Roman;Times;serif"/>
          <w:sz w:val="20"/>
        </w:rPr>
        <w:t>.</w:t>
      </w:r>
    </w:p>
    <w:p>
      <w:pPr>
        <w:pStyle w:val="TextBody"/>
        <w:bidi w:val="0"/>
        <w:spacing w:before="0" w:after="240"/>
        <w:ind w:left="0" w:right="0" w:firstLine="360"/>
        <w:jc w:val="both"/>
        <w:rPr/>
      </w:pPr>
      <w:r>
        <w:rPr>
          <w:rFonts w:ascii="Times New Roman;Times;serif" w:hAnsi="Times New Roman;Times;serif"/>
          <w:sz w:val="20"/>
        </w:rPr>
        <w:t xml:space="preserve">The description of the Registrant’s Common Stock which is contained in Exhibit 4.2 to the Registrant’s Annual Report on Form 10-K for the year ended December 31, 2023 filed with the Commission on </w:t>
      </w:r>
      <w:hyperlink r:id="rId5">
        <w:r>
          <w:rPr>
            <w:rStyle w:val="InternetLink"/>
            <w:rFonts w:ascii="Times New Roman;Times;serif" w:hAnsi="Times New Roman;Times;serif"/>
            <w:b w:val="false"/>
            <w:i w:val="false"/>
            <w:caps w:val="false"/>
            <w:smallCaps w:val="false"/>
            <w:sz w:val="20"/>
          </w:rPr>
          <w:t>February 29, 2024</w:t>
        </w:r>
      </w:hyperlink>
      <w:r>
        <w:rPr>
          <w:rFonts w:ascii="Times New Roman;Times;serif" w:hAnsi="Times New Roman;Times;serif"/>
          <w:sz w:val="20"/>
        </w:rPr>
        <w:t>.</w:t>
      </w:r>
    </w:p>
    <w:p>
      <w:pPr>
        <w:pStyle w:val="TextBody"/>
        <w:bidi w:val="0"/>
        <w:spacing w:before="0" w:after="240"/>
        <w:ind w:left="0" w:right="0" w:firstLine="360"/>
        <w:jc w:val="both"/>
        <w:rPr/>
      </w:pPr>
      <w:r>
        <w:rPr>
          <w:rFonts w:ascii="Times New Roman;Times;serif" w:hAnsi="Times New Roman;Times;serif"/>
          <w:sz w:val="20"/>
        </w:rPr>
        <w:t xml:space="preserve">The contents of the Registrant’s Registration Statements on Form S-8 filed with the Commission on </w:t>
      </w:r>
      <w:hyperlink r:id="rId6">
        <w:r>
          <w:rPr>
            <w:rStyle w:val="InternetLink"/>
            <w:rFonts w:ascii="Times New Roman;Times;serif" w:hAnsi="Times New Roman;Times;serif"/>
            <w:b w:val="false"/>
            <w:i w:val="false"/>
            <w:caps w:val="false"/>
            <w:smallCaps w:val="false"/>
            <w:color w:val="0000EE"/>
            <w:sz w:val="20"/>
            <w:u w:val="single"/>
          </w:rPr>
          <w:t>March 22, 2019 (File No. 333-230455)</w:t>
        </w:r>
      </w:hyperlink>
      <w:r>
        <w:rPr>
          <w:rFonts w:ascii="Times New Roman;Times;serif" w:hAnsi="Times New Roman;Times;serif"/>
          <w:sz w:val="20"/>
        </w:rPr>
        <w:t xml:space="preserve"> and </w:t>
      </w:r>
      <w:hyperlink r:id="rId7">
        <w:r>
          <w:rPr>
            <w:rStyle w:val="InternetLink"/>
            <w:rFonts w:ascii="Times New Roman;Times;serif" w:hAnsi="Times New Roman;Times;serif"/>
            <w:b w:val="false"/>
            <w:i w:val="false"/>
            <w:caps w:val="false"/>
            <w:smallCaps w:val="false"/>
            <w:sz w:val="20"/>
          </w:rPr>
          <w:t>March 30, 2023 (File No. 333-271007)</w:t>
        </w:r>
      </w:hyperlink>
      <w:r>
        <w:rPr>
          <w:rFonts w:ascii="Times New Roman;Times;serif" w:hAnsi="Times New Roman;Times;serif"/>
          <w:sz w:val="20"/>
        </w:rPr>
        <w:t>, pursuant to which the Registrant previously registered shares of its Common Stock for issuance under the 2018 EIP.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other reports and documents subsequently filed by the Registrant pursuant to Sections 13(a), 13(c), 14 and 15(d) of the Securities Exchange Act of 1934, as amended,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center"/>
        <w:rPr>
          <w:rFonts w:ascii="Times New Roman;Times;serif" w:hAnsi="Times New Roman;Times;serif"/>
          <w:sz w:val="20"/>
        </w:rPr>
      </w:pPr>
      <w:bookmarkStart w:id="5" w:name="_mps16387068000008706d964558645000000000"/>
      <w:bookmarkEnd w:id="5"/>
      <w:r>
        <w:rPr>
          <w:rFonts w:ascii="Times New Roman;Times;serif" w:hAnsi="Times New Roman;Times;serif"/>
          <w:sz w:val="20"/>
        </w:rPr>
        <w:t>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8. EXHIBITS</w:t>
      </w:r>
    </w:p>
    <w:tbl>
      <w:tblPr>
        <w:tblW w:w="10205" w:type="dxa"/>
        <w:jc w:val="left"/>
        <w:tblInd w:w="0" w:type="dxa"/>
        <w:tblLayout w:type="fixed"/>
        <w:tblCellMar>
          <w:top w:w="0" w:type="dxa"/>
          <w:left w:w="0" w:type="dxa"/>
          <w:bottom w:w="0" w:type="dxa"/>
          <w:right w:w="0" w:type="dxa"/>
        </w:tblCellMar>
      </w:tblPr>
      <w:tblGrid>
        <w:gridCol w:w="706"/>
        <w:gridCol w:w="109"/>
        <w:gridCol w:w="5439"/>
        <w:gridCol w:w="109"/>
        <w:gridCol w:w="736"/>
        <w:gridCol w:w="109"/>
        <w:gridCol w:w="833"/>
        <w:gridCol w:w="109"/>
        <w:gridCol w:w="631"/>
        <w:gridCol w:w="109"/>
        <w:gridCol w:w="1159"/>
        <w:gridCol w:w="156"/>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8310" cy="29210"/>
                      <wp:effectExtent l="0" t="0" r="0" b="0"/>
                      <wp:wrapNone/>
                      <wp:docPr id="1" name="Frame1"/>
                      <a:graphic xmlns:a="http://schemas.openxmlformats.org/drawingml/2006/main">
                        <a:graphicData uri="http://schemas.microsoft.com/office/word/2010/wordprocessingShape">
                          <wps:wsp>
                            <wps:cNvSpPr txBox="1"/>
                            <wps:spPr>
                              <a:xfrm>
                                <a:off x="0" y="0"/>
                                <a:ext cx="448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29210"/>
                      <wp:effectExtent l="0" t="0" r="0" b="0"/>
                      <wp:wrapNone/>
                      <wp:docPr id="2" name="Frame2"/>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453765" cy="29210"/>
                      <wp:effectExtent l="0" t="0" r="0" b="0"/>
                      <wp:wrapNone/>
                      <wp:docPr id="3" name="Frame3"/>
                      <a:graphic xmlns:a="http://schemas.openxmlformats.org/drawingml/2006/main">
                        <a:graphicData uri="http://schemas.microsoft.com/office/word/2010/wordprocessingShape">
                          <wps:wsp>
                            <wps:cNvSpPr txBox="1"/>
                            <wps:spPr>
                              <a:xfrm>
                                <a:off x="0" y="0"/>
                                <a:ext cx="34537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29210"/>
                      <wp:effectExtent l="0" t="0" r="0" b="0"/>
                      <wp:wrapNone/>
                      <wp:docPr id="4" name="Frame4"/>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67360" cy="29210"/>
                      <wp:effectExtent l="0" t="0" r="0" b="0"/>
                      <wp:wrapNone/>
                      <wp:docPr id="5" name="Frame5"/>
                      <a:graphic xmlns:a="http://schemas.openxmlformats.org/drawingml/2006/main">
                        <a:graphicData uri="http://schemas.microsoft.com/office/word/2010/wordprocessingShape">
                          <wps:wsp>
                            <wps:cNvSpPr txBox="1"/>
                            <wps:spPr>
                              <a:xfrm>
                                <a:off x="0" y="0"/>
                                <a:ext cx="467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29210"/>
                      <wp:effectExtent l="0" t="0" r="0" b="0"/>
                      <wp:wrapNone/>
                      <wp:docPr id="6" name="Frame6"/>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28955" cy="29210"/>
                      <wp:effectExtent l="0" t="0" r="0" b="0"/>
                      <wp:wrapNone/>
                      <wp:docPr id="7" name="Frame7"/>
                      <a:graphic xmlns:a="http://schemas.openxmlformats.org/drawingml/2006/main">
                        <a:graphicData uri="http://schemas.microsoft.com/office/word/2010/wordprocessingShape">
                          <wps:wsp>
                            <wps:cNvSpPr txBox="1"/>
                            <wps:spPr>
                              <a:xfrm>
                                <a:off x="0" y="0"/>
                                <a:ext cx="5289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29210"/>
                      <wp:effectExtent l="0" t="0" r="0" b="0"/>
                      <wp:wrapNone/>
                      <wp:docPr id="8" name="Frame8"/>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00685" cy="29210"/>
                      <wp:effectExtent l="0" t="0" r="0" b="0"/>
                      <wp:wrapNone/>
                      <wp:docPr id="9" name="Frame9"/>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29210"/>
                      <wp:effectExtent l="0" t="0" r="0" b="0"/>
                      <wp:wrapNone/>
                      <wp:docPr id="10" name="Frame10"/>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35965" cy="29210"/>
                      <wp:effectExtent l="0" t="0" r="0" b="0"/>
                      <wp:wrapNone/>
                      <wp:docPr id="11" name="Frame11"/>
                      <a:graphic xmlns:a="http://schemas.openxmlformats.org/drawingml/2006/main">
                        <a:graphicData uri="http://schemas.microsoft.com/office/word/2010/wordprocessingShape">
                          <wps:wsp>
                            <wps:cNvSpPr txBox="1"/>
                            <wps:spPr>
                              <a:xfrm>
                                <a:off x="0" y="0"/>
                                <a:ext cx="7359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99060" cy="29210"/>
                      <wp:effectExtent l="0" t="0" r="0" b="0"/>
                      <wp:wrapNone/>
                      <wp:docPr id="12" name="Frame12"/>
                      <a:graphic xmlns:a="http://schemas.openxmlformats.org/drawingml/2006/main">
                        <a:graphicData uri="http://schemas.microsoft.com/office/word/2010/wordprocessingShape">
                          <wps:wsp>
                            <wps:cNvSpPr txBox="1"/>
                            <wps:spPr>
                              <a:xfrm>
                                <a:off x="0" y="0"/>
                                <a:ext cx="99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8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156" w:type="dxa"/>
            <w:tcBorders>
              <w:bottom w:val="single" w:sz="2" w:space="0" w:color="FFFFFF"/>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Schedule</w:t>
              <w:br/>
              <w:t>Form</w:t>
            </w:r>
          </w:p>
        </w:tc>
        <w:tc>
          <w:tcPr>
            <w:tcW w:w="109" w:type="dxa"/>
            <w:tcBorders>
              <w:bottom w:val="single" w:sz="2" w:space="0" w:color="FFFFFF"/>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83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09" w:type="dxa"/>
            <w:tcBorders>
              <w:bottom w:val="single" w:sz="2" w:space="0" w:color="FFFFFF"/>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6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109" w:type="dxa"/>
            <w:tcBorders>
              <w:bottom w:val="single" w:sz="2" w:space="0" w:color="FFFFFF"/>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15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156" w:type="dxa"/>
            <w:tcBorders>
              <w:bottom w:val="single" w:sz="2" w:space="0" w:color="FFFFFF"/>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top w:val="single" w:sz="2" w:space="0" w:color="000000"/>
            </w:tcBorders>
            <w:tcMar>
              <w:top w:w="28"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color w:val="0000EE"/>
                  <w:sz w:val="20"/>
                  <w:u w:val="single"/>
                </w:rPr>
                <w:t>Amended and Restated Certificate of Incorporation.</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001-38650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26, 2018</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color w:val="0000EE"/>
                  <w:sz w:val="20"/>
                  <w:u w:val="single"/>
                </w:rPr>
                <w:t>Amended and Restated Bylaws.</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001-38650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26, 2018</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color w:val="0000EE"/>
                  <w:sz w:val="20"/>
                  <w:u w:val="single"/>
                </w:rPr>
                <w:t>Specimen stock certificate evidencing the shares of Common Stock.</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333-226999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24, 2018</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color w:val="0000EE"/>
                  <w:sz w:val="20"/>
                  <w:u w:val="single"/>
                </w:rPr>
                <w:t>2018 Equity Incentive Plan</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333-226999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24, 2018</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color w:val="0000EE"/>
                  <w:sz w:val="20"/>
                  <w:u w:val="single"/>
                </w:rPr>
                <w:t>Form of Stock Option Grant Notice and Stock Option Agreement under the 2018 Equity Incentive Plan (as amended, employees, consultants and service providers other than directors).</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001-38650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5, 2020</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color w:val="0000EE"/>
                  <w:sz w:val="20"/>
                  <w:u w:val="single"/>
                </w:rPr>
                <w:t>Form of Stock Option Grant Notice and Stock Option Agreement under the 2018 Equity Incentive Plan (as amended, directors).</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001-38650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5, 2020</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99.4</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color w:val="0000EE"/>
                  <w:sz w:val="20"/>
                  <w:u w:val="single"/>
                </w:rPr>
                <w:t>Form of Stock Option Grant Notice and Stock Option Agreement under the 2018 Equity Incentive Plan.</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001-38650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7, 2022</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color w:val="0000EE"/>
                  <w:sz w:val="20"/>
                  <w:u w:val="single"/>
                </w:rPr>
                <w:t>Form of Stock Option Grant Notice and Stock Option Agreement for directors under the 2018 Equity Incentive Plan.</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001-38650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7, 2022</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color w:val="0000EE"/>
                  <w:sz w:val="20"/>
                  <w:u w:val="single"/>
                </w:rPr>
                <w:t>Form of Restricted Stock Award Grant Notice and Restricted Stock Award Agreement under the 2018 Equity Incentive Plan.</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333-226999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24, 2018</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99.7</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color w:val="0000EE"/>
                  <w:sz w:val="20"/>
                  <w:u w:val="single"/>
                </w:rPr>
                <w:t>Form of Restricted Stock Unit Award Grant Notice and Restricted Stock Unit Award Agreement under the 2018 Equity Incentive Plan.</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333-226999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24, 2018</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99.8</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Performance Restricted Stock Unit Award Grant Notice and Restricted Stock Unit Award Agreement under the 2018 Equity Incentive Plan</w:t>
              </w:r>
            </w:hyperlink>
            <w:r>
              <w:rPr>
                <w:rFonts w:ascii="Times New Roman;Times;serif" w:hAnsi="Times New Roman;Times;serif"/>
                <w:sz w:val="20"/>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001-38650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29, 2024</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w:anchor="tmb-20240229xex5d1.htm">
              <w:r>
                <w:rPr>
                  <w:rStyle w:val="InternetLink"/>
                  <w:rFonts w:ascii="Times New Roman;Times;serif" w:hAnsi="Times New Roman;Times;serif"/>
                  <w:b w:val="false"/>
                  <w:i w:val="false"/>
                  <w:caps w:val="false"/>
                  <w:smallCaps w:val="false"/>
                  <w:sz w:val="20"/>
                </w:rPr>
                <w:t>Opinion of Cooley LLP.</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w:anchor="tmb-20240229xex23d1.htm">
              <w:r>
                <w:rPr>
                  <w:rStyle w:val="InternetLink"/>
                  <w:rFonts w:ascii="Times New Roman;Times;serif" w:hAnsi="Times New Roman;Times;serif"/>
                  <w:b w:val="false"/>
                  <w:i w:val="false"/>
                  <w:caps w:val="false"/>
                  <w:smallCaps w:val="false"/>
                  <w:sz w:val="20"/>
                </w:rPr>
                <w:t>Consent of PricewaterhouseCoopers LLP, Independent Registered Public Accounting Firm.</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w:anchor="tmb-20240229xex5d1.htm">
              <w:r>
                <w:rPr>
                  <w:rStyle w:val="InternetLink"/>
                  <w:rFonts w:ascii="Times New Roman;Times;serif" w:hAnsi="Times New Roman;Times;serif"/>
                  <w:b w:val="false"/>
                  <w:i w:val="false"/>
                  <w:caps w:val="false"/>
                  <w:smallCaps w:val="false"/>
                  <w:sz w:val="20"/>
                </w:rPr>
                <w:t>Consent of Cooley LLP (included in Exhibit 5.1).</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color w:val="0000EE"/>
                  <w:sz w:val="20"/>
                  <w:u w:val="single"/>
                </w:rPr>
                <w:t>Power of Attorney (included on the signature page of this Form S-8)</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439" w:type="dxa"/>
            <w:tcBorders/>
            <w:vAlign w:val="center"/>
          </w:tcPr>
          <w:p>
            <w:pPr>
              <w:pStyle w:val="TableContents"/>
              <w:bidi w:val="0"/>
              <w:spacing w:before="0" w:after="0"/>
              <w:ind w:left="0" w:right="0" w:hanging="0"/>
              <w:jc w:val="left"/>
              <w:rPr/>
            </w:pPr>
            <w:hyperlink w:anchor="tmb-20240229xexfilingfees.htm">
              <w:r>
                <w:rPr>
                  <w:rStyle w:val="InternetLink"/>
                  <w:rFonts w:ascii="Times New Roman;Times;serif" w:hAnsi="Times New Roman;Times;serif"/>
                  <w:b w:val="false"/>
                  <w:i w:val="false"/>
                  <w:caps w:val="false"/>
                  <w:smallCaps w:val="false"/>
                  <w:sz w:val="20"/>
                </w:rPr>
                <w:t>Exhibit Fee Table</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3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5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165" w:type="dxa"/>
        <w:jc w:val="left"/>
        <w:tblInd w:w="0" w:type="dxa"/>
        <w:tblLayout w:type="fixed"/>
        <w:tblCellMar>
          <w:top w:w="0" w:type="dxa"/>
          <w:left w:w="0" w:type="dxa"/>
          <w:bottom w:w="0" w:type="dxa"/>
          <w:right w:w="0" w:type="dxa"/>
        </w:tblCellMar>
      </w:tblPr>
      <w:tblGrid>
        <w:gridCol w:w="110"/>
        <w:gridCol w:w="1055"/>
      </w:tblGrid>
      <w:tr>
        <w:trPr/>
        <w:tc>
          <w:tcPr>
            <w:tcW w:w="110"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w:t>
            </w:r>
          </w:p>
        </w:tc>
        <w:tc>
          <w:tcPr>
            <w:tcW w:w="1055"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Filed herewith.</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SIGNATURES</w:t>
      </w:r>
      <w:bookmarkStart w:id="6" w:name="SIGNATURES"/>
      <w:bookmarkEnd w:id="6"/>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Act of 1933, as amended, the Registrant certifies that it has reasonable grounds to believe that it meets all of the requirements for filing on Form S-8 and has duly caused this Registration Statement or amendment thereto to be signed on its behalf by the undersigned, thereunto duly authorized, in New York City, State of New York, on this 29</w:t>
      </w:r>
      <w:r>
        <w:rPr>
          <w:rFonts w:ascii="Times New Roman;Times;serif" w:hAnsi="Times New Roman;Times;serif"/>
          <w:sz w:val="15"/>
        </w:rPr>
        <w:t>th</w:t>
      </w:r>
      <w:r>
        <w:rPr>
          <w:rFonts w:ascii="Times New Roman;Times;serif" w:hAnsi="Times New Roman;Times;serif"/>
          <w:sz w:val="20"/>
        </w:rPr>
        <w:t xml:space="preserve"> day of February 2024.</w:t>
      </w:r>
    </w:p>
    <w:tbl>
      <w:tblPr>
        <w:tblW w:w="4236" w:type="dxa"/>
        <w:jc w:val="right"/>
        <w:tblInd w:w="0" w:type="dxa"/>
        <w:tblLayout w:type="fixed"/>
        <w:tblCellMar>
          <w:top w:w="0" w:type="dxa"/>
          <w:left w:w="0" w:type="dxa"/>
          <w:bottom w:w="0" w:type="dxa"/>
          <w:right w:w="0" w:type="dxa"/>
        </w:tblCellMar>
      </w:tblPr>
      <w:tblGrid>
        <w:gridCol w:w="124"/>
        <w:gridCol w:w="406"/>
        <w:gridCol w:w="370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12"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Y-MABS THERAPEUTICS, INC.</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1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Michael Rossi</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 Michael Rossi</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POWER OF ATTORNEY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KNOW ALL BY THESE PRESENTS, that each person whose signature appears below hereby constitutes and appoints Michael Rossi, Bo Kruse and John LaRocca,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Act of 1933, as amended, this Registration Statement has been signed by the following persons in the capacities and on the dates indicated.</w:t>
      </w:r>
    </w:p>
    <w:tbl>
      <w:tblPr>
        <w:tblW w:w="10205" w:type="dxa"/>
        <w:jc w:val="center"/>
        <w:tblInd w:w="0" w:type="dxa"/>
        <w:tblLayout w:type="fixed"/>
        <w:tblCellMar>
          <w:top w:w="0" w:type="dxa"/>
          <w:left w:w="0" w:type="dxa"/>
          <w:bottom w:w="28" w:type="dxa"/>
          <w:right w:w="0" w:type="dxa"/>
        </w:tblCellMar>
      </w:tblPr>
      <w:tblGrid>
        <w:gridCol w:w="3070"/>
        <w:gridCol w:w="266"/>
        <w:gridCol w:w="4738"/>
        <w:gridCol w:w="266"/>
        <w:gridCol w:w="1382"/>
        <w:gridCol w:w="109"/>
        <w:gridCol w:w="109"/>
        <w:gridCol w:w="109"/>
        <w:gridCol w:w="156"/>
      </w:tblGrid>
      <w:tr>
        <w:trPr/>
        <w:tc>
          <w:tcPr>
            <w:tcW w:w="30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473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138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top w:val="single" w:sz="2" w:space="0" w:color="000000"/>
            </w:tcBorders>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tcBorders>
              <w:top w:val="single" w:sz="2" w:space="0" w:color="000000"/>
            </w:tcBorders>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tcBorders>
              <w:top w:val="single" w:sz="2" w:space="0" w:color="000000"/>
            </w:tcBorders>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MICHAEL ROSSI</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 President, Chief Executive Officer</w:t>
              <w:br/>
            </w:r>
            <w:r>
              <w:rPr>
                <w:rFonts w:ascii="Times New Roman;Times;serif" w:hAnsi="Times New Roman;Times;serif"/>
                <w:i/>
                <w:sz w:val="20"/>
              </w:rPr>
              <w:t>(Principal Executive Officer)</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29, 2024</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Michael Rossi</w:t>
            </w:r>
          </w:p>
        </w:tc>
        <w:tc>
          <w:tcPr>
            <w:tcW w:w="266" w:type="dxa"/>
            <w:vMerge w:val="continue"/>
            <w:tcBorders/>
            <w:tcMar>
              <w:bottom w:w="0" w:type="dxa"/>
            </w:tcMar>
            <w:vAlign w:val="center"/>
          </w:tcPr>
          <w:p>
            <w:pPr>
              <w:pStyle w:val="Normal"/>
              <w:bidi w:val="0"/>
              <w:jc w:val="left"/>
              <w:rPr/>
            </w:pPr>
            <w:r>
              <w:rPr/>
            </w:r>
          </w:p>
        </w:tc>
        <w:tc>
          <w:tcPr>
            <w:tcW w:w="4738" w:type="dxa"/>
            <w:vMerge w:val="continue"/>
            <w:tcBorders/>
            <w:tcMar>
              <w:bottom w:w="0" w:type="dxa"/>
            </w:tcMar>
            <w:vAlign w:val="center"/>
          </w:tcPr>
          <w:p>
            <w:pPr>
              <w:pStyle w:val="Normal"/>
              <w:bidi w:val="0"/>
              <w:jc w:val="left"/>
              <w:rPr/>
            </w:pPr>
            <w:r>
              <w:rPr/>
            </w:r>
          </w:p>
        </w:tc>
        <w:tc>
          <w:tcPr>
            <w:tcW w:w="266" w:type="dxa"/>
            <w:vMerge w:val="continue"/>
            <w:tcBorders/>
            <w:tcMar>
              <w:bottom w:w="0" w:type="dxa"/>
            </w:tcMar>
            <w:vAlign w:val="center"/>
          </w:tcPr>
          <w:p>
            <w:pPr>
              <w:pStyle w:val="Normal"/>
              <w:bidi w:val="0"/>
              <w:jc w:val="left"/>
              <w:rPr/>
            </w:pPr>
            <w:r>
              <w:rPr/>
            </w:r>
          </w:p>
        </w:tc>
        <w:tc>
          <w:tcPr>
            <w:tcW w:w="138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07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BO KRUSE</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Executive Vice President, Chief Financial Officer, Secretary and Treasurer </w:t>
              <w:br/>
            </w:r>
            <w:r>
              <w:rPr>
                <w:rFonts w:ascii="Times New Roman;Times;serif" w:hAnsi="Times New Roman;Times;serif"/>
                <w:i/>
                <w:sz w:val="20"/>
              </w:rPr>
              <w:t>(Principal Financial Officer and Principal</w:t>
            </w:r>
            <w:r>
              <w:rPr>
                <w:rFonts w:ascii="Times New Roman;Times;serif" w:hAnsi="Times New Roman;Times;serif"/>
                <w:sz w:val="20"/>
              </w:rPr>
              <w:t xml:space="preserve"> </w:t>
              <w:br/>
            </w:r>
            <w:r>
              <w:rPr>
                <w:rFonts w:ascii="Times New Roman;Times;serif" w:hAnsi="Times New Roman;Times;serif"/>
                <w:i/>
                <w:sz w:val="20"/>
              </w:rPr>
              <w:t>Accounting Officer)</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29, 2024</w:t>
            </w:r>
          </w:p>
          <w:p>
            <w:pPr>
              <w:pStyle w:val="TableContents"/>
              <w:bidi w:val="0"/>
              <w:spacing w:before="0" w:after="0"/>
              <w:ind w:left="0" w:right="0" w:hanging="0"/>
              <w:jc w:val="center"/>
              <w:rPr/>
            </w:pPr>
            <w:r>
              <w:rPr/>
              <w:t>​</w:t>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Bo Kruse</w:t>
            </w:r>
          </w:p>
        </w:tc>
        <w:tc>
          <w:tcPr>
            <w:tcW w:w="266" w:type="dxa"/>
            <w:vMerge w:val="continue"/>
            <w:tcBorders/>
            <w:tcMar>
              <w:bottom w:w="0" w:type="dxa"/>
            </w:tcMar>
            <w:vAlign w:val="center"/>
          </w:tcPr>
          <w:p>
            <w:pPr>
              <w:pStyle w:val="Normal"/>
              <w:bidi w:val="0"/>
              <w:jc w:val="left"/>
              <w:rPr/>
            </w:pPr>
            <w:r>
              <w:rPr/>
            </w:r>
          </w:p>
        </w:tc>
        <w:tc>
          <w:tcPr>
            <w:tcW w:w="4738" w:type="dxa"/>
            <w:vMerge w:val="continue"/>
            <w:tcBorders/>
            <w:tcMar>
              <w:bottom w:w="0" w:type="dxa"/>
            </w:tcMar>
            <w:vAlign w:val="center"/>
          </w:tcPr>
          <w:p>
            <w:pPr>
              <w:pStyle w:val="Normal"/>
              <w:bidi w:val="0"/>
              <w:jc w:val="left"/>
              <w:rPr/>
            </w:pPr>
            <w:r>
              <w:rPr/>
            </w:r>
          </w:p>
        </w:tc>
        <w:tc>
          <w:tcPr>
            <w:tcW w:w="266" w:type="dxa"/>
            <w:vMerge w:val="continue"/>
            <w:tcBorders/>
            <w:tcMar>
              <w:bottom w:w="0" w:type="dxa"/>
            </w:tcMar>
            <w:vAlign w:val="center"/>
          </w:tcPr>
          <w:p>
            <w:pPr>
              <w:pStyle w:val="Normal"/>
              <w:bidi w:val="0"/>
              <w:jc w:val="left"/>
              <w:rPr/>
            </w:pPr>
            <w:r>
              <w:rPr/>
            </w:r>
          </w:p>
        </w:tc>
        <w:tc>
          <w:tcPr>
            <w:tcW w:w="138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070"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4738"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382" w:type="dxa"/>
            <w:tcBorders/>
            <w:tcMar>
              <w:bottom w:w="0" w:type="dxa"/>
            </w:tcMar>
            <w:vAlign w:val="center"/>
          </w:tcPr>
          <w:p>
            <w:pPr>
              <w:pStyle w:val="TableContents"/>
              <w:bidi w:val="0"/>
              <w:spacing w:before="0" w:after="0"/>
              <w:ind w:left="0" w:right="0" w:hanging="0"/>
              <w:jc w:val="left"/>
              <w:rPr/>
            </w:pPr>
            <w:r>
              <w:rPr/>
              <w:t>​</w:t>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THOMAS GAD</w:t>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29, 2024</w:t>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Thomas Gad</w:t>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JOHAN WEDELL-WEDELLSBORG</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29, 2024</w:t>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Johan Wedell-Wedellsborg</w:t>
            </w:r>
          </w:p>
        </w:tc>
        <w:tc>
          <w:tcPr>
            <w:tcW w:w="266" w:type="dxa"/>
            <w:vMerge w:val="continue"/>
            <w:tcBorders/>
            <w:tcMar>
              <w:bottom w:w="0" w:type="dxa"/>
            </w:tcMar>
            <w:vAlign w:val="center"/>
          </w:tcPr>
          <w:p>
            <w:pPr>
              <w:pStyle w:val="Normal"/>
              <w:bidi w:val="0"/>
              <w:jc w:val="left"/>
              <w:rPr/>
            </w:pPr>
            <w:r>
              <w:rPr/>
            </w:r>
          </w:p>
        </w:tc>
        <w:tc>
          <w:tcPr>
            <w:tcW w:w="4738" w:type="dxa"/>
            <w:vMerge w:val="continue"/>
            <w:tcBorders/>
            <w:tcMar>
              <w:bottom w:w="0" w:type="dxa"/>
            </w:tcMar>
            <w:vAlign w:val="center"/>
          </w:tcPr>
          <w:p>
            <w:pPr>
              <w:pStyle w:val="Normal"/>
              <w:bidi w:val="0"/>
              <w:jc w:val="left"/>
              <w:rPr/>
            </w:pPr>
            <w:r>
              <w:rPr/>
            </w:r>
          </w:p>
        </w:tc>
        <w:tc>
          <w:tcPr>
            <w:tcW w:w="266" w:type="dxa"/>
            <w:vMerge w:val="continue"/>
            <w:tcBorders/>
            <w:tcMar>
              <w:bottom w:w="0" w:type="dxa"/>
            </w:tcMar>
            <w:vAlign w:val="center"/>
          </w:tcPr>
          <w:p>
            <w:pPr>
              <w:pStyle w:val="Normal"/>
              <w:bidi w:val="0"/>
              <w:jc w:val="left"/>
              <w:rPr/>
            </w:pPr>
            <w:r>
              <w:rPr/>
            </w:r>
          </w:p>
        </w:tc>
        <w:tc>
          <w:tcPr>
            <w:tcW w:w="138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07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LAURA J. HAMILL</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29, 2024</w:t>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Laura J. Hamill</w:t>
            </w:r>
          </w:p>
        </w:tc>
        <w:tc>
          <w:tcPr>
            <w:tcW w:w="266" w:type="dxa"/>
            <w:vMerge w:val="continue"/>
            <w:tcBorders/>
            <w:tcMar>
              <w:bottom w:w="0" w:type="dxa"/>
            </w:tcMar>
            <w:vAlign w:val="center"/>
          </w:tcPr>
          <w:p>
            <w:pPr>
              <w:pStyle w:val="Normal"/>
              <w:bidi w:val="0"/>
              <w:jc w:val="left"/>
              <w:rPr/>
            </w:pPr>
            <w:r>
              <w:rPr/>
            </w:r>
          </w:p>
        </w:tc>
        <w:tc>
          <w:tcPr>
            <w:tcW w:w="4738" w:type="dxa"/>
            <w:vMerge w:val="continue"/>
            <w:tcBorders/>
            <w:tcMar>
              <w:bottom w:w="0" w:type="dxa"/>
            </w:tcMar>
            <w:vAlign w:val="center"/>
          </w:tcPr>
          <w:p>
            <w:pPr>
              <w:pStyle w:val="Normal"/>
              <w:bidi w:val="0"/>
              <w:jc w:val="left"/>
              <w:rPr/>
            </w:pPr>
            <w:r>
              <w:rPr/>
            </w:r>
          </w:p>
        </w:tc>
        <w:tc>
          <w:tcPr>
            <w:tcW w:w="266" w:type="dxa"/>
            <w:vMerge w:val="continue"/>
            <w:tcBorders/>
            <w:tcMar>
              <w:bottom w:w="0" w:type="dxa"/>
            </w:tcMar>
            <w:vAlign w:val="center"/>
          </w:tcPr>
          <w:p>
            <w:pPr>
              <w:pStyle w:val="Normal"/>
              <w:bidi w:val="0"/>
              <w:jc w:val="left"/>
              <w:rPr/>
            </w:pPr>
            <w:r>
              <w:rPr/>
            </w:r>
          </w:p>
        </w:tc>
        <w:tc>
          <w:tcPr>
            <w:tcW w:w="138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07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GÉRARD BER</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29, 2024</w:t>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Gérard Ber</w:t>
            </w:r>
          </w:p>
        </w:tc>
        <w:tc>
          <w:tcPr>
            <w:tcW w:w="266" w:type="dxa"/>
            <w:vMerge w:val="continue"/>
            <w:tcBorders/>
            <w:tcMar>
              <w:bottom w:w="0" w:type="dxa"/>
            </w:tcMar>
            <w:vAlign w:val="center"/>
          </w:tcPr>
          <w:p>
            <w:pPr>
              <w:pStyle w:val="Normal"/>
              <w:bidi w:val="0"/>
              <w:jc w:val="left"/>
              <w:rPr/>
            </w:pPr>
            <w:r>
              <w:rPr/>
            </w:r>
          </w:p>
        </w:tc>
        <w:tc>
          <w:tcPr>
            <w:tcW w:w="4738" w:type="dxa"/>
            <w:vMerge w:val="continue"/>
            <w:tcBorders/>
            <w:tcMar>
              <w:bottom w:w="0" w:type="dxa"/>
            </w:tcMar>
            <w:vAlign w:val="center"/>
          </w:tcPr>
          <w:p>
            <w:pPr>
              <w:pStyle w:val="Normal"/>
              <w:bidi w:val="0"/>
              <w:jc w:val="left"/>
              <w:rPr/>
            </w:pPr>
            <w:r>
              <w:rPr/>
            </w:r>
          </w:p>
        </w:tc>
        <w:tc>
          <w:tcPr>
            <w:tcW w:w="266" w:type="dxa"/>
            <w:vMerge w:val="continue"/>
            <w:tcBorders/>
            <w:tcMar>
              <w:bottom w:w="0" w:type="dxa"/>
            </w:tcMar>
            <w:vAlign w:val="center"/>
          </w:tcPr>
          <w:p>
            <w:pPr>
              <w:pStyle w:val="Normal"/>
              <w:bidi w:val="0"/>
              <w:jc w:val="left"/>
              <w:rPr/>
            </w:pPr>
            <w:r>
              <w:rPr/>
            </w:r>
          </w:p>
        </w:tc>
        <w:tc>
          <w:tcPr>
            <w:tcW w:w="138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07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ASHUTOSH TYAGI</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29, 2024</w:t>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Ashutosh Tyagi</w:t>
            </w:r>
          </w:p>
        </w:tc>
        <w:tc>
          <w:tcPr>
            <w:tcW w:w="266" w:type="dxa"/>
            <w:vMerge w:val="continue"/>
            <w:tcBorders/>
            <w:tcMar>
              <w:bottom w:w="0" w:type="dxa"/>
            </w:tcMar>
            <w:vAlign w:val="center"/>
          </w:tcPr>
          <w:p>
            <w:pPr>
              <w:pStyle w:val="Normal"/>
              <w:bidi w:val="0"/>
              <w:jc w:val="left"/>
              <w:rPr/>
            </w:pPr>
            <w:r>
              <w:rPr/>
            </w:r>
          </w:p>
        </w:tc>
        <w:tc>
          <w:tcPr>
            <w:tcW w:w="4738" w:type="dxa"/>
            <w:vMerge w:val="continue"/>
            <w:tcBorders/>
            <w:tcMar>
              <w:bottom w:w="0" w:type="dxa"/>
            </w:tcMar>
            <w:vAlign w:val="center"/>
          </w:tcPr>
          <w:p>
            <w:pPr>
              <w:pStyle w:val="Normal"/>
              <w:bidi w:val="0"/>
              <w:jc w:val="left"/>
              <w:rPr/>
            </w:pPr>
            <w:r>
              <w:rPr/>
            </w:r>
          </w:p>
        </w:tc>
        <w:tc>
          <w:tcPr>
            <w:tcW w:w="266" w:type="dxa"/>
            <w:vMerge w:val="continue"/>
            <w:tcBorders/>
            <w:tcMar>
              <w:bottom w:w="0" w:type="dxa"/>
            </w:tcMar>
            <w:vAlign w:val="center"/>
          </w:tcPr>
          <w:p>
            <w:pPr>
              <w:pStyle w:val="Normal"/>
              <w:bidi w:val="0"/>
              <w:jc w:val="left"/>
              <w:rPr/>
            </w:pPr>
            <w:r>
              <w:rPr/>
            </w:r>
          </w:p>
        </w:tc>
        <w:tc>
          <w:tcPr>
            <w:tcW w:w="138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07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JAMES I. HEALEY</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29, 2024</w:t>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James I. Healy</w:t>
            </w:r>
          </w:p>
        </w:tc>
        <w:tc>
          <w:tcPr>
            <w:tcW w:w="266" w:type="dxa"/>
            <w:vMerge w:val="continue"/>
            <w:tcBorders/>
            <w:tcMar>
              <w:bottom w:w="0" w:type="dxa"/>
            </w:tcMar>
            <w:vAlign w:val="center"/>
          </w:tcPr>
          <w:p>
            <w:pPr>
              <w:pStyle w:val="Normal"/>
              <w:bidi w:val="0"/>
              <w:jc w:val="left"/>
              <w:rPr/>
            </w:pPr>
            <w:r>
              <w:rPr/>
            </w:r>
          </w:p>
        </w:tc>
        <w:tc>
          <w:tcPr>
            <w:tcW w:w="4738" w:type="dxa"/>
            <w:vMerge w:val="continue"/>
            <w:tcBorders/>
            <w:tcMar>
              <w:bottom w:w="0" w:type="dxa"/>
            </w:tcMar>
            <w:vAlign w:val="center"/>
          </w:tcPr>
          <w:p>
            <w:pPr>
              <w:pStyle w:val="Normal"/>
              <w:bidi w:val="0"/>
              <w:jc w:val="left"/>
              <w:rPr/>
            </w:pPr>
            <w:r>
              <w:rPr/>
            </w:r>
          </w:p>
        </w:tc>
        <w:tc>
          <w:tcPr>
            <w:tcW w:w="266" w:type="dxa"/>
            <w:vMerge w:val="continue"/>
            <w:tcBorders/>
            <w:tcMar>
              <w:bottom w:w="0" w:type="dxa"/>
            </w:tcMar>
            <w:vAlign w:val="center"/>
          </w:tcPr>
          <w:p>
            <w:pPr>
              <w:pStyle w:val="Normal"/>
              <w:bidi w:val="0"/>
              <w:jc w:val="left"/>
              <w:rPr/>
            </w:pPr>
            <w:r>
              <w:rPr/>
            </w:r>
          </w:p>
        </w:tc>
        <w:tc>
          <w:tcPr>
            <w:tcW w:w="138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07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DAVID N. GILL</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738"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266" w:type="dxa"/>
            <w:vMerge w:val="restart"/>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382"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29, 2024</w:t>
            </w:r>
          </w:p>
        </w:tc>
        <w:tc>
          <w:tcPr>
            <w:tcW w:w="483"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3070"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N. Gill</w:t>
            </w:r>
          </w:p>
        </w:tc>
        <w:tc>
          <w:tcPr>
            <w:tcW w:w="266" w:type="dxa"/>
            <w:vMerge w:val="continue"/>
            <w:tcBorders/>
            <w:tcMar>
              <w:bottom w:w="0" w:type="dxa"/>
            </w:tcMar>
            <w:vAlign w:val="center"/>
          </w:tcPr>
          <w:p>
            <w:pPr>
              <w:pStyle w:val="Normal"/>
              <w:bidi w:val="0"/>
              <w:jc w:val="left"/>
              <w:rPr/>
            </w:pPr>
            <w:r>
              <w:rPr/>
            </w:r>
          </w:p>
        </w:tc>
        <w:tc>
          <w:tcPr>
            <w:tcW w:w="4738" w:type="dxa"/>
            <w:vMerge w:val="continue"/>
            <w:tcBorders/>
            <w:tcMar>
              <w:bottom w:w="0" w:type="dxa"/>
            </w:tcMar>
            <w:vAlign w:val="center"/>
          </w:tcPr>
          <w:p>
            <w:pPr>
              <w:pStyle w:val="Normal"/>
              <w:bidi w:val="0"/>
              <w:jc w:val="left"/>
              <w:rPr/>
            </w:pPr>
            <w:r>
              <w:rPr/>
            </w:r>
          </w:p>
        </w:tc>
        <w:tc>
          <w:tcPr>
            <w:tcW w:w="266" w:type="dxa"/>
            <w:vMerge w:val="continue"/>
            <w:tcBorders/>
            <w:tcMar>
              <w:bottom w:w="0" w:type="dxa"/>
            </w:tcMar>
            <w:vAlign w:val="center"/>
          </w:tcPr>
          <w:p>
            <w:pPr>
              <w:pStyle w:val="Normal"/>
              <w:bidi w:val="0"/>
              <w:jc w:val="left"/>
              <w:rPr/>
            </w:pPr>
            <w:r>
              <w:rPr/>
            </w:r>
          </w:p>
        </w:tc>
        <w:tc>
          <w:tcPr>
            <w:tcW w:w="138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108" w:right="108" w:hanging="0"/>
        <w:jc w:val="left"/>
        <w:rPr/>
      </w:pPr>
      <w:bookmarkStart w:id="7" w:name="tmb-20240229xex5d1.htm"/>
      <w:bookmarkStart w:id="8" w:name="kstmb20240229xex5d1"/>
      <w:bookmarkEnd w:id="7"/>
      <w:bookmarkEnd w:id="8"/>
      <w:r>
        <w:rPr/>
        <w:t>​</w:t>
      </w:r>
      <w:r>
        <w:br w:type="page"/>
      </w:r>
    </w:p>
    <w:tbl>
      <w:tblPr>
        <w:tblW w:w="3197" w:type="dxa"/>
        <w:jc w:val="center"/>
        <w:tblInd w:w="0" w:type="dxa"/>
        <w:tblLayout w:type="fixed"/>
        <w:tblCellMar>
          <w:top w:w="0" w:type="dxa"/>
          <w:left w:w="0" w:type="dxa"/>
          <w:bottom w:w="0" w:type="dxa"/>
          <w:right w:w="0" w:type="dxa"/>
        </w:tblCellMar>
      </w:tblPr>
      <w:tblGrid>
        <w:gridCol w:w="2056"/>
        <w:gridCol w:w="114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05560" cy="175260"/>
                      <wp:effectExtent l="0" t="0" r="0" b="0"/>
                      <wp:wrapNone/>
                      <wp:docPr id="13" name="Frame13"/>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14" name="Frame1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05560" cy="438150"/>
                      <wp:effectExtent l="0" t="0" r="0" b="0"/>
                      <wp:wrapNone/>
                      <wp:docPr id="15" name="Frame15"/>
                      <a:graphic xmlns:a="http://schemas.openxmlformats.org/drawingml/2006/main">
                        <a:graphicData uri="http://schemas.microsoft.com/office/word/2010/wordprocessingShape">
                          <wps:wsp>
                            <wps:cNvSpPr txBox="1"/>
                            <wps:spPr>
                              <a:xfrm>
                                <a:off x="0" y="0"/>
                                <a:ext cx="1305560" cy="438150"/>
                              </a:xfrm>
                              <a:prstGeom prst="rect"/>
                              <a:solidFill>
                                <a:srgbClr val="FFFFFF"/>
                              </a:solidFill>
                            </wps:spPr>
                            <wps:txbx>
                              <w:txbxContent>
                                <w:p>
                                  <w:pPr>
                                    <w:pStyle w:val="TableContents"/>
                                    <w:bidi w:val="0"/>
                                    <w:spacing w:before="0" w:after="0"/>
                                    <w:ind w:left="0" w:right="0" w:hanging="0"/>
                                    <w:jc w:val="left"/>
                                    <w:rPr/>
                                  </w:pPr>
                                  <w:r>
                                    <w:rPr/>
                                    <w:drawing>
                                      <wp:inline distT="0" distB="0" distL="0" distR="0">
                                        <wp:extent cx="1352550" cy="43815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19"/>
                                                <a:stretch>
                                                  <a:fillRect/>
                                                </a:stretch>
                                              </pic:blipFill>
                                              <pic:spPr bwMode="auto">
                                                <a:xfrm>
                                                  <a:off x="0" y="0"/>
                                                  <a:ext cx="1352550" cy="4381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drawing>
                                <wp:inline distT="0" distB="0" distL="0" distR="0">
                                  <wp:extent cx="1352550" cy="438150"/>
                                  <wp:effectExtent l="0" t="0" r="0" b="0"/>
                                  <wp:docPr id="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descr=""/>
                                          <pic:cNvPicPr>
                                            <a:picLocks noChangeAspect="1" noChangeArrowheads="1"/>
                                          </pic:cNvPicPr>
                                        </pic:nvPicPr>
                                        <pic:blipFill>
                                          <a:blip r:embed="rId20"/>
                                          <a:stretch>
                                            <a:fillRect/>
                                          </a:stretch>
                                        </pic:blipFill>
                                        <pic:spPr bwMode="auto">
                                          <a:xfrm>
                                            <a:off x="0" y="0"/>
                                            <a:ext cx="1352550" cy="438150"/>
                                          </a:xfrm>
                                          <a:prstGeom prst="rect">
                                            <a:avLst/>
                                          </a:prstGeom>
                                        </pic:spPr>
                                      </pic:pic>
                                    </a:graphicData>
                                  </a:graphic>
                                </wp:inline>
                              </w:drawing>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24535" cy="175260"/>
                      <wp:effectExtent l="0" t="0" r="0" b="0"/>
                      <wp:wrapNone/>
                      <wp:docPr id="18" name="Frame1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tLeast" w:line="142" w:before="0" w:after="0"/>
                                    <w:ind w:left="0" w:right="108"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42" w:before="0" w:after="0"/>
                              <w:ind w:left="0" w:right="108"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lineRule="atLeast" w:line="240" w:before="0" w:after="0"/>
              <w:ind w:left="108" w:right="108" w:hanging="0"/>
              <w:jc w:val="left"/>
              <w:rPr>
                <w:rFonts w:ascii="Arial;Helvetica;sans-serif" w:hAnsi="Arial;Helvetica;sans-serif"/>
                <w:spacing w:val="2"/>
                <w:sz w:val="20"/>
              </w:rPr>
            </w:pPr>
            <w:r>
              <w:rPr>
                <w:rFonts w:ascii="Arial;Helvetica;sans-serif" w:hAnsi="Arial;Helvetica;sans-serif"/>
                <w:spacing w:val="2"/>
                <w:sz w:val="20"/>
              </w:rPr>
              <w:t>Sarah K. Sellers</w:t>
            </w:r>
          </w:p>
          <w:p>
            <w:pPr>
              <w:pStyle w:val="TableContents"/>
              <w:bidi w:val="0"/>
              <w:spacing w:lineRule="atLeast" w:line="240" w:before="0" w:after="0"/>
              <w:ind w:left="108" w:right="108" w:hanging="0"/>
              <w:jc w:val="left"/>
              <w:rPr>
                <w:rFonts w:ascii="Arial;Helvetica;sans-serif" w:hAnsi="Arial;Helvetica;sans-serif"/>
                <w:sz w:val="20"/>
              </w:rPr>
            </w:pPr>
            <w:r>
              <w:rPr>
                <w:rFonts w:ascii="Arial;Helvetica;sans-serif" w:hAnsi="Arial;Helvetica;sans-serif"/>
                <w:sz w:val="20"/>
              </w:rPr>
              <w:t>+1 212 479 6370</w:t>
            </w:r>
          </w:p>
          <w:p>
            <w:pPr>
              <w:pStyle w:val="TableContents"/>
              <w:bidi w:val="0"/>
              <w:spacing w:lineRule="atLeast" w:line="240" w:before="0" w:after="0"/>
              <w:ind w:left="0" w:right="0" w:hanging="0"/>
              <w:jc w:val="left"/>
              <w:rPr>
                <w:rFonts w:ascii="Arial;Helvetica;sans-serif" w:hAnsi="Arial;Helvetica;sans-serif"/>
                <w:sz w:val="20"/>
              </w:rPr>
            </w:pPr>
            <w:r>
              <w:rPr>
                <w:rFonts w:ascii="Arial;Helvetica;sans-serif" w:hAnsi="Arial;Helvetica;sans-serif"/>
                <w:sz w:val="20"/>
              </w:rPr>
              <w:t>SSellers@cooley.com</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Exhibit 5.1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tLeast" w:line="300" w:before="0" w:after="240"/>
        <w:ind w:left="0" w:right="0" w:hanging="0"/>
        <w:jc w:val="left"/>
        <w:rPr>
          <w:rFonts w:ascii="Arial;Helvetica;sans-serif" w:hAnsi="Arial;Helvetica;sans-serif"/>
          <w:sz w:val="20"/>
        </w:rPr>
      </w:pPr>
      <w:r>
        <w:rPr>
          <w:rFonts w:ascii="Arial;Helvetica;sans-serif" w:hAnsi="Arial;Helvetica;sans-serif"/>
          <w:sz w:val="20"/>
        </w:rPr>
        <w:t>February 29, 2024</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Y-mAbs Therapeutics, Inc.</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230 Park Avenue, Suite 3350</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New York, NY 10169</w:t>
      </w:r>
    </w:p>
    <w:tbl>
      <w:tblPr>
        <w:tblW w:w="3670" w:type="dxa"/>
        <w:jc w:val="left"/>
        <w:tblInd w:w="0" w:type="dxa"/>
        <w:tblLayout w:type="fixed"/>
        <w:tblCellMar>
          <w:top w:w="0" w:type="dxa"/>
          <w:left w:w="0" w:type="dxa"/>
          <w:bottom w:w="0" w:type="dxa"/>
          <w:right w:w="0" w:type="dxa"/>
        </w:tblCellMar>
      </w:tblPr>
      <w:tblGrid>
        <w:gridCol w:w="320"/>
        <w:gridCol w:w="3350"/>
      </w:tblGrid>
      <w:tr>
        <w:trPr/>
        <w:tc>
          <w:tcPr>
            <w:tcW w:w="320"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Re:</w:t>
            </w:r>
          </w:p>
        </w:tc>
        <w:tc>
          <w:tcPr>
            <w:tcW w:w="3350" w:type="dxa"/>
            <w:tcBorders/>
            <w:vAlign w:val="center"/>
          </w:tcPr>
          <w:p>
            <w:pPr>
              <w:pStyle w:val="TableContents"/>
              <w:bidi w:val="0"/>
              <w:spacing w:before="0" w:after="0"/>
              <w:jc w:val="left"/>
              <w:rPr>
                <w:rFonts w:ascii="Arial;Helvetica;sans-serif" w:hAnsi="Arial;Helvetica;sans-serif"/>
                <w:b/>
                <w:sz w:val="20"/>
              </w:rPr>
            </w:pPr>
            <w:bookmarkStart w:id="9" w:name="_Hlk111044930"/>
            <w:bookmarkEnd w:id="9"/>
            <w:r>
              <w:rPr>
                <w:rFonts w:ascii="Arial;Helvetica;sans-serif" w:hAnsi="Arial;Helvetica;sans-serif"/>
                <w:b/>
                <w:sz w:val="20"/>
              </w:rPr>
              <w:t>Registration Statement on Form S-8</w:t>
            </w:r>
          </w:p>
        </w:tc>
      </w:tr>
    </w:tbl>
    <w:p>
      <w:pPr>
        <w:pStyle w:val="TextBody"/>
        <w:bidi w:val="0"/>
        <w:spacing w:before="240" w:after="240"/>
        <w:ind w:left="0" w:right="0" w:hanging="0"/>
        <w:jc w:val="left"/>
        <w:rPr>
          <w:rFonts w:ascii="Arial;Helvetica;sans-serif" w:hAnsi="Arial;Helvetica;sans-serif"/>
          <w:sz w:val="20"/>
        </w:rPr>
      </w:pPr>
      <w:r>
        <w:rPr>
          <w:rFonts w:ascii="Arial;Helvetica;sans-serif" w:hAnsi="Arial;Helvetica;sans-serif"/>
          <w:sz w:val="20"/>
        </w:rPr>
        <w:t>Ladies and Gentlemen:</w:t>
      </w:r>
    </w:p>
    <w:p>
      <w:pPr>
        <w:pStyle w:val="TextBody"/>
        <w:bidi w:val="0"/>
        <w:spacing w:before="0" w:after="240"/>
        <w:ind w:left="0" w:right="0" w:hanging="0"/>
        <w:jc w:val="both"/>
        <w:rPr>
          <w:rFonts w:ascii="Arial;Helvetica;sans-serif" w:hAnsi="Arial;Helvetica;sans-serif"/>
          <w:sz w:val="20"/>
        </w:rPr>
      </w:pPr>
      <w:bookmarkStart w:id="10" w:name="_Hlk130298330"/>
      <w:bookmarkEnd w:id="10"/>
      <w:r>
        <w:rPr>
          <w:rFonts w:ascii="Arial;Helvetica;sans-serif" w:hAnsi="Arial;Helvetica;sans-serif"/>
          <w:sz w:val="20"/>
        </w:rPr>
        <w:t>We have acted as counsel to Y-mAbs Therapeutics, Inc., a Delaware corporation (the “</w:t>
      </w:r>
      <w:r>
        <w:rPr>
          <w:rFonts w:ascii="Arial;Helvetica;sans-serif" w:hAnsi="Arial;Helvetica;sans-serif"/>
          <w:b/>
          <w:i/>
          <w:sz w:val="20"/>
        </w:rPr>
        <w:t>Company</w:t>
      </w:r>
      <w:r>
        <w:rPr>
          <w:rFonts w:ascii="Arial;Helvetica;sans-serif" w:hAnsi="Arial;Helvetica;sans-serif"/>
          <w:sz w:val="20"/>
        </w:rPr>
        <w:t>”), in connection with the filing of a Registration Statement on Form S-8 (the “</w:t>
      </w:r>
      <w:r>
        <w:rPr>
          <w:rFonts w:ascii="Arial;Helvetica;sans-serif" w:hAnsi="Arial;Helvetica;sans-serif"/>
          <w:b/>
          <w:i/>
          <w:sz w:val="20"/>
        </w:rPr>
        <w:t>Registration Statement</w:t>
      </w:r>
      <w:r>
        <w:rPr>
          <w:rFonts w:ascii="Arial;Helvetica;sans-serif" w:hAnsi="Arial;Helvetica;sans-serif"/>
          <w:sz w:val="20"/>
        </w:rPr>
        <w:t>”) with the Securities and Exchange Commission (the “</w:t>
      </w:r>
      <w:r>
        <w:rPr>
          <w:rFonts w:ascii="Arial;Helvetica;sans-serif" w:hAnsi="Arial;Helvetica;sans-serif"/>
          <w:b/>
          <w:i/>
          <w:sz w:val="20"/>
        </w:rPr>
        <w:t>Commission</w:t>
      </w:r>
      <w:r>
        <w:rPr>
          <w:rFonts w:ascii="Arial;Helvetica;sans-serif" w:hAnsi="Arial;Helvetica;sans-serif"/>
          <w:sz w:val="20"/>
        </w:rPr>
        <w:t>”) covering the offering of up to 1,746,884 shares (the “</w:t>
      </w:r>
      <w:r>
        <w:rPr>
          <w:rFonts w:ascii="Arial;Helvetica;sans-serif" w:hAnsi="Arial;Helvetica;sans-serif"/>
          <w:b/>
          <w:i/>
          <w:sz w:val="20"/>
        </w:rPr>
        <w:t>Shares</w:t>
      </w:r>
      <w:r>
        <w:rPr>
          <w:rFonts w:ascii="Arial;Helvetica;sans-serif" w:hAnsi="Arial;Helvetica;sans-serif"/>
          <w:sz w:val="20"/>
        </w:rPr>
        <w:t>”) of the Company’s common stock, par value $0.0001 per share, issuable pursuant to the Y-mAbs Therapeutics, Inc. 2018 Equity Incentive Plan (the “</w:t>
      </w:r>
      <w:r>
        <w:rPr>
          <w:rFonts w:ascii="Arial;Helvetica;sans-serif" w:hAnsi="Arial;Helvetica;sans-serif"/>
          <w:b/>
          <w:i/>
          <w:sz w:val="20"/>
        </w:rPr>
        <w:t>Plan</w:t>
      </w:r>
      <w:r>
        <w:rPr>
          <w:rFonts w:ascii="Arial;Helvetica;sans-serif" w:hAnsi="Arial;Helvetica;sans-serif"/>
          <w:sz w:val="20"/>
        </w:rPr>
        <w:t>”).</w:t>
      </w:r>
    </w:p>
    <w:p>
      <w:pPr>
        <w:pStyle w:val="TextBody"/>
        <w:bidi w:val="0"/>
        <w:spacing w:before="0" w:after="240"/>
        <w:ind w:left="0" w:right="0" w:hanging="0"/>
        <w:jc w:val="both"/>
        <w:rPr>
          <w:rFonts w:ascii="Arial;Helvetica;sans-serif" w:hAnsi="Arial;Helvetica;sans-serif"/>
          <w:sz w:val="20"/>
        </w:rPr>
      </w:pPr>
      <w:bookmarkStart w:id="11" w:name="_Hlk130298373"/>
      <w:bookmarkEnd w:id="11"/>
      <w:r>
        <w:rPr>
          <w:rFonts w:ascii="Arial;Helvetica;sans-serif" w:hAnsi="Arial;Helvetica;sans-serif"/>
          <w:sz w:val="20"/>
        </w:rPr>
        <w:t>In connection with this opinion, we have examined and relied upon (a) the Registration Statement and the related prospectus, (b) the Company’s certificate of incorporation and bylaws, each as currently in effect, (c) the Plan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pStyle w:val="TextBody"/>
        <w:bidi w:val="0"/>
        <w:spacing w:before="0" w:after="240"/>
        <w:ind w:left="0" w:right="0" w:hanging="0"/>
        <w:jc w:val="both"/>
        <w:rPr>
          <w:rFonts w:ascii="Arial;Helvetica;sans-serif" w:hAnsi="Arial;Helvetica;sans-serif"/>
          <w:sz w:val="20"/>
        </w:rPr>
      </w:pPr>
      <w:bookmarkStart w:id="12" w:name="_Hlk130298340"/>
      <w:bookmarkEnd w:id="12"/>
      <w:r>
        <w:rPr>
          <w:rFonts w:ascii="Arial;Helvetica;sans-serif" w:hAnsi="Arial;Helvetica;sans-serif"/>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pStyle w:val="TextBody"/>
        <w:bidi w:val="0"/>
        <w:spacing w:before="0" w:after="0"/>
        <w:ind w:left="0" w:right="0" w:hanging="0"/>
        <w:jc w:val="center"/>
        <w:rPr/>
      </w:pPr>
      <w:r>
        <w:rPr/>
        <w:drawing>
          <wp:inline distT="0" distB="0" distL="0" distR="0">
            <wp:extent cx="3248025" cy="390525"/>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21"/>
                    <a:stretch>
                      <a:fillRect/>
                    </a:stretch>
                  </pic:blipFill>
                  <pic:spPr bwMode="auto">
                    <a:xfrm>
                      <a:off x="0" y="0"/>
                      <a:ext cx="3248025" cy="3905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0"/>
        <w:ind w:left="108" w:right="108" w:hanging="0"/>
        <w:jc w:val="left"/>
        <w:rPr/>
      </w:pPr>
      <w:r>
        <w:rPr/>
        <w:t>​</w:t>
      </w:r>
    </w:p>
    <w:tbl>
      <w:tblPr>
        <w:tblW w:w="2828" w:type="dxa"/>
        <w:jc w:val="left"/>
        <w:tblInd w:w="0" w:type="dxa"/>
        <w:tblLayout w:type="fixed"/>
        <w:tblCellMar>
          <w:top w:w="0" w:type="dxa"/>
          <w:left w:w="0" w:type="dxa"/>
          <w:bottom w:w="0" w:type="dxa"/>
          <w:right w:w="0" w:type="dxa"/>
        </w:tblCellMar>
      </w:tblPr>
      <w:tblGrid>
        <w:gridCol w:w="2569"/>
        <w:gridCol w:w="259"/>
      </w:tblGrid>
      <w:tr>
        <w:trPr/>
        <w:tc>
          <w:tcPr>
            <w:tcW w:w="2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631315" cy="438150"/>
                      <wp:effectExtent l="0" t="0" r="0" b="0"/>
                      <wp:wrapNone/>
                      <wp:docPr id="20" name="Frame17"/>
                      <a:graphic xmlns:a="http://schemas.openxmlformats.org/drawingml/2006/main">
                        <a:graphicData uri="http://schemas.microsoft.com/office/word/2010/wordprocessingShape">
                          <wps:wsp>
                            <wps:cNvSpPr txBox="1"/>
                            <wps:spPr>
                              <a:xfrm>
                                <a:off x="0" y="0"/>
                                <a:ext cx="1631315" cy="438150"/>
                              </a:xfrm>
                              <a:prstGeom prst="rect"/>
                              <a:solidFill>
                                <a:srgbClr val="FFFFFF"/>
                              </a:solidFill>
                            </wps:spPr>
                            <wps:txbx>
                              <w:txbxContent>
                                <w:p>
                                  <w:pPr>
                                    <w:pStyle w:val="TableContents"/>
                                    <w:bidi w:val="0"/>
                                    <w:spacing w:before="0" w:after="0"/>
                                    <w:ind w:left="0" w:right="0" w:hanging="0"/>
                                    <w:jc w:val="left"/>
                                    <w:rPr/>
                                  </w:pPr>
                                  <w:r>
                                    <w:rPr/>
                                    <w:drawing>
                                      <wp:inline distT="0" distB="0" distL="0" distR="0">
                                        <wp:extent cx="1352550" cy="43815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22"/>
                                                <a:stretch>
                                                  <a:fillRect/>
                                                </a:stretch>
                                              </pic:blipFill>
                                              <pic:spPr bwMode="auto">
                                                <a:xfrm>
                                                  <a:off x="0" y="0"/>
                                                  <a:ext cx="1352550" cy="4381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4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drawing>
                                <wp:inline distT="0" distB="0" distL="0" distR="0">
                                  <wp:extent cx="1352550" cy="43815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23"/>
                                          <a:stretch>
                                            <a:fillRect/>
                                          </a:stretch>
                                        </pic:blipFill>
                                        <pic:spPr bwMode="auto">
                                          <a:xfrm>
                                            <a:off x="0" y="0"/>
                                            <a:ext cx="1352550" cy="438150"/>
                                          </a:xfrm>
                                          <a:prstGeom prst="rect">
                                            <a:avLst/>
                                          </a:prstGeom>
                                        </pic:spPr>
                                      </pic:pic>
                                    </a:graphicData>
                                  </a:graphic>
                                </wp:inline>
                              </w:drawing>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4465" cy="175260"/>
                      <wp:effectExtent l="0" t="0" r="0" b="0"/>
                      <wp:wrapNone/>
                      <wp:docPr id="23" name="Frame1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lineRule="atLeast" w:line="142" w:before="0" w:after="0"/>
                                    <w:ind w:left="108" w:right="108"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42" w:before="0" w:after="0"/>
                              <w:ind w:left="108" w:right="108" w:hanging="0"/>
                              <w:jc w:val="right"/>
                              <w:rPr/>
                            </w:pPr>
                            <w:r>
                              <w:rPr/>
                              <w:t>​</w:t>
                            </w:r>
                          </w:p>
                        </w:txbxContent>
                      </v:textbox>
                      <w10:wrap type="none"/>
                    </v:rect>
                  </w:pict>
                </mc:Fallback>
              </mc:AlternateContent>
            </w:r>
          </w:p>
        </w:tc>
      </w:tr>
      <w:tr>
        <w:trPr/>
        <w:tc>
          <w:tcPr>
            <w:tcW w:w="256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r>
      <w:tr>
        <w:trPr/>
        <w:tc>
          <w:tcPr>
            <w:tcW w:w="2569" w:type="dxa"/>
            <w:tcBorders/>
            <w:vAlign w:val="center"/>
          </w:tcPr>
          <w:p>
            <w:pPr>
              <w:pStyle w:val="TableContents"/>
              <w:bidi w:val="0"/>
              <w:spacing w:before="0" w:after="0"/>
              <w:ind w:left="108" w:right="108" w:hanging="0"/>
              <w:jc w:val="left"/>
              <w:rPr>
                <w:rFonts w:ascii="Arial;Helvetica;sans-serif" w:hAnsi="Arial;Helvetica;sans-serif"/>
                <w:sz w:val="20"/>
              </w:rPr>
            </w:pPr>
            <w:r>
              <w:rPr>
                <w:rFonts w:ascii="Arial;Helvetica;sans-serif" w:hAnsi="Arial;Helvetica;sans-serif"/>
                <w:sz w:val="20"/>
              </w:rPr>
              <w:t>Y-mAbs Therapeutics, Inc.</w:t>
            </w:r>
          </w:p>
          <w:p>
            <w:pPr>
              <w:pStyle w:val="TableContents"/>
              <w:bidi w:val="0"/>
              <w:spacing w:before="0" w:after="0"/>
              <w:ind w:left="108" w:right="108" w:hanging="0"/>
              <w:jc w:val="left"/>
              <w:rPr>
                <w:rFonts w:ascii="Arial;Helvetica;sans-serif" w:hAnsi="Arial;Helvetica;sans-serif"/>
                <w:sz w:val="20"/>
              </w:rPr>
            </w:pPr>
            <w:r>
              <w:rPr>
                <w:rFonts w:ascii="Arial;Helvetica;sans-serif" w:hAnsi="Arial;Helvetica;sans-serif"/>
                <w:sz w:val="20"/>
              </w:rPr>
              <w:t>February 29, 2024</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Page 2</w:t>
            </w:r>
          </w:p>
        </w:tc>
        <w:tc>
          <w:tcPr>
            <w:tcW w:w="259" w:type="dxa"/>
            <w:tcBorders/>
            <w:vAlign w:val="center"/>
          </w:tcPr>
          <w:p>
            <w:pPr>
              <w:pStyle w:val="TableContents"/>
              <w:bidi w:val="0"/>
              <w:spacing w:lineRule="atLeast" w:line="240" w:before="0" w:after="0"/>
              <w:ind w:left="108" w:right="108"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Sincerely,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w:t>
      </w:r>
      <w:r>
        <w:rPr>
          <w:rFonts w:ascii="Arial;Helvetica;sans-serif" w:hAnsi="Arial;Helvetica;sans-serif"/>
          <w:smallCaps/>
          <w:sz w:val="20"/>
        </w:rPr>
        <w:t>ooley LLP</w:t>
      </w:r>
    </w:p>
    <w:p>
      <w:pPr>
        <w:pStyle w:val="TextBody"/>
        <w:bidi w:val="0"/>
        <w:spacing w:before="0" w:after="283"/>
        <w:jc w:val="left"/>
        <w:rPr/>
      </w:pPr>
      <w:r>
        <w:rPr/>
        <w:drawing>
          <wp:inline distT="0" distB="0" distL="0" distR="0">
            <wp:extent cx="1781175" cy="14605"/>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24"/>
                    <a:stretch>
                      <a:fillRect/>
                    </a:stretch>
                  </pic:blipFill>
                  <pic:spPr bwMode="auto">
                    <a:xfrm>
                      <a:off x="0" y="0"/>
                      <a:ext cx="1781175" cy="14605"/>
                    </a:xfrm>
                    <a:prstGeom prst="rect">
                      <a:avLst/>
                    </a:prstGeom>
                  </pic:spPr>
                </pic:pic>
              </a:graphicData>
            </a:graphic>
          </wp:inline>
        </w:drawing>
      </w:r>
    </w:p>
    <w:p>
      <w:pPr>
        <w:pStyle w:val="TextBody"/>
        <w:bidi w:val="0"/>
        <w:spacing w:before="360" w:after="0"/>
        <w:ind w:left="0" w:right="0" w:hanging="0"/>
        <w:jc w:val="left"/>
        <w:rPr>
          <w:rFonts w:ascii="Arial;Helvetica;sans-serif" w:hAnsi="Arial;Helvetica;sans-serif"/>
          <w:sz w:val="20"/>
        </w:rPr>
      </w:pPr>
      <w:r>
        <w:rPr>
          <w:rFonts w:ascii="Arial;Helvetica;sans-serif" w:hAnsi="Arial;Helvetica;sans-serif"/>
          <w:sz w:val="20"/>
        </w:rPr>
        <w:t>By: /s/ Sarah K. Sellers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Sarah K. Sellers</w:t>
      </w:r>
      <w:bookmarkStart w:id="13" w:name="_Hlk129783386"/>
      <w:bookmarkEnd w:id="13"/>
    </w:p>
    <w:p>
      <w:pPr>
        <w:pStyle w:val="TextBody"/>
        <w:bidi w:val="0"/>
        <w:spacing w:before="0" w:after="0"/>
        <w:ind w:left="0" w:right="0" w:hanging="0"/>
        <w:jc w:val="center"/>
        <w:rPr/>
      </w:pPr>
      <w:r>
        <w:rPr/>
        <w:drawing>
          <wp:inline distT="0" distB="0" distL="0" distR="0">
            <wp:extent cx="3248025" cy="390525"/>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25"/>
                    <a:stretch>
                      <a:fillRect/>
                    </a:stretch>
                  </pic:blipFill>
                  <pic:spPr bwMode="auto">
                    <a:xfrm>
                      <a:off x="0" y="0"/>
                      <a:ext cx="3248025" cy="3905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360"/>
        <w:ind w:left="0" w:right="0" w:hanging="0"/>
        <w:jc w:val="right"/>
        <w:rPr>
          <w:rFonts w:ascii="Times New Roman;Times;serif" w:hAnsi="Times New Roman;Times;serif"/>
          <w:b/>
          <w:sz w:val="20"/>
        </w:rPr>
      </w:pPr>
      <w:bookmarkStart w:id="14" w:name="tmb-20240229xex23d1.htm"/>
      <w:bookmarkStart w:id="15" w:name="kstmb20240229xex23d1"/>
      <w:bookmarkEnd w:id="14"/>
      <w:bookmarkEnd w:id="15"/>
      <w:r>
        <w:rPr>
          <w:rFonts w:ascii="Times New Roman;Times;serif" w:hAnsi="Times New Roman;Times;serif"/>
          <w:b/>
          <w:sz w:val="20"/>
        </w:rPr>
        <w:t>EXHIBIT 23.1</w:t>
      </w:r>
      <w:r>
        <w:br w:type="page"/>
      </w:r>
    </w:p>
    <w:p>
      <w:pPr>
        <w:pStyle w:val="TextBody"/>
        <w:bidi w:val="0"/>
        <w:spacing w:before="0" w:after="48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hereby consent to the incorporation by reference in this Registration Statement on Form S-8 of Y-mAbs Therapeutics, Inc. of our report dated February 29, 2024 relating to the financial statements, which appears in Y-mAbs Therapeutics, Inc.’s Annual Report on Form 10-K for the year ended December 31,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PricewaterhouseCoopers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Florham Park, NJ</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February 29, 2024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6" w:name="tmb-20240229xexfilingfees.htm"/>
      <w:bookmarkStart w:id="17" w:name="kstmb20240229xexfilingfees"/>
      <w:bookmarkEnd w:id="16"/>
      <w:bookmarkEnd w:id="17"/>
      <w:r>
        <w:rPr>
          <w:rFonts w:ascii="Times New Roman;Times;serif" w:hAnsi="Times New Roman;Times;serif"/>
          <w:b/>
          <w:sz w:val="20"/>
        </w:rPr>
        <w:t>Exhibit 107</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Calculation of Filing Fee Table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Form S-8</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(Form Type)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Y-mAbs Therapeutics,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w:t>
      </w:r>
    </w:p>
    <w:tbl>
      <w:tblPr>
        <w:tblW w:w="10205" w:type="dxa"/>
        <w:jc w:val="center"/>
        <w:tblInd w:w="0" w:type="dxa"/>
        <w:tblLayout w:type="fixed"/>
        <w:tblCellMar>
          <w:top w:w="28" w:type="dxa"/>
          <w:left w:w="103" w:type="dxa"/>
          <w:bottom w:w="28" w:type="dxa"/>
          <w:right w:w="103" w:type="dxa"/>
        </w:tblCellMar>
      </w:tblPr>
      <w:tblGrid>
        <w:gridCol w:w="571"/>
        <w:gridCol w:w="805"/>
        <w:gridCol w:w="1491"/>
        <w:gridCol w:w="1104"/>
        <w:gridCol w:w="1091"/>
        <w:gridCol w:w="1313"/>
        <w:gridCol w:w="1489"/>
        <w:gridCol w:w="1051"/>
        <w:gridCol w:w="1290"/>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9634" w:type="dxa"/>
            <w:gridSpan w:val="8"/>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Table 1 – Newly Registered Securities</w:t>
            </w:r>
          </w:p>
        </w:tc>
      </w:tr>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8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Security Type</w:t>
            </w:r>
          </w:p>
        </w:tc>
        <w:tc>
          <w:tcPr>
            <w:tcW w:w="1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Security Class Title</w:t>
            </w:r>
          </w:p>
        </w:tc>
        <w:tc>
          <w:tcPr>
            <w:tcW w:w="11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Fee Calculation Rule</w:t>
            </w:r>
          </w:p>
        </w:tc>
        <w:tc>
          <w:tcPr>
            <w:tcW w:w="10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18"/>
              </w:rPr>
            </w:pPr>
            <w:r>
              <w:rPr>
                <w:rFonts w:ascii="Times New Roman;Times;serif" w:hAnsi="Times New Roman;Times;serif"/>
                <w:b/>
                <w:sz w:val="18"/>
              </w:rPr>
              <w:t>Amount Registered</w:t>
            </w:r>
            <w:r>
              <w:rPr>
                <w:rFonts w:ascii="Times New Roman;Times;serif" w:hAnsi="Times New Roman;Times;serif"/>
                <w:b/>
                <w:sz w:val="14"/>
              </w:rPr>
              <w:t>(1)</w:t>
            </w:r>
          </w:p>
        </w:tc>
        <w:tc>
          <w:tcPr>
            <w:tcW w:w="13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Proposed Maximum Offering Price Per Unit</w:t>
            </w:r>
          </w:p>
        </w:tc>
        <w:tc>
          <w:tcPr>
            <w:tcW w:w="148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Maximum Aggregate Offering Price</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Fee Rate</w:t>
            </w:r>
          </w:p>
        </w:tc>
        <w:tc>
          <w:tcPr>
            <w:tcW w:w="12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Amount of Registration Fee</w:t>
            </w:r>
          </w:p>
        </w:tc>
      </w:tr>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Fees to be Paid</w:t>
            </w:r>
          </w:p>
        </w:tc>
        <w:tc>
          <w:tcPr>
            <w:tcW w:w="8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Equity</w:t>
            </w:r>
          </w:p>
        </w:tc>
        <w:tc>
          <w:tcPr>
            <w:tcW w:w="1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Common Stock, $0.0001 par value per share, 2018 Equity Incentive Plan</w:t>
            </w:r>
          </w:p>
        </w:tc>
        <w:tc>
          <w:tcPr>
            <w:tcW w:w="11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18"/>
              </w:rPr>
            </w:pPr>
            <w:r>
              <w:rPr>
                <w:rFonts w:ascii="Times New Roman;Times;serif" w:hAnsi="Times New Roman;Times;serif"/>
                <w:sz w:val="18"/>
              </w:rPr>
              <w:t>Other</w:t>
            </w:r>
            <w:r>
              <w:rPr>
                <w:rFonts w:ascii="Times New Roman;Times;serif" w:hAnsi="Times New Roman;Times;serif"/>
                <w:sz w:val="14"/>
              </w:rPr>
              <w:t>(2)</w:t>
            </w:r>
          </w:p>
        </w:tc>
        <w:tc>
          <w:tcPr>
            <w:tcW w:w="10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18"/>
              </w:rPr>
            </w:pPr>
            <w:r>
              <w:rPr>
                <w:rFonts w:ascii="Times New Roman;Times;serif" w:hAnsi="Times New Roman;Times;serif"/>
                <w:sz w:val="18"/>
              </w:rPr>
              <w:t>1,746,884</w:t>
            </w:r>
            <w:r>
              <w:rPr>
                <w:rFonts w:ascii="Times New Roman;Times;serif" w:hAnsi="Times New Roman;Times;serif"/>
                <w:sz w:val="14"/>
              </w:rPr>
              <w:t>(3)</w:t>
            </w:r>
          </w:p>
        </w:tc>
        <w:tc>
          <w:tcPr>
            <w:tcW w:w="13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$16.73</w:t>
            </w:r>
          </w:p>
        </w:tc>
        <w:tc>
          <w:tcPr>
            <w:tcW w:w="148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 xml:space="preserve">$29,225,369.32 </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$0.00014760</w:t>
            </w:r>
          </w:p>
        </w:tc>
        <w:tc>
          <w:tcPr>
            <w:tcW w:w="12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 xml:space="preserve">$4,313.66 </w:t>
            </w:r>
          </w:p>
        </w:tc>
      </w:tr>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tc>
        <w:tc>
          <w:tcPr>
            <w:tcW w:w="3400"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Offering Amounts</w:t>
            </w:r>
          </w:p>
        </w:tc>
        <w:tc>
          <w:tcPr>
            <w:tcW w:w="10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1,746,884</w:t>
            </w:r>
          </w:p>
        </w:tc>
        <w:tc>
          <w:tcPr>
            <w:tcW w:w="13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148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 xml:space="preserve">$29,225,369.32 </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12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$4,313.66</w:t>
            </w:r>
          </w:p>
        </w:tc>
      </w:tr>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tc>
        <w:tc>
          <w:tcPr>
            <w:tcW w:w="3400"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Fees Previously Paid</w:t>
            </w:r>
          </w:p>
        </w:tc>
        <w:tc>
          <w:tcPr>
            <w:tcW w:w="10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tc>
        <w:tc>
          <w:tcPr>
            <w:tcW w:w="13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148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12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r>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tc>
        <w:tc>
          <w:tcPr>
            <w:tcW w:w="3400"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Fee Offsets</w:t>
            </w:r>
          </w:p>
        </w:tc>
        <w:tc>
          <w:tcPr>
            <w:tcW w:w="10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tc>
        <w:tc>
          <w:tcPr>
            <w:tcW w:w="13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148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12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r>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tc>
        <w:tc>
          <w:tcPr>
            <w:tcW w:w="3400"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Fee Due</w:t>
            </w:r>
          </w:p>
        </w:tc>
        <w:tc>
          <w:tcPr>
            <w:tcW w:w="10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tc>
        <w:tc>
          <w:tcPr>
            <w:tcW w:w="13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148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pPr>
            <w:r>
              <w:rPr/>
              <w:t>–</w:t>
            </w:r>
          </w:p>
        </w:tc>
        <w:tc>
          <w:tcPr>
            <w:tcW w:w="12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$4,313.66</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lineRule="auto" w:line="285" w:before="0" w:after="0"/>
              <w:jc w:val="both"/>
              <w:rPr>
                <w:rFonts w:ascii="Times New Roman;Times;serif" w:hAnsi="Times New Roman;Times;serif"/>
                <w:sz w:val="19"/>
              </w:rPr>
            </w:pPr>
            <w:r>
              <w:rPr>
                <w:rFonts w:ascii="Times New Roman;Times;serif" w:hAnsi="Times New Roman;Times;serif"/>
                <w:sz w:val="19"/>
              </w:rPr>
              <w:t>(1)</w:t>
            </w:r>
          </w:p>
        </w:tc>
        <w:tc>
          <w:tcPr>
            <w:tcW w:w="10007" w:type="dxa"/>
            <w:tcBorders/>
            <w:vAlign w:val="center"/>
          </w:tcPr>
          <w:p>
            <w:pPr>
              <w:pStyle w:val="TableContents"/>
              <w:bidi w:val="0"/>
              <w:spacing w:lineRule="auto" w:line="285" w:before="0" w:after="0"/>
              <w:jc w:val="both"/>
              <w:rPr>
                <w:rFonts w:ascii="Arial;Helvetica;sans-serif" w:hAnsi="Arial;Helvetica;sans-serif"/>
                <w:sz w:val="20"/>
              </w:rPr>
            </w:pPr>
            <w:r>
              <w:rPr>
                <w:rFonts w:ascii="Times New Roman;Times;serif" w:hAnsi="Times New Roman;Times;serif"/>
                <w:sz w:val="19"/>
              </w:rPr>
              <w:t>Pursuant to Rule 416(a) promulgated under the Securities Act of 1933, as amended, this Registration Statement shall also cover any additional shares of Common Stock, par value $0.0001 (“</w:t>
            </w:r>
            <w:r>
              <w:rPr>
                <w:rFonts w:ascii="Times New Roman;Times;serif" w:hAnsi="Times New Roman;Times;serif"/>
                <w:b/>
                <w:i/>
                <w:sz w:val="19"/>
              </w:rPr>
              <w:t>Common Stock</w:t>
            </w:r>
            <w:r>
              <w:rPr>
                <w:rFonts w:ascii="Arial;Helvetica;sans-serif" w:hAnsi="Arial;Helvetica;sans-serif"/>
                <w:sz w:val="20"/>
              </w:rPr>
              <w:t>”</w:t>
            </w:r>
            <w:r>
              <w:rPr>
                <w:rFonts w:ascii="Times New Roman;Times;serif" w:hAnsi="Times New Roman;Times;serif"/>
                <w:sz w:val="19"/>
              </w:rPr>
              <w:t>) of Y-mAbs Therapeutics, Inc. (the “</w:t>
            </w:r>
            <w:r>
              <w:rPr>
                <w:rFonts w:ascii="Times New Roman;Times;serif" w:hAnsi="Times New Roman;Times;serif"/>
                <w:b/>
                <w:i/>
                <w:sz w:val="19"/>
              </w:rPr>
              <w:t>Registrant</w:t>
            </w:r>
            <w:r>
              <w:rPr>
                <w:rFonts w:ascii="Arial;Helvetica;sans-serif" w:hAnsi="Arial;Helvetica;sans-serif"/>
                <w:sz w:val="20"/>
              </w:rPr>
              <w:t>”</w:t>
            </w:r>
            <w:r>
              <w:rPr>
                <w:rFonts w:ascii="Times New Roman;Times;serif" w:hAnsi="Times New Roman;Times;serif"/>
                <w:sz w:val="19"/>
              </w:rPr>
              <w:t>) that become issuable under the plans set forth herein by reason of any stock dividend, stock split, recapitalization, or other similar transaction effected that results in an increase to the number of outstanding shares of Common Stock, as applicable.</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lineRule="auto" w:line="285" w:before="0" w:after="0"/>
              <w:jc w:val="both"/>
              <w:rPr>
                <w:rFonts w:ascii="Times New Roman;Times;serif" w:hAnsi="Times New Roman;Times;serif"/>
                <w:sz w:val="19"/>
              </w:rPr>
            </w:pPr>
            <w:r>
              <w:rPr>
                <w:rFonts w:ascii="Times New Roman;Times;serif" w:hAnsi="Times New Roman;Times;serif"/>
                <w:sz w:val="19"/>
              </w:rPr>
              <w:t>(2)</w:t>
            </w:r>
          </w:p>
        </w:tc>
        <w:tc>
          <w:tcPr>
            <w:tcW w:w="9992" w:type="dxa"/>
            <w:tcBorders/>
            <w:vAlign w:val="center"/>
          </w:tcPr>
          <w:p>
            <w:pPr>
              <w:pStyle w:val="TableContents"/>
              <w:bidi w:val="0"/>
              <w:spacing w:lineRule="auto" w:line="285" w:before="0" w:after="0"/>
              <w:jc w:val="both"/>
              <w:rPr>
                <w:rFonts w:ascii="Times New Roman;Times;serif" w:hAnsi="Times New Roman;Times;serif"/>
                <w:sz w:val="19"/>
              </w:rPr>
            </w:pPr>
            <w:r>
              <w:rPr>
                <w:rFonts w:ascii="Times New Roman;Times;serif" w:hAnsi="Times New Roman;Times;serif"/>
                <w:sz w:val="19"/>
              </w:rPr>
              <w:t>Estimated in accordance with Rules 457(c) and 457(h) solely for purposes of calculating the registration fee based on the average of the high and low prices of the Common Stock as reported on the Nasdaq Global Select Market on February 22, 2024.</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lineRule="auto" w:line="285" w:before="0" w:after="0"/>
              <w:jc w:val="both"/>
              <w:rPr>
                <w:rFonts w:ascii="Times New Roman;Times;serif" w:hAnsi="Times New Roman;Times;serif"/>
                <w:sz w:val="19"/>
              </w:rPr>
            </w:pPr>
            <w:r>
              <w:rPr>
                <w:rFonts w:ascii="Times New Roman;Times;serif" w:hAnsi="Times New Roman;Times;serif"/>
                <w:sz w:val="19"/>
              </w:rPr>
              <w:t>(3)</w:t>
            </w:r>
          </w:p>
        </w:tc>
        <w:tc>
          <w:tcPr>
            <w:tcW w:w="10012" w:type="dxa"/>
            <w:tcBorders/>
            <w:vAlign w:val="center"/>
          </w:tcPr>
          <w:p>
            <w:pPr>
              <w:pStyle w:val="TableContents"/>
              <w:bidi w:val="0"/>
              <w:spacing w:lineRule="auto" w:line="285" w:before="0" w:after="0"/>
              <w:jc w:val="both"/>
              <w:rPr>
                <w:rFonts w:ascii="Arial;Helvetica;sans-serif" w:hAnsi="Arial;Helvetica;sans-serif"/>
                <w:sz w:val="20"/>
              </w:rPr>
            </w:pPr>
            <w:r>
              <w:rPr>
                <w:rFonts w:ascii="Times New Roman;Times;serif" w:hAnsi="Times New Roman;Times;serif"/>
                <w:sz w:val="19"/>
              </w:rPr>
              <w:t>Represents 1,746,884</w:t>
            </w:r>
            <w:r>
              <w:rPr>
                <w:rFonts w:ascii="Arial;Helvetica;sans-serif" w:hAnsi="Arial;Helvetica;sans-serif"/>
                <w:sz w:val="20"/>
              </w:rPr>
              <w:t xml:space="preserve"> </w:t>
            </w:r>
            <w:r>
              <w:rPr>
                <w:rFonts w:ascii="Times New Roman;Times;serif" w:hAnsi="Times New Roman;Times;serif"/>
                <w:sz w:val="19"/>
              </w:rPr>
              <w:t>additional shares of Common Stock that were automatically added to the shares authorized for issuance under the Registrant’s 2018 Equity Incentive Plan (the “</w:t>
            </w:r>
            <w:r>
              <w:rPr>
                <w:rFonts w:ascii="Times New Roman;Times;serif" w:hAnsi="Times New Roman;Times;serif"/>
                <w:b/>
                <w:i/>
                <w:sz w:val="19"/>
              </w:rPr>
              <w:t>2018 EIP</w:t>
            </w:r>
            <w:r>
              <w:rPr>
                <w:rFonts w:ascii="Arial;Helvetica;sans-serif" w:hAnsi="Arial;Helvetica;sans-serif"/>
                <w:sz w:val="20"/>
              </w:rPr>
              <w:t>”</w:t>
            </w:r>
            <w:r>
              <w:rPr>
                <w:rFonts w:ascii="Times New Roman;Times;serif" w:hAnsi="Times New Roman;Times;serif"/>
                <w:sz w:val="19"/>
              </w:rPr>
              <w:t>) on January 1, 2024, pursuant to an annual “evergreen” increase provision contained in the 2018 EIP. Pursuant to such provision, the number of shares reserved for issuance under the 2018 EIP will automatically increase on the first day of each calendar year, starting on January 1, 2019 and continuing through January 1, 2028, by the lesser of (a) four percent (4%) of the total number of shares of the Registrant’s common stock of all classes outstanding on December 31st of the immediately preceding calendar year; and (b) a smaller number of shares determined by the Registrant’s board of directors.</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2964/000110465919016819/a19-7005_2s8.htm" TargetMode="External"/><Relationship Id="rId3" Type="http://schemas.openxmlformats.org/officeDocument/2006/relationships/hyperlink" Target="https://www.sec.gov/Archives/edgar/data/1722964/000155837023005146/tmb-20230330xs8.htm" TargetMode="External"/><Relationship Id="rId4" Type="http://schemas.openxmlformats.org/officeDocument/2006/relationships/hyperlink" Target="https://www.sec.gov/Archives/edgar/data/1722964/000155837024002188/ymab-20231231x10k.htm" TargetMode="External"/><Relationship Id="rId5" Type="http://schemas.openxmlformats.org/officeDocument/2006/relationships/hyperlink" Target="https://www.sec.gov/Archives/edgar/data/1722964/000155837024002188/ymab-20231231xex4d2.htm" TargetMode="External"/><Relationship Id="rId6" Type="http://schemas.openxmlformats.org/officeDocument/2006/relationships/hyperlink" Target="https://www.sec.gov/Archives/edgar/data/1722964/000110465919016819/a19-7005_2s8.htm" TargetMode="External"/><Relationship Id="rId7" Type="http://schemas.openxmlformats.org/officeDocument/2006/relationships/hyperlink" Target="https://www.sec.gov/Archives/edgar/data/1722964/000155837023005146/tmb-20230330xs8.htm" TargetMode="External"/><Relationship Id="rId8" Type="http://schemas.openxmlformats.org/officeDocument/2006/relationships/hyperlink" Target="https://www.sec.gov/Archives/edgar/data/1722964/000110465918058483/a18-5676_14ex3d1.htm" TargetMode="External"/><Relationship Id="rId9" Type="http://schemas.openxmlformats.org/officeDocument/2006/relationships/hyperlink" Target="https://www.sec.gov/Archives/edgar/data/1722964/000110465918058483/a18-5676_14ex3d2.htm" TargetMode="External"/><Relationship Id="rId10" Type="http://schemas.openxmlformats.org/officeDocument/2006/relationships/hyperlink" Target="https://www.sec.gov/Archives/edgar/data/1722964/000104746918006039/a2236615zex-4_1.htm" TargetMode="External"/><Relationship Id="rId11" Type="http://schemas.openxmlformats.org/officeDocument/2006/relationships/hyperlink" Target="https://www.sec.gov/Archives/edgar/data/1722964/000104746918005786/a2236551zex-10_9.htm" TargetMode="External"/><Relationship Id="rId12" Type="http://schemas.openxmlformats.org/officeDocument/2006/relationships/hyperlink" Target="https://www.sec.gov/Archives/edgar/data/1722964/000155837020012905/ymab-20200930xex10d8.htm" TargetMode="External"/><Relationship Id="rId13" Type="http://schemas.openxmlformats.org/officeDocument/2006/relationships/hyperlink" Target="https://www.sec.gov/Archives/edgar/data/1722964/000155837020012905/ymab-20200930xex10d9.htm" TargetMode="External"/><Relationship Id="rId14" Type="http://schemas.openxmlformats.org/officeDocument/2006/relationships/hyperlink" Target="https://www.sec.gov/Archives/edgar/data/1722964/000155837022016659/ymab-20220930xex10d1.htm" TargetMode="External"/><Relationship Id="rId15" Type="http://schemas.openxmlformats.org/officeDocument/2006/relationships/hyperlink" Target="https://www.sec.gov/Archives/edgar/data/1722964/000155837022016659/ymab-20220930xex10d2.htm" TargetMode="External"/><Relationship Id="rId16" Type="http://schemas.openxmlformats.org/officeDocument/2006/relationships/hyperlink" Target="https://www.sec.gov/Archives/edgar/data/1722964/000104746918005786/a2236551zex-10_16.htm" TargetMode="External"/><Relationship Id="rId17" Type="http://schemas.openxmlformats.org/officeDocument/2006/relationships/hyperlink" Target="https://www.sec.gov/Archives/edgar/data/1722964/000104746918005786/a2236551zex-10_17.htm" TargetMode="External"/><Relationship Id="rId18" Type="http://schemas.openxmlformats.org/officeDocument/2006/relationships/hyperlink" Target="https://www.sec.gov/Archives/edgar/data/1722964/000155837024002188/ymab-20231231xex10d46.htm" TargetMode="External"/><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2.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3.jpeg"/><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2426</Words>
  <Characters>13053</Characters>
  <CharactersWithSpaces>15379</CharactersWithSpaces>
  <Paragraphs>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