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383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38395"/>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gridSpan w:val="5"/>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TYAGI ASHU</w:t>
              </w:r>
            </w:hyperlink>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Y-mAbs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YMAB</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5"/>
            <w:vMerge w:val="continue"/>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gridSpan w:val="5"/>
            <w:vMerge w:val="continue"/>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5"/>
            <w:vMerge w:val="continue"/>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gridSpan w:val="7"/>
            <w:vMerge w:val="restart"/>
          </w:tcPr>
          <w:p>
            <w:pPr>
              <w:ind w:left="20"/>
              <w:spacing w:after="0"/>
              <w:rPr>
                <w:sz w:val="20"/>
                <w:szCs w:val="20"/>
                <w:color w:val="auto"/>
              </w:rPr>
            </w:pPr>
            <w:r>
              <w:rPr>
                <w:rFonts w:ascii="Times New Roman" w:cs="Times New Roman" w:eastAsia="Times New Roman" w:hAnsi="Times New Roman"/>
                <w:sz w:val="17"/>
                <w:szCs w:val="17"/>
                <w:color w:val="0000FF"/>
              </w:rPr>
              <w:t>C/O Y-MABS THERAPEUTICS, INC.</w:t>
            </w:r>
          </w:p>
        </w:tc>
        <w:tc>
          <w:tcPr>
            <w:tcW w:w="130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07/15/2022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560" w:type="dxa"/>
            <w:vAlign w:val="bottom"/>
            <w:gridSpan w:val="7"/>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230 PARK AVENUE SUITE 3350</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continue"/>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9"/>
            <w:vMerge w:val="continue"/>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0" w:type="dxa"/>
            <w:vAlign w:val="bottom"/>
            <w:gridSpan w:val="10"/>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10169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1540" w:type="dxa"/>
            <w:vAlign w:val="bottom"/>
            <w:tcBorders>
              <w:bottom w:val="single" w:sz="8" w:color="2C2C2C"/>
            </w:tcBorders>
            <w:gridSpan w:val="4"/>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9"/>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720" w:type="dxa"/>
            <w:vAlign w:val="bottom"/>
            <w:tcBorders>
              <w:bottom w:val="single" w:sz="8" w:color="2C2C2C"/>
            </w:tcBorders>
            <w:gridSpan w:val="2"/>
          </w:tcPr>
          <w:p>
            <w:pPr>
              <w:spacing w:after="0"/>
              <w:rPr>
                <w:sz w:val="7"/>
                <w:szCs w:val="7"/>
                <w:color w:val="auto"/>
              </w:rPr>
            </w:pPr>
          </w:p>
        </w:tc>
        <w:tc>
          <w:tcPr>
            <w:tcW w:w="184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7260" w:type="dxa"/>
            <w:vAlign w:val="bottom"/>
            <w:tcBorders>
              <w:top w:val="single" w:sz="8" w:color="2C2C2C"/>
            </w:tcBorders>
            <w:gridSpan w:val="19"/>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3"/>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Employee</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16.64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07/15/2022</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16,000</w:t>
            </w:r>
          </w:p>
        </w:tc>
        <w:tc>
          <w:tcPr>
            <w:tcW w:w="340" w:type="dxa"/>
            <w:vAlign w:val="bottom"/>
          </w:tcPr>
          <w:p>
            <w:pPr>
              <w:spacing w:after="0"/>
              <w:rPr>
                <w:sz w:val="12"/>
                <w:szCs w:val="12"/>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color w:val="0000FF"/>
              </w:rPr>
              <w:t>07/14/2032</w:t>
            </w: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16,000</w:t>
            </w:r>
          </w:p>
        </w:tc>
        <w:tc>
          <w:tcPr>
            <w:tcW w:w="60" w:type="dxa"/>
            <w:vAlign w:val="bottom"/>
          </w:tcPr>
          <w:p>
            <w:pPr>
              <w:spacing w:after="0"/>
              <w:rPr>
                <w:sz w:val="12"/>
                <w:szCs w:val="12"/>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w w:val="94"/>
              </w:rPr>
              <w:t>16,000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3"/>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line="217"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(1)</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options granted to the Reporting Person as a non-employee director pursuant to the 2018 Equity Incentive Plan of Y-mAbs Therapeutics, Inc.</w:t>
      </w:r>
    </w:p>
    <w:p>
      <w:pPr>
        <w:spacing w:after="0" w:line="43" w:lineRule="exact"/>
        <w:rPr>
          <w:rFonts w:ascii="Times New Roman" w:cs="Times New Roman" w:eastAsia="Times New Roman" w:hAnsi="Times New Roman"/>
          <w:sz w:val="13"/>
          <w:szCs w:val="13"/>
          <w:color w:val="008000"/>
        </w:rPr>
      </w:pPr>
    </w:p>
    <w:p>
      <w:pPr>
        <w:ind w:left="40" w:right="4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vest in equal monthly installments during the first year following the date of grant, subject to the Reporting Person's continued service to Y-mAbs Therapeutics, Inc., and are exercisable immediately upon vesting.</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Index: Exhibit 24 - Power of Attorney for Ashutosh Tyagi dated July 15, 2022</w:t>
      </w:r>
    </w:p>
    <w:p>
      <w:pPr>
        <w:spacing w:after="0" w:line="7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Sune Reinholth Nyland,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153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53160"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Ashutosh</w:t>
      </w:r>
      <w:r>
        <w:rPr>
          <w:sz w:val="20"/>
          <w:szCs w:val="20"/>
          <w:color w:val="auto"/>
        </w:rPr>
        <w:tab/>
      </w:r>
      <w:r>
        <w:rPr>
          <w:rFonts w:ascii="Times New Roman" w:cs="Times New Roman" w:eastAsia="Times New Roman" w:hAnsi="Times New Roman"/>
          <w:sz w:val="16"/>
          <w:szCs w:val="16"/>
          <w:color w:val="0000FF"/>
        </w:rPr>
        <w:t>07/19/2022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Tyagi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406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40665"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7"/>
          <w:szCs w:val="17"/>
          <w:b w:val="1"/>
          <w:bCs w:val="1"/>
          <w:color w:val="auto"/>
        </w:rPr>
        <w:t>Exhibit 24</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Executing Form ID and Forms 3, 4 and 5 and Schedules 13D and 13G)</w:t>
      </w:r>
    </w:p>
    <w:p>
      <w:pPr>
        <w:spacing w:after="0" w:line="21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Know all by these presents, that the undersigned hereby constitutes and appoints each of Dayne Brown, Zo Khalid, and Albert Gelin of Cooley LLP, and Sune Reinholth Nyland of Y-mAbs Therapeutics,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signing individually, the undersigned’s true and lawful attorneys-in fact and agents to:</w:t>
      </w:r>
    </w:p>
    <w:p>
      <w:pPr>
        <w:spacing w:after="0" w:line="166" w:lineRule="exact"/>
        <w:rPr>
          <w:sz w:val="20"/>
          <w:szCs w:val="20"/>
          <w:color w:val="auto"/>
        </w:rPr>
      </w:pPr>
    </w:p>
    <w:p>
      <w:pPr>
        <w:jc w:val="both"/>
        <w:ind w:firstLine="622"/>
        <w:spacing w:after="0" w:line="264" w:lineRule="auto"/>
        <w:tabs>
          <w:tab w:leader="none" w:pos="14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Prepare, execute in the undersigned’s name and on the undersigned’s behalf, and submit to the the Securities and Exchange Commission (the “</w:t>
      </w:r>
      <w:r>
        <w:rPr>
          <w:rFonts w:ascii="Times New Roman" w:cs="Times New Roman" w:eastAsia="Times New Roman" w:hAnsi="Times New Roman"/>
          <w:sz w:val="17"/>
          <w:szCs w:val="17"/>
          <w:b w:val="1"/>
          <w:bCs w:val="1"/>
          <w:i w:val="1"/>
          <w:iCs w:val="1"/>
          <w:color w:val="auto"/>
        </w:rPr>
        <w:t>SEC</w:t>
      </w:r>
      <w:r>
        <w:rPr>
          <w:rFonts w:ascii="Times New Roman" w:cs="Times New Roman" w:eastAsia="Times New Roman" w:hAnsi="Times New Roman"/>
          <w:sz w:val="17"/>
          <w:szCs w:val="17"/>
          <w:color w:val="auto"/>
        </w:rPr>
        <w:t>”) Form ID and Forms 3, 4 and 5 (including amendments thereto and joint filing agreements in connection therewith) in accordance with Section 13 or Section 16 of the Securities Exchange Act of 1934, as amended (the “</w:t>
      </w:r>
      <w:r>
        <w:rPr>
          <w:rFonts w:ascii="Times New Roman" w:cs="Times New Roman" w:eastAsia="Times New Roman" w:hAnsi="Times New Roman"/>
          <w:sz w:val="17"/>
          <w:szCs w:val="17"/>
          <w:b w:val="1"/>
          <w:bCs w:val="1"/>
          <w:i w:val="1"/>
          <w:iCs w:val="1"/>
          <w:color w:val="auto"/>
        </w:rPr>
        <w:t>Exchange Act</w:t>
      </w:r>
      <w:r>
        <w:rPr>
          <w:rFonts w:ascii="Times New Roman" w:cs="Times New Roman" w:eastAsia="Times New Roman" w:hAnsi="Times New Roman"/>
          <w:sz w:val="17"/>
          <w:szCs w:val="17"/>
          <w:color w:val="auto"/>
        </w:rPr>
        <w:t>”) and the rules thereunder in the undersigned’s capacity as a beneficial owner of a registered class of securities of the Company;</w:t>
      </w:r>
    </w:p>
    <w:p>
      <w:pPr>
        <w:spacing w:after="0" w:line="171" w:lineRule="exact"/>
        <w:rPr>
          <w:rFonts w:ascii="Times New Roman" w:cs="Times New Roman" w:eastAsia="Times New Roman" w:hAnsi="Times New Roman"/>
          <w:sz w:val="17"/>
          <w:szCs w:val="17"/>
          <w:color w:val="auto"/>
        </w:rPr>
      </w:pPr>
    </w:p>
    <w:p>
      <w:pPr>
        <w:jc w:val="both"/>
        <w:ind w:right="20" w:firstLine="622"/>
        <w:spacing w:after="0" w:line="270" w:lineRule="auto"/>
        <w:tabs>
          <w:tab w:leader="none" w:pos="141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and perform any and all acts for and on behalf of the undersigned that may be necessary or desirable to prepare and execute any such Form ID and Forms 3, 4 or 5, Schedules 13D and 13G (including amendments thereto and joint filing agreements in connection therewith) and Forms 144, and file such forms with the SEC and any stock exchange, self-regulatory association or any similar authority; and</w:t>
      </w:r>
    </w:p>
    <w:p>
      <w:pPr>
        <w:spacing w:after="0" w:line="165" w:lineRule="exact"/>
        <w:rPr>
          <w:rFonts w:ascii="Times New Roman" w:cs="Times New Roman" w:eastAsia="Times New Roman" w:hAnsi="Times New Roman"/>
          <w:sz w:val="17"/>
          <w:szCs w:val="17"/>
          <w:color w:val="auto"/>
        </w:rPr>
      </w:pPr>
    </w:p>
    <w:p>
      <w:pPr>
        <w:jc w:val="both"/>
        <w:ind w:firstLine="622"/>
        <w:spacing w:after="0" w:line="264" w:lineRule="auto"/>
        <w:tabs>
          <w:tab w:leader="none" w:pos="1491"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17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Sections 13 and 16 of the Exchange Act and Rule 144 thereunder.</w:t>
      </w:r>
    </w:p>
    <w:p>
      <w:pPr>
        <w:spacing w:after="0" w:line="18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This Power of Attorney shall remain in full force and effect until the earliest to occur of (a) the undersigned is no longer required to file Form ID or Forms 3, 4 and 5 or Schedules 13D or 13G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Cooley LLP or by the Company.</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WITNESS WHEREOF, the undersigned has caused this Power of Attorney to be executed as of the date written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Date: July 15, 2022</w:t>
            </w:r>
          </w:p>
        </w:tc>
        <w:tc>
          <w:tcPr>
            <w:tcW w:w="110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7"/>
                <w:szCs w:val="17"/>
                <w:color w:val="auto"/>
              </w:rPr>
              <w:t>/s/ Ashutosh Tyagi</w:t>
            </w:r>
          </w:p>
        </w:tc>
      </w:tr>
      <w:tr>
        <w:trPr>
          <w:trHeight w:val="216"/>
        </w:trPr>
        <w:tc>
          <w:tcPr>
            <w:tcW w:w="460" w:type="dxa"/>
            <w:vAlign w:val="bottom"/>
          </w:tcPr>
          <w:p>
            <w:pPr>
              <w:spacing w:after="0"/>
              <w:rPr>
                <w:sz w:val="18"/>
                <w:szCs w:val="18"/>
                <w:color w:val="auto"/>
              </w:rPr>
            </w:pPr>
          </w:p>
        </w:tc>
        <w:tc>
          <w:tcPr>
            <w:tcW w:w="4500" w:type="dxa"/>
            <w:vAlign w:val="bottom"/>
            <w:tcBorders>
              <w:top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4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Ashutosh Tyagi</w:t>
            </w:r>
          </w:p>
        </w:tc>
      </w:tr>
      <w:tr>
        <w:trPr>
          <w:trHeight w:val="189"/>
        </w:trPr>
        <w:tc>
          <w:tcPr>
            <w:tcW w:w="460" w:type="dxa"/>
            <w:vAlign w:val="bottom"/>
            <w:tcBorders>
              <w:bottom w:val="single" w:sz="8" w:color="auto"/>
            </w:tcBorders>
          </w:tcPr>
          <w:p>
            <w:pPr>
              <w:spacing w:after="0"/>
              <w:rPr>
                <w:sz w:val="16"/>
                <w:szCs w:val="16"/>
                <w:color w:val="auto"/>
              </w:rPr>
            </w:pPr>
          </w:p>
        </w:tc>
        <w:tc>
          <w:tcPr>
            <w:tcW w:w="45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920" w:type="dxa"/>
            <w:vAlign w:val="bottom"/>
            <w:tcBorders>
              <w:bottom w:val="single" w:sz="8" w:color="auto"/>
            </w:tcBorders>
          </w:tcPr>
          <w:p>
            <w:pPr>
              <w:spacing w:after="0"/>
              <w:rPr>
                <w:sz w:val="16"/>
                <w:szCs w:val="16"/>
                <w:color w:val="auto"/>
              </w:rPr>
            </w:pPr>
          </w:p>
        </w:tc>
      </w:tr>
    </w:tbl>
    <w:p>
      <w:pPr>
        <w:spacing w:after="0" w:line="1" w:lineRule="exact"/>
        <w:rPr>
          <w:sz w:val="20"/>
          <w:szCs w:val="20"/>
          <w:color w:val="auto"/>
        </w:rPr>
      </w:pPr>
    </w:p>
    <w:sectPr>
      <w:pgSz w:w="11900" w:h="16838" w:orient="portrait"/>
      <w:cols w:equalWidth="0" w:num="1">
        <w:col w:w="10980"/>
      </w:cols>
      <w:pgMar w:left="460" w:top="35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52467" TargetMode="External"/><Relationship Id="rId13" Type="http://schemas.openxmlformats.org/officeDocument/2006/relationships/hyperlink" Target="http://www.sec.gov/cgi-bin/browse-edgar?action=getcompany&amp;CIK=00017229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2022-07-19T12:20:34Z</dcterms:created>
  <dcterms:modified xsi:type="dcterms:W3CDTF">2022-07-19T12:20:34Z</dcterms:modified>
</cp:coreProperties>
</file>