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55"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SECURITIES AND EXCHANGE COMMISSION</w:t>
      </w:r>
    </w:p>
    <w:p>
      <w:pPr>
        <w:spacing w:after="0" w:line="29"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ind w:right="-599"/>
        <w:spacing w:after="0"/>
        <w:rPr>
          <w:sz w:val="20"/>
          <w:szCs w:val="20"/>
          <w:color w:val="auto"/>
        </w:rPr>
      </w:pPr>
      <w:r>
        <w:rPr>
          <w:rFonts w:ascii="Arial" w:cs="Arial" w:eastAsia="Arial" w:hAnsi="Arial"/>
          <w:sz w:val="25"/>
          <w:szCs w:val="25"/>
          <w:b w:val="1"/>
          <w:bCs w:val="1"/>
          <w:color w:val="auto"/>
        </w:rPr>
        <w:t>SCHEDULE 14A</w:t>
      </w:r>
    </w:p>
    <w:p>
      <w:pPr>
        <w:spacing w:after="0" w:line="140"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Proxy Statement Pursuant to Section 14(a) of</w:t>
      </w:r>
    </w:p>
    <w:p>
      <w:pPr>
        <w:spacing w:after="0" w:line="12" w:lineRule="exact"/>
        <w:rPr>
          <w:sz w:val="24"/>
          <w:szCs w:val="24"/>
          <w:color w:val="auto"/>
        </w:rPr>
      </w:pPr>
    </w:p>
    <w:p>
      <w:pPr>
        <w:ind w:left="2780"/>
        <w:spacing w:after="0"/>
        <w:tabs>
          <w:tab w:leader="none" w:pos="7860" w:val="left"/>
        </w:tabs>
        <w:rPr>
          <w:sz w:val="20"/>
          <w:szCs w:val="20"/>
          <w:color w:val="auto"/>
        </w:rPr>
      </w:pPr>
      <w:r>
        <w:rPr>
          <w:rFonts w:ascii="Arial" w:cs="Arial" w:eastAsia="Arial" w:hAnsi="Arial"/>
          <w:sz w:val="18"/>
          <w:szCs w:val="18"/>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95"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ind w:left="50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00"/>
        <w:spacing w:after="0" w:line="207" w:lineRule="exact"/>
        <w:tabs>
          <w:tab w:leader="none" w:pos="8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Preliminary Proxy Statement</w:t>
      </w:r>
    </w:p>
    <w:p>
      <w:pPr>
        <w:spacing w:after="0" w:line="31" w:lineRule="exact"/>
        <w:rPr>
          <w:sz w:val="24"/>
          <w:szCs w:val="24"/>
          <w:color w:val="auto"/>
        </w:rPr>
      </w:pPr>
    </w:p>
    <w:p>
      <w:pPr>
        <w:ind w:left="500"/>
        <w:spacing w:after="0" w:line="207" w:lineRule="exact"/>
        <w:tabs>
          <w:tab w:leader="none" w:pos="8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b w:val="1"/>
          <w:bCs w:val="1"/>
          <w:color w:val="auto"/>
        </w:rPr>
        <w:t>Confidential, for Use of the Commission Only (as permitted by Rule 14a-6(e)(2))</w:t>
      </w:r>
    </w:p>
    <w:p>
      <w:pPr>
        <w:spacing w:after="0" w:line="23" w:lineRule="exact"/>
        <w:rPr>
          <w:sz w:val="24"/>
          <w:szCs w:val="24"/>
          <w:color w:val="auto"/>
        </w:rPr>
      </w:pPr>
    </w:p>
    <w:p>
      <w:pPr>
        <w:ind w:left="500"/>
        <w:spacing w:after="0" w:line="207" w:lineRule="exact"/>
        <w:tabs>
          <w:tab w:leader="none" w:pos="8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Definitive Proxy Statement</w:t>
      </w:r>
    </w:p>
    <w:p>
      <w:pPr>
        <w:spacing w:after="0" w:line="23" w:lineRule="exact"/>
        <w:rPr>
          <w:sz w:val="24"/>
          <w:szCs w:val="24"/>
          <w:color w:val="auto"/>
        </w:rPr>
      </w:pPr>
    </w:p>
    <w:p>
      <w:pPr>
        <w:ind w:left="500"/>
        <w:spacing w:after="0" w:line="207" w:lineRule="exact"/>
        <w:tabs>
          <w:tab w:leader="none" w:pos="8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Definitive Additional Materials</w:t>
      </w:r>
    </w:p>
    <w:p>
      <w:pPr>
        <w:spacing w:after="0" w:line="23" w:lineRule="exact"/>
        <w:rPr>
          <w:sz w:val="24"/>
          <w:szCs w:val="24"/>
          <w:color w:val="auto"/>
        </w:rPr>
      </w:pPr>
    </w:p>
    <w:p>
      <w:pPr>
        <w:ind w:left="500"/>
        <w:spacing w:after="0" w:line="207" w:lineRule="exact"/>
        <w:tabs>
          <w:tab w:leader="none" w:pos="8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Soliciting Material under §240.14a-12</w:t>
      </w:r>
    </w:p>
    <w:p>
      <w:pPr>
        <w:spacing w:after="0" w:line="198"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31750</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96"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186055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00" w:lineRule="exact"/>
        <w:rPr>
          <w:sz w:val="24"/>
          <w:szCs w:val="24"/>
          <w:color w:val="auto"/>
        </w:rPr>
      </w:pPr>
    </w:p>
    <w:p>
      <w:pPr>
        <w:ind w:left="26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ind w:left="50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1"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91" w:lineRule="exact"/>
        <w:rPr>
          <w:rFonts w:ascii="MS PGothic" w:cs="MS PGothic" w:eastAsia="MS PGothic" w:hAnsi="MS PGothic"/>
          <w:sz w:val="18"/>
          <w:szCs w:val="18"/>
          <w:color w:val="auto"/>
        </w:rPr>
      </w:pPr>
    </w:p>
    <w:p>
      <w:pPr>
        <w:ind w:left="1220" w:hanging="36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20" w:hanging="36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20" w:right="280" w:hanging="368"/>
        <w:spacing w:after="0" w:line="277" w:lineRule="auto"/>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5" w:lineRule="exact"/>
        <w:rPr>
          <w:rFonts w:ascii="Arial" w:cs="Arial" w:eastAsia="Arial" w:hAnsi="Arial"/>
          <w:sz w:val="18"/>
          <w:szCs w:val="18"/>
          <w:color w:val="auto"/>
        </w:rPr>
      </w:pPr>
    </w:p>
    <w:p>
      <w:pPr>
        <w:ind w:left="1220" w:hanging="36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20" w:hanging="36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860" w:hanging="368"/>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 w:lineRule="exact"/>
        <w:rPr>
          <w:rFonts w:ascii="MS PGothic" w:cs="MS PGothic" w:eastAsia="MS PGothic" w:hAnsi="MS PGothic"/>
          <w:sz w:val="18"/>
          <w:szCs w:val="18"/>
          <w:color w:val="auto"/>
        </w:rPr>
      </w:pPr>
    </w:p>
    <w:p>
      <w:pPr>
        <w:ind w:left="860" w:hanging="368"/>
        <w:spacing w:after="0" w:line="249" w:lineRule="auto"/>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MS PGothic" w:cs="MS PGothic" w:eastAsia="MS PGothic" w:hAnsi="MS PGothic"/>
          <w:sz w:val="18"/>
          <w:szCs w:val="18"/>
          <w:color w:val="auto"/>
        </w:rPr>
      </w:pPr>
    </w:p>
    <w:p>
      <w:pPr>
        <w:ind w:left="1220" w:hanging="36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1220" w:hanging="36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20" w:hanging="36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542925</wp:posOffset>
            </wp:positionH>
            <wp:positionV relativeFrom="paragraph">
              <wp:posOffset>-3662045</wp:posOffset>
            </wp:positionV>
            <wp:extent cx="59575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57570"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-3267710</wp:posOffset>
            </wp:positionV>
            <wp:extent cx="5734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-2882265</wp:posOffset>
            </wp:positionV>
            <wp:extent cx="5734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-2350770</wp:posOffset>
            </wp:positionV>
            <wp:extent cx="5734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-1964690</wp:posOffset>
            </wp:positionV>
            <wp:extent cx="5734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-1570355</wp:posOffset>
            </wp:positionV>
            <wp:extent cx="5734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-550545</wp:posOffset>
            </wp:positionV>
            <wp:extent cx="5734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-156210</wp:posOffset>
            </wp:positionV>
            <wp:extent cx="5734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229235</wp:posOffset>
            </wp:positionV>
            <wp:extent cx="5734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4685" cy="8890"/>
                    </a:xfrm>
                    <a:prstGeom prst="rect">
                      <a:avLst/>
                    </a:prstGeom>
                    <a:noFill/>
                  </pic:spPr>
                </pic:pic>
              </a:graphicData>
            </a:graphic>
          </wp:anchor>
        </w:drawing>
      </w:r>
    </w:p>
    <w:p>
      <w:pPr>
        <w:sectPr>
          <w:pgSz w:w="11900" w:h="16838" w:orient="portrait"/>
          <w:cols w:equalWidth="0" w:num="1">
            <w:col w:w="10140"/>
          </w:cols>
          <w:pgMar w:left="580" w:top="239" w:right="1179" w:bottom="1440" w:gutter="0" w:footer="0" w:header="0"/>
        </w:sectPr>
      </w:pPr>
    </w:p>
    <w:p>
      <w:pPr>
        <w:spacing w:after="0" w:line="200" w:lineRule="exact"/>
        <w:rPr>
          <w:sz w:val="24"/>
          <w:szCs w:val="24"/>
          <w:color w:val="auto"/>
        </w:rPr>
      </w:pPr>
    </w:p>
    <w:p>
      <w:pPr>
        <w:spacing w:after="0" w:line="214" w:lineRule="exact"/>
        <w:rPr>
          <w:sz w:val="24"/>
          <w:szCs w:val="24"/>
          <w:color w:val="auto"/>
        </w:rPr>
      </w:pPr>
    </w:p>
    <w:p>
      <w:pPr>
        <w:ind w:left="860"/>
        <w:spacing w:after="0"/>
        <w:rPr>
          <w:sz w:val="20"/>
          <w:szCs w:val="20"/>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765810</wp:posOffset>
            </wp:positionH>
            <wp:positionV relativeFrom="paragraph">
              <wp:posOffset>229235</wp:posOffset>
            </wp:positionV>
            <wp:extent cx="5734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473710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40"/>
          </w:cols>
          <w:pgMar w:left="580" w:top="239" w:right="117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2343150</wp:posOffset>
            </wp:positionH>
            <wp:positionV relativeFrom="paragraph">
              <wp:posOffset>494665</wp:posOffset>
            </wp:positionV>
            <wp:extent cx="2134235"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423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Y-MABS THERAPEUTICS, INC.</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230 PARK AVENUE, SUITE 3350</w:t>
      </w:r>
    </w:p>
    <w:p>
      <w:pPr>
        <w:spacing w:after="0" w:line="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NEW YORK, NY 10169</w:t>
      </w:r>
    </w:p>
    <w:p>
      <w:pPr>
        <w:ind w:left="4820"/>
        <w:spacing w:after="0"/>
        <w:rPr>
          <w:sz w:val="20"/>
          <w:szCs w:val="20"/>
          <w:color w:val="auto"/>
        </w:rPr>
      </w:pPr>
      <w:r>
        <w:rPr>
          <w:rFonts w:ascii="Arial" w:cs="Arial" w:eastAsia="Arial" w:hAnsi="Arial"/>
          <w:sz w:val="18"/>
          <w:szCs w:val="18"/>
          <w:b w:val="1"/>
          <w:bCs w:val="1"/>
          <w:color w:val="auto"/>
        </w:rPr>
        <w:t>(646) 885-8505</w:t>
      </w:r>
    </w:p>
    <w:p>
      <w:pPr>
        <w:spacing w:after="0" w:line="192"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April 28, 2021</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Stockholder:</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 am pleased to invite you to attend the 2021 Annual Meeting of Stockholders (the “Annual Meeting”)</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Y-mAbs Therapeutics, Inc., (the “Company”), which will be held on Thursday, June 10, 2021 at</w:t>
      </w:r>
    </w:p>
    <w:p>
      <w:pPr>
        <w:ind w:left="1260"/>
        <w:spacing w:after="0" w:line="234" w:lineRule="auto"/>
        <w:rPr>
          <w:sz w:val="20"/>
          <w:szCs w:val="20"/>
          <w:color w:val="auto"/>
        </w:rPr>
      </w:pPr>
      <w:r>
        <w:rPr>
          <w:rFonts w:ascii="Arial" w:cs="Arial" w:eastAsia="Arial" w:hAnsi="Arial"/>
          <w:sz w:val="18"/>
          <w:szCs w:val="18"/>
          <w:color w:val="auto"/>
        </w:rPr>
        <w:t>10:00 a.m., Eastern Time. Due to the coronavirus pandemic (“COVID-19”), the Annual Meeting will be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conducted entirely online through a virtual meeting only format via live audio webcast. You will be able to</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attend the meeting in a listen-only mode, vote your shares electronically, and submit your questions during</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meeting by visiting: https://web.lumiagm.com/257688918 (password:ymabs2021). You will not be able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attend the Annual Meeting in person.</w:t>
      </w:r>
    </w:p>
    <w:p>
      <w:pPr>
        <w:spacing w:after="0" w:line="128"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The Notice of Internet Availability of proxy materials provides you with information on how to access the proxy materials and obtain the details of the business to be conducted at the meeting.</w:t>
      </w:r>
    </w:p>
    <w:p>
      <w:pPr>
        <w:spacing w:after="0" w:line="10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At the Annual Meeting, stockholders will consider and vote on the following matters: (1) The election of three (3) Class III directors each to serve for a three (3) year term to expire at the 2024 annual meeting of stockholders; (2) The ratification of the appointment of PricewaterhouseCoopers LLP as our independent registered public accounting firm for the fiscal year ending December 31, 2021; (3) A non- binding advisory vote on the compensation of the Company’s named executive officers as disclosed in these proxy materials;</w:t>
      </w:r>
    </w:p>
    <w:p>
      <w:pPr>
        <w:spacing w:after="0" w:line="2" w:lineRule="exact"/>
        <w:rPr>
          <w:sz w:val="20"/>
          <w:szCs w:val="20"/>
          <w:color w:val="auto"/>
        </w:rPr>
      </w:pPr>
    </w:p>
    <w:p>
      <w:pPr>
        <w:ind w:left="1260" w:right="479"/>
        <w:spacing w:after="0" w:line="239" w:lineRule="auto"/>
        <w:tabs>
          <w:tab w:leader="none" w:pos="1519"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non-binding advisory vote on the frequency of future advisory votes on the compensation of the Company’s named executive officers; and (5) The transaction of any other business that may properly come before the Annual Meeting or any adjournment or postponement thereof.</w:t>
      </w:r>
    </w:p>
    <w:p>
      <w:pPr>
        <w:spacing w:after="0" w:line="108"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Stockholders of record at the close of business on April 16, 2021 will be entitled to notice of, and to vote, at the Annual Meeting or any adjournment or postponement thereof. We encourage all stockholders to attend the Annual Meeting. However, whether or not you plan to attend the Annual Meeting, you can ensure that your shares are represented at the meeting by promptly voting and submitting your proxy or voting instruction card by Internet or, if you have requested to receive a paper copy of the proxy materials, by completing, signing, dating and returning your proxy card in the enclosed envelope. You may also vote your shares electronically during the virtual meeting.</w:t>
      </w:r>
    </w:p>
    <w:p>
      <w:pPr>
        <w:spacing w:after="0" w:line="123" w:lineRule="exact"/>
        <w:rPr>
          <w:sz w:val="20"/>
          <w:szCs w:val="20"/>
          <w:color w:val="auto"/>
        </w:rPr>
      </w:pPr>
    </w:p>
    <w:p>
      <w:pPr>
        <w:jc w:val="both"/>
        <w:ind w:left="1260" w:right="459" w:firstLine="360"/>
        <w:spacing w:after="0" w:line="270" w:lineRule="auto"/>
        <w:rPr>
          <w:sz w:val="20"/>
          <w:szCs w:val="20"/>
          <w:color w:val="auto"/>
        </w:rPr>
      </w:pPr>
      <w:r>
        <w:rPr>
          <w:rFonts w:ascii="Arial" w:cs="Arial" w:eastAsia="Arial" w:hAnsi="Arial"/>
          <w:sz w:val="17"/>
          <w:szCs w:val="17"/>
          <w:color w:val="auto"/>
        </w:rPr>
        <w:t>You will find the proxy card or voting instruction card by accessing the Internet websites mentioned on the Notice of Internet Availability and by following the instructions thereon. We encourage you to read this proxy statement and submit your proxy or voting instructions as soon as possible.</w:t>
      </w:r>
    </w:p>
    <w:p>
      <w:pPr>
        <w:spacing w:after="0" w:line="96"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Our Annual Report on Form 10-K for the period ended December 31, 2020 is available by Internet or by mail in accordance with the instructions found on the Notice of Internet Availability. We urge you to read it carefully.</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Thank you for your ongoing support and continued interest in the Company.</w:t>
      </w:r>
    </w:p>
    <w:p>
      <w:pPr>
        <w:spacing w:after="0" w:line="15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40640</wp:posOffset>
            </wp:positionV>
            <wp:extent cx="994410" cy="334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9441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Thomas Gad</w:t>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Founder, Chairman, President and</w:t>
      </w:r>
    </w:p>
    <w:p>
      <w:pPr>
        <w:ind w:left="5940"/>
        <w:spacing w:after="0"/>
        <w:rPr>
          <w:sz w:val="20"/>
          <w:szCs w:val="20"/>
          <w:color w:val="auto"/>
        </w:rPr>
      </w:pPr>
      <w:r>
        <w:rPr>
          <w:rFonts w:ascii="Arial" w:cs="Arial" w:eastAsia="Arial" w:hAnsi="Arial"/>
          <w:sz w:val="17"/>
          <w:szCs w:val="17"/>
          <w:i w:val="1"/>
          <w:iCs w:val="1"/>
          <w:color w:val="auto"/>
        </w:rPr>
        <w:t>Head of Business Development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590550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60" w:type="dxa"/>
            <w:vAlign w:val="bottom"/>
            <w:gridSpan w:val="21"/>
          </w:tcPr>
          <w:p>
            <w:pPr>
              <w:ind w:left="2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6"/>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5280" w:type="dxa"/>
            <w:vAlign w:val="bottom"/>
            <w:tcBorders>
              <w:right w:val="single" w:sz="8" w:color="CCEEFF"/>
            </w:tcBorders>
            <w:gridSpan w:val="33"/>
            <w:shd w:val="clear" w:color="auto" w:fill="CCEEFF"/>
          </w:tcPr>
          <w:p>
            <w:pPr>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QUESTIONS AND ANSWERS ABOUT THE ANNUAL MEETING</w:t>
              </w:r>
            </w:hyperlink>
          </w:p>
        </w:tc>
        <w:tc>
          <w:tcPr>
            <w:tcW w:w="2740" w:type="dxa"/>
            <w:vAlign w:val="bottom"/>
            <w:gridSpan w:val="6"/>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5980" w:type="dxa"/>
            <w:vAlign w:val="bottom"/>
            <w:tcBorders>
              <w:bottom w:val="single" w:sz="8" w:color="0000EE"/>
            </w:tcBorders>
            <w:gridSpan w:val="35"/>
          </w:tcPr>
          <w:p>
            <w:pPr>
              <w:spacing w:after="0"/>
              <w:rPr>
                <w:rFonts w:ascii="Arial" w:cs="Arial" w:eastAsia="Arial" w:hAnsi="Arial"/>
                <w:sz w:val="18"/>
                <w:szCs w:val="18"/>
                <w:color w:val="0000EE"/>
                <w:w w:val="98"/>
              </w:rPr>
            </w:pPr>
            <w:hyperlink w:anchor="page15">
              <w:r>
                <w:rPr>
                  <w:rFonts w:ascii="Arial" w:cs="Arial" w:eastAsia="Arial" w:hAnsi="Arial"/>
                  <w:sz w:val="18"/>
                  <w:szCs w:val="18"/>
                  <w:color w:val="0000EE"/>
                  <w:w w:val="98"/>
                </w:rPr>
                <w:t>BOARD OF DIRECTORS, NOMINEES AND CORPORATE GOVERNANCE</w:t>
              </w:r>
            </w:hyperlink>
          </w:p>
        </w:tc>
        <w:tc>
          <w:tcPr>
            <w:tcW w:w="2040" w:type="dxa"/>
            <w:vAlign w:val="bottom"/>
            <w:gridSpan w:val="4"/>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11</w:t>
              </w:r>
            </w:hyperlink>
          </w:p>
        </w:tc>
      </w:tr>
      <w:tr>
        <w:trPr>
          <w:trHeight w:val="237"/>
        </w:trPr>
        <w:tc>
          <w:tcPr>
            <w:tcW w:w="180" w:type="dxa"/>
            <w:vAlign w:val="bottom"/>
            <w:shd w:val="clear" w:color="auto" w:fill="CCEEFF"/>
          </w:tcPr>
          <w:p>
            <w:pPr>
              <w:spacing w:after="0"/>
              <w:rPr>
                <w:sz w:val="20"/>
                <w:szCs w:val="20"/>
                <w:color w:val="auto"/>
              </w:rPr>
            </w:pPr>
          </w:p>
        </w:tc>
        <w:tc>
          <w:tcPr>
            <w:tcW w:w="7840" w:type="dxa"/>
            <w:vAlign w:val="bottom"/>
            <w:gridSpan w:val="38"/>
            <w:shd w:val="clear" w:color="auto" w:fill="CCEEFF"/>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Election of Directors</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11</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7840" w:type="dxa"/>
            <w:vAlign w:val="bottom"/>
            <w:gridSpan w:val="3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Corporate Governance Matters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14</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4640" w:type="dxa"/>
            <w:vAlign w:val="bottom"/>
            <w:tcBorders>
              <w:bottom w:val="single" w:sz="8" w:color="0000EE"/>
            </w:tcBorders>
            <w:gridSpan w:val="28"/>
            <w:shd w:val="clear" w:color="auto" w:fill="CCEEFF"/>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Information Regarding Committees of the Board of Directors</w:t>
              </w:r>
            </w:hyperlink>
          </w:p>
        </w:tc>
        <w:tc>
          <w:tcPr>
            <w:tcW w:w="3200" w:type="dxa"/>
            <w:vAlign w:val="bottom"/>
            <w:tcBorders>
              <w:bottom w:val="single" w:sz="8" w:color="CCEEFF"/>
            </w:tcBorders>
            <w:gridSpan w:val="10"/>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16</w:t>
              </w:r>
            </w:hyperlink>
          </w:p>
        </w:tc>
      </w:tr>
      <w:tr>
        <w:trPr>
          <w:trHeight w:val="236"/>
        </w:trPr>
        <w:tc>
          <w:tcPr>
            <w:tcW w:w="4760" w:type="dxa"/>
            <w:vAlign w:val="bottom"/>
            <w:tcBorders>
              <w:bottom w:val="single" w:sz="8" w:color="0000EE"/>
            </w:tcBorders>
            <w:gridSpan w:val="28"/>
          </w:tcPr>
          <w:p>
            <w:pPr>
              <w:spacing w:after="0"/>
              <w:rPr>
                <w:rFonts w:ascii="Arial" w:cs="Arial" w:eastAsia="Arial" w:hAnsi="Arial"/>
                <w:sz w:val="18"/>
                <w:szCs w:val="18"/>
                <w:color w:val="0000EE"/>
                <w:w w:val="98"/>
              </w:rPr>
            </w:pPr>
            <w:hyperlink w:anchor="page26">
              <w:r>
                <w:rPr>
                  <w:rFonts w:ascii="Arial" w:cs="Arial" w:eastAsia="Arial" w:hAnsi="Arial"/>
                  <w:sz w:val="18"/>
                  <w:szCs w:val="18"/>
                  <w:color w:val="0000EE"/>
                  <w:w w:val="98"/>
                </w:rPr>
                <w:t>EXECUTIVE OFFICER AND DIRECTOR COMPENSATION</w:t>
              </w:r>
            </w:hyperlink>
          </w:p>
        </w:tc>
        <w:tc>
          <w:tcPr>
            <w:tcW w:w="3260" w:type="dxa"/>
            <w:vAlign w:val="bottom"/>
            <w:gridSpan w:val="11"/>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22</w:t>
              </w:r>
            </w:hyperlink>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Executive Officers</w:t>
              </w:r>
            </w:hyperlink>
          </w:p>
        </w:tc>
        <w:tc>
          <w:tcPr>
            <w:tcW w:w="6420" w:type="dxa"/>
            <w:vAlign w:val="bottom"/>
            <w:tcBorders>
              <w:bottom w:val="single" w:sz="8" w:color="CCEEFF"/>
            </w:tcBorders>
            <w:gridSpan w:val="33"/>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22</w:t>
              </w:r>
            </w:hyperlink>
          </w:p>
        </w:tc>
      </w:tr>
      <w:tr>
        <w:trPr>
          <w:trHeight w:val="237"/>
        </w:trPr>
        <w:tc>
          <w:tcPr>
            <w:tcW w:w="180" w:type="dxa"/>
            <w:vAlign w:val="bottom"/>
          </w:tcPr>
          <w:p>
            <w:pPr>
              <w:spacing w:after="0"/>
              <w:rPr>
                <w:sz w:val="20"/>
                <w:szCs w:val="20"/>
                <w:color w:val="auto"/>
              </w:rPr>
            </w:pPr>
          </w:p>
        </w:tc>
        <w:tc>
          <w:tcPr>
            <w:tcW w:w="298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27">
              <w:r>
                <w:rPr>
                  <w:rFonts w:ascii="Arial" w:cs="Arial" w:eastAsia="Arial" w:hAnsi="Arial"/>
                  <w:sz w:val="18"/>
                  <w:szCs w:val="18"/>
                  <w:color w:val="0000EE"/>
                  <w:w w:val="93"/>
                </w:rPr>
                <w:t>Compensation Discussion and Analysis</w:t>
              </w:r>
            </w:hyperlink>
          </w:p>
        </w:tc>
        <w:tc>
          <w:tcPr>
            <w:tcW w:w="4860" w:type="dxa"/>
            <w:vAlign w:val="bottom"/>
            <w:gridSpan w:val="21"/>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23</w:t>
              </w:r>
            </w:hyperlink>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0000EE"/>
              <w:right w:val="single" w:sz="8" w:color="CCEEFF"/>
            </w:tcBorders>
            <w:gridSpan w:val="12"/>
            <w:shd w:val="clear" w:color="auto" w:fill="CCEEFF"/>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Summary Compensation Table</w:t>
              </w:r>
            </w:hyperlink>
          </w:p>
        </w:tc>
        <w:tc>
          <w:tcPr>
            <w:tcW w:w="5520" w:type="dxa"/>
            <w:vAlign w:val="bottom"/>
            <w:tcBorders>
              <w:bottom w:val="single" w:sz="8" w:color="CCEEFF"/>
            </w:tcBorders>
            <w:gridSpan w:val="26"/>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28</w:t>
              </w:r>
            </w:hyperlink>
          </w:p>
        </w:tc>
      </w:tr>
      <w:tr>
        <w:trPr>
          <w:trHeight w:val="250"/>
        </w:trPr>
        <w:tc>
          <w:tcPr>
            <w:tcW w:w="180" w:type="dxa"/>
            <w:vAlign w:val="bottom"/>
          </w:tcPr>
          <w:p>
            <w:pPr>
              <w:spacing w:after="0"/>
              <w:rPr>
                <w:sz w:val="21"/>
                <w:szCs w:val="21"/>
                <w:color w:val="auto"/>
              </w:rPr>
            </w:pPr>
          </w:p>
        </w:tc>
        <w:tc>
          <w:tcPr>
            <w:tcW w:w="7840" w:type="dxa"/>
            <w:vAlign w:val="bottom"/>
            <w:gridSpan w:val="3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Narrative Disclosure to Summary Compensation Table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29</w:t>
              </w:r>
            </w:hyperlink>
          </w:p>
        </w:tc>
      </w:tr>
      <w:tr>
        <w:trPr>
          <w:trHeight w:val="250"/>
        </w:trPr>
        <w:tc>
          <w:tcPr>
            <w:tcW w:w="180" w:type="dxa"/>
            <w:vAlign w:val="bottom"/>
            <w:shd w:val="clear" w:color="auto" w:fill="CCEEFF"/>
          </w:tcPr>
          <w:p>
            <w:pPr>
              <w:spacing w:after="0"/>
              <w:rPr>
                <w:sz w:val="21"/>
                <w:szCs w:val="21"/>
                <w:color w:val="auto"/>
              </w:rPr>
            </w:pPr>
          </w:p>
        </w:tc>
        <w:tc>
          <w:tcPr>
            <w:tcW w:w="4120" w:type="dxa"/>
            <w:vAlign w:val="bottom"/>
            <w:tcBorders>
              <w:top w:val="single" w:sz="8" w:color="0000EE"/>
            </w:tcBorders>
            <w:gridSpan w:val="26"/>
            <w:shd w:val="clear" w:color="auto" w:fill="CCEEFF"/>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Grant of Plan-Based Awards in 2020</w:t>
              </w:r>
            </w:hyperlink>
          </w:p>
        </w:tc>
        <w:tc>
          <w:tcPr>
            <w:tcW w:w="3720" w:type="dxa"/>
            <w:vAlign w:val="bottom"/>
            <w:gridSpan w:val="12"/>
            <w:shd w:val="clear" w:color="auto" w:fill="CCEEFF"/>
          </w:tcPr>
          <w:p>
            <w:pPr>
              <w:spacing w:after="0"/>
              <w:rPr>
                <w:sz w:val="21"/>
                <w:szCs w:val="21"/>
                <w:color w:val="auto"/>
              </w:rPr>
            </w:pPr>
          </w:p>
        </w:tc>
        <w:tc>
          <w:tcPr>
            <w:tcW w:w="180" w:type="dxa"/>
            <w:vAlign w:val="bottom"/>
            <w:tcBorders>
              <w:top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32</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440" w:type="dxa"/>
            <w:vAlign w:val="bottom"/>
            <w:tcBorders>
              <w:bottom w:val="single" w:sz="8" w:color="0000EE"/>
            </w:tcBorders>
            <w:gridSpan w:val="23"/>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Outstanding Equity Awards at Year End 2020</w:t>
              </w:r>
            </w:hyperlink>
          </w:p>
        </w:tc>
        <w:tc>
          <w:tcPr>
            <w:tcW w:w="4400" w:type="dxa"/>
            <w:vAlign w:val="bottom"/>
            <w:gridSpan w:val="1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33</w:t>
              </w:r>
            </w:hyperlink>
          </w:p>
        </w:tc>
      </w:tr>
      <w:tr>
        <w:trPr>
          <w:trHeight w:val="250"/>
        </w:trPr>
        <w:tc>
          <w:tcPr>
            <w:tcW w:w="180" w:type="dxa"/>
            <w:vAlign w:val="bottom"/>
            <w:shd w:val="clear" w:color="auto" w:fill="CCEEFF"/>
          </w:tcPr>
          <w:p>
            <w:pPr>
              <w:spacing w:after="0"/>
              <w:rPr>
                <w:sz w:val="21"/>
                <w:szCs w:val="21"/>
                <w:color w:val="auto"/>
              </w:rPr>
            </w:pPr>
          </w:p>
        </w:tc>
        <w:tc>
          <w:tcPr>
            <w:tcW w:w="7840" w:type="dxa"/>
            <w:vAlign w:val="bottom"/>
            <w:gridSpan w:val="38"/>
            <w:shd w:val="clear" w:color="auto" w:fill="CCEEFF"/>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2020 Option Exercises and Stock Vested Table</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34</w:t>
              </w:r>
            </w:hyperlink>
          </w:p>
        </w:tc>
      </w:tr>
      <w:tr>
        <w:trPr>
          <w:trHeight w:val="250"/>
        </w:trPr>
        <w:tc>
          <w:tcPr>
            <w:tcW w:w="180" w:type="dxa"/>
            <w:vAlign w:val="bottom"/>
            <w:tcBorders>
              <w:top w:val="single" w:sz="8" w:color="CCEEFF"/>
            </w:tcBorders>
          </w:tcPr>
          <w:p>
            <w:pPr>
              <w:spacing w:after="0"/>
              <w:rPr>
                <w:sz w:val="21"/>
                <w:szCs w:val="21"/>
                <w:color w:val="auto"/>
              </w:rPr>
            </w:pPr>
          </w:p>
        </w:tc>
        <w:tc>
          <w:tcPr>
            <w:tcW w:w="19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Employment Agreements</w:t>
              </w:r>
            </w:hyperlink>
          </w:p>
        </w:tc>
        <w:tc>
          <w:tcPr>
            <w:tcW w:w="1600" w:type="dxa"/>
            <w:vAlign w:val="bottom"/>
            <w:tcBorders>
              <w:top w:val="single" w:sz="8" w:color="0000EE"/>
            </w:tcBorders>
            <w:gridSpan w:val="15"/>
          </w:tcPr>
          <w:p>
            <w:pPr>
              <w:spacing w:after="0"/>
              <w:rPr>
                <w:sz w:val="21"/>
                <w:szCs w:val="21"/>
                <w:color w:val="auto"/>
              </w:rPr>
            </w:pPr>
          </w:p>
        </w:tc>
        <w:tc>
          <w:tcPr>
            <w:tcW w:w="4320" w:type="dxa"/>
            <w:vAlign w:val="bottom"/>
            <w:tcBorders>
              <w:top w:val="single" w:sz="8" w:color="CCEEFF"/>
            </w:tcBorders>
            <w:gridSpan w:val="14"/>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34</w:t>
              </w:r>
            </w:hyperlink>
          </w:p>
        </w:tc>
      </w:tr>
      <w:tr>
        <w:trPr>
          <w:trHeight w:val="250"/>
        </w:trPr>
        <w:tc>
          <w:tcPr>
            <w:tcW w:w="180" w:type="dxa"/>
            <w:vAlign w:val="bottom"/>
            <w:shd w:val="clear" w:color="auto" w:fill="CCEEFF"/>
          </w:tcPr>
          <w:p>
            <w:pPr>
              <w:spacing w:after="0"/>
              <w:rPr>
                <w:sz w:val="21"/>
                <w:szCs w:val="21"/>
                <w:color w:val="auto"/>
              </w:rPr>
            </w:pPr>
          </w:p>
        </w:tc>
        <w:tc>
          <w:tcPr>
            <w:tcW w:w="7840" w:type="dxa"/>
            <w:vAlign w:val="bottom"/>
            <w:gridSpan w:val="38"/>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Estimated Payments and Benefits Upon Termination or Change of Control</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38</w:t>
              </w:r>
            </w:hyperlink>
          </w:p>
        </w:tc>
      </w:tr>
      <w:tr>
        <w:trPr>
          <w:trHeight w:val="250"/>
        </w:trPr>
        <w:tc>
          <w:tcPr>
            <w:tcW w:w="180" w:type="dxa"/>
            <w:vAlign w:val="bottom"/>
            <w:tcBorders>
              <w:top w:val="single" w:sz="8" w:color="CCEEFF"/>
            </w:tcBorders>
          </w:tcPr>
          <w:p>
            <w:pPr>
              <w:spacing w:after="0"/>
              <w:rPr>
                <w:sz w:val="21"/>
                <w:szCs w:val="21"/>
                <w:color w:val="auto"/>
              </w:rPr>
            </w:pPr>
          </w:p>
        </w:tc>
        <w:tc>
          <w:tcPr>
            <w:tcW w:w="26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Chief Executive Officer Pay Ratio</w:t>
              </w:r>
            </w:hyperlink>
          </w:p>
        </w:tc>
        <w:tc>
          <w:tcPr>
            <w:tcW w:w="3000" w:type="dxa"/>
            <w:vAlign w:val="bottom"/>
            <w:tcBorders>
              <w:top w:val="single" w:sz="8" w:color="0000EE"/>
            </w:tcBorders>
            <w:gridSpan w:val="19"/>
          </w:tcPr>
          <w:p>
            <w:pPr>
              <w:spacing w:after="0"/>
              <w:rPr>
                <w:sz w:val="21"/>
                <w:szCs w:val="21"/>
                <w:color w:val="auto"/>
              </w:rPr>
            </w:pPr>
          </w:p>
        </w:tc>
        <w:tc>
          <w:tcPr>
            <w:tcW w:w="2240" w:type="dxa"/>
            <w:vAlign w:val="bottom"/>
            <w:tcBorders>
              <w:top w:val="single" w:sz="8" w:color="CCEEFF"/>
            </w:tcBorders>
            <w:gridSpan w:val="5"/>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39</w:t>
              </w:r>
            </w:hyperlink>
          </w:p>
        </w:tc>
      </w:tr>
      <w:tr>
        <w:trPr>
          <w:trHeight w:val="250"/>
        </w:trPr>
        <w:tc>
          <w:tcPr>
            <w:tcW w:w="180" w:type="dxa"/>
            <w:vAlign w:val="bottom"/>
            <w:shd w:val="clear" w:color="auto" w:fill="CCEEFF"/>
          </w:tcPr>
          <w:p>
            <w:pPr>
              <w:spacing w:after="0"/>
              <w:rPr>
                <w:sz w:val="21"/>
                <w:szCs w:val="21"/>
                <w:color w:val="auto"/>
              </w:rPr>
            </w:pPr>
          </w:p>
        </w:tc>
        <w:tc>
          <w:tcPr>
            <w:tcW w:w="7840" w:type="dxa"/>
            <w:vAlign w:val="bottom"/>
            <w:gridSpan w:val="38"/>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Other Benefit Plans</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38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Limitations on Liability and Indemnification</w:t>
              </w:r>
            </w:hyperlink>
          </w:p>
        </w:tc>
        <w:tc>
          <w:tcPr>
            <w:tcW w:w="4460" w:type="dxa"/>
            <w:vAlign w:val="bottom"/>
            <w:gridSpan w:val="1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40</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0000EE"/>
              <w:right w:val="single" w:sz="8" w:color="CCEEFF"/>
            </w:tcBorders>
            <w:gridSpan w:val="6"/>
            <w:shd w:val="clear" w:color="auto" w:fill="CCEEFF"/>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Tax Considerations</w:t>
              </w:r>
            </w:hyperlink>
          </w:p>
        </w:tc>
        <w:tc>
          <w:tcPr>
            <w:tcW w:w="6360" w:type="dxa"/>
            <w:vAlign w:val="bottom"/>
            <w:tcBorders>
              <w:bottom w:val="single" w:sz="8" w:color="CCEEFF"/>
            </w:tcBorders>
            <w:gridSpan w:val="3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250"/>
        </w:trPr>
        <w:tc>
          <w:tcPr>
            <w:tcW w:w="180" w:type="dxa"/>
            <w:vAlign w:val="bottom"/>
          </w:tcPr>
          <w:p>
            <w:pPr>
              <w:spacing w:after="0"/>
              <w:rPr>
                <w:sz w:val="21"/>
                <w:szCs w:val="21"/>
                <w:color w:val="auto"/>
              </w:rPr>
            </w:pPr>
          </w:p>
        </w:tc>
        <w:tc>
          <w:tcPr>
            <w:tcW w:w="206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Accounting Considerations</w:t>
              </w:r>
            </w:hyperlink>
          </w:p>
        </w:tc>
        <w:tc>
          <w:tcPr>
            <w:tcW w:w="5780" w:type="dxa"/>
            <w:vAlign w:val="bottom"/>
            <w:gridSpan w:val="2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0000EE"/>
            </w:tcBorders>
            <w:gridSpan w:val="21"/>
            <w:shd w:val="clear" w:color="auto" w:fill="CCEEFF"/>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Risk Analysis of the Compensation Program</w:t>
              </w:r>
            </w:hyperlink>
          </w:p>
        </w:tc>
        <w:tc>
          <w:tcPr>
            <w:tcW w:w="4480" w:type="dxa"/>
            <w:vAlign w:val="bottom"/>
            <w:tcBorders>
              <w:bottom w:val="single" w:sz="8" w:color="CCEEFF"/>
            </w:tcBorders>
            <w:gridSpan w:val="1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41</w:t>
              </w:r>
            </w:hyperlink>
          </w:p>
        </w:tc>
      </w:tr>
      <w:tr>
        <w:trPr>
          <w:trHeight w:val="250"/>
        </w:trPr>
        <w:tc>
          <w:tcPr>
            <w:tcW w:w="180" w:type="dxa"/>
            <w:vAlign w:val="bottom"/>
          </w:tcPr>
          <w:p>
            <w:pPr>
              <w:spacing w:after="0"/>
              <w:rPr>
                <w:sz w:val="21"/>
                <w:szCs w:val="21"/>
                <w:color w:val="auto"/>
              </w:rPr>
            </w:pPr>
          </w:p>
        </w:tc>
        <w:tc>
          <w:tcPr>
            <w:tcW w:w="176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46">
              <w:r>
                <w:rPr>
                  <w:rFonts w:ascii="Arial" w:cs="Arial" w:eastAsia="Arial" w:hAnsi="Arial"/>
                  <w:sz w:val="18"/>
                  <w:szCs w:val="18"/>
                  <w:color w:val="0000EE"/>
                  <w:w w:val="94"/>
                </w:rPr>
                <w:t>Director Compensation</w:t>
              </w:r>
            </w:hyperlink>
          </w:p>
        </w:tc>
        <w:tc>
          <w:tcPr>
            <w:tcW w:w="6080" w:type="dxa"/>
            <w:vAlign w:val="bottom"/>
            <w:gridSpan w:val="3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42</w:t>
              </w:r>
            </w:hyperlink>
          </w:p>
        </w:tc>
      </w:tr>
      <w:tr>
        <w:trPr>
          <w:trHeight w:val="250"/>
        </w:trPr>
        <w:tc>
          <w:tcPr>
            <w:tcW w:w="5140" w:type="dxa"/>
            <w:vAlign w:val="bottom"/>
            <w:tcBorders>
              <w:bottom w:val="single" w:sz="8" w:color="0000EE"/>
            </w:tcBorders>
            <w:gridSpan w:val="32"/>
            <w:shd w:val="clear" w:color="auto" w:fill="CCEEFF"/>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SECURITIES AUTHORIZED FOR ISSUANCE UNDER EQUITY</w:t>
              </w:r>
            </w:hyperlink>
          </w:p>
        </w:tc>
        <w:tc>
          <w:tcPr>
            <w:tcW w:w="2880" w:type="dxa"/>
            <w:vAlign w:val="bottom"/>
            <w:tcBorders>
              <w:bottom w:val="single" w:sz="8" w:color="CCEEFF"/>
            </w:tcBorders>
            <w:gridSpan w:val="7"/>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196"/>
        </w:trPr>
        <w:tc>
          <w:tcPr>
            <w:tcW w:w="180" w:type="dxa"/>
            <w:vAlign w:val="bottom"/>
            <w:shd w:val="clear" w:color="auto" w:fill="CCEEFF"/>
          </w:tcPr>
          <w:p>
            <w:pPr>
              <w:spacing w:after="0"/>
              <w:rPr>
                <w:sz w:val="17"/>
                <w:szCs w:val="17"/>
                <w:color w:val="auto"/>
              </w:rPr>
            </w:pPr>
          </w:p>
        </w:tc>
        <w:tc>
          <w:tcPr>
            <w:tcW w:w="7840" w:type="dxa"/>
            <w:vAlign w:val="bottom"/>
            <w:gridSpan w:val="38"/>
            <w:shd w:val="clear" w:color="auto" w:fill="CCEEFF"/>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COMPENSATION PLANS</w:t>
              </w:r>
            </w:hyperlink>
          </w:p>
        </w:tc>
        <w:tc>
          <w:tcPr>
            <w:tcW w:w="180" w:type="dxa"/>
            <w:vAlign w:val="bottom"/>
            <w:gridSpan w:val="2"/>
            <w:shd w:val="clear" w:color="auto" w:fill="CCEEFF"/>
          </w:tcPr>
          <w:p>
            <w:pPr>
              <w:jc w:val="right"/>
              <w:spacing w:after="0" w:line="19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45</w:t>
              </w:r>
            </w:hyperlink>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57"/>
        </w:trPr>
        <w:tc>
          <w:tcPr>
            <w:tcW w:w="180" w:type="dxa"/>
            <w:vAlign w:val="bottom"/>
          </w:tcPr>
          <w:p>
            <w:pPr>
              <w:spacing w:after="0"/>
              <w:rPr>
                <w:sz w:val="22"/>
                <w:szCs w:val="22"/>
                <w:color w:val="auto"/>
              </w:rPr>
            </w:pPr>
          </w:p>
        </w:tc>
        <w:tc>
          <w:tcPr>
            <w:tcW w:w="296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Equity Compensation Plan Information</w:t>
              </w:r>
            </w:hyperlink>
          </w:p>
        </w:tc>
        <w:tc>
          <w:tcPr>
            <w:tcW w:w="4880" w:type="dxa"/>
            <w:vAlign w:val="bottom"/>
            <w:gridSpan w:val="22"/>
          </w:tcPr>
          <w:p>
            <w:pPr>
              <w:spacing w:after="0"/>
              <w:rPr>
                <w:sz w:val="22"/>
                <w:szCs w:val="22"/>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45</w:t>
              </w:r>
            </w:hyperlink>
          </w:p>
        </w:tc>
      </w:tr>
      <w:tr>
        <w:trPr>
          <w:trHeight w:val="250"/>
        </w:trPr>
        <w:tc>
          <w:tcPr>
            <w:tcW w:w="3340" w:type="dxa"/>
            <w:vAlign w:val="bottom"/>
            <w:tcBorders>
              <w:bottom w:val="single" w:sz="8" w:color="0000EE"/>
            </w:tcBorders>
            <w:gridSpan w:val="20"/>
            <w:shd w:val="clear" w:color="auto" w:fill="CCEEFF"/>
          </w:tcPr>
          <w:p>
            <w:pPr>
              <w:spacing w:after="0"/>
              <w:rPr>
                <w:rFonts w:ascii="Arial" w:cs="Arial" w:eastAsia="Arial" w:hAnsi="Arial"/>
                <w:sz w:val="18"/>
                <w:szCs w:val="18"/>
                <w:color w:val="0000EE"/>
                <w:w w:val="97"/>
              </w:rPr>
            </w:pPr>
            <w:hyperlink w:anchor="page50">
              <w:r>
                <w:rPr>
                  <w:rFonts w:ascii="Arial" w:cs="Arial" w:eastAsia="Arial" w:hAnsi="Arial"/>
                  <w:sz w:val="18"/>
                  <w:szCs w:val="18"/>
                  <w:color w:val="0000EE"/>
                  <w:w w:val="97"/>
                </w:rPr>
                <w:t>COMPENSATION COMMITTEE REPORT</w:t>
              </w:r>
            </w:hyperlink>
          </w:p>
        </w:tc>
        <w:tc>
          <w:tcPr>
            <w:tcW w:w="4680" w:type="dxa"/>
            <w:vAlign w:val="bottom"/>
            <w:tcBorders>
              <w:bottom w:val="single" w:sz="8" w:color="CCEEFF"/>
            </w:tcBorders>
            <w:gridSpan w:val="19"/>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46</w:t>
              </w:r>
            </w:hyperlink>
          </w:p>
        </w:tc>
      </w:tr>
      <w:tr>
        <w:trPr>
          <w:trHeight w:val="250"/>
        </w:trPr>
        <w:tc>
          <w:tcPr>
            <w:tcW w:w="250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AUDIT COMMITTEE REPORT</w:t>
              </w:r>
            </w:hyperlink>
          </w:p>
        </w:tc>
        <w:tc>
          <w:tcPr>
            <w:tcW w:w="5520" w:type="dxa"/>
            <w:vAlign w:val="bottom"/>
            <w:gridSpan w:val="2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47</w:t>
              </w:r>
            </w:hyperlink>
          </w:p>
        </w:tc>
      </w:tr>
      <w:tr>
        <w:trPr>
          <w:trHeight w:val="250"/>
        </w:trPr>
        <w:tc>
          <w:tcPr>
            <w:tcW w:w="5280" w:type="dxa"/>
            <w:vAlign w:val="bottom"/>
            <w:tcBorders>
              <w:bottom w:val="single" w:sz="8" w:color="0000EE"/>
              <w:right w:val="single" w:sz="8" w:color="CCEEFF"/>
            </w:tcBorders>
            <w:gridSpan w:val="33"/>
            <w:shd w:val="clear" w:color="auto" w:fill="CCEEFF"/>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PROPOSALS TO BE VOTED UPON AT THE ANNUAL MEETING</w:t>
              </w:r>
            </w:hyperlink>
          </w:p>
        </w:tc>
        <w:tc>
          <w:tcPr>
            <w:tcW w:w="2740" w:type="dxa"/>
            <w:vAlign w:val="bottom"/>
            <w:tcBorders>
              <w:bottom w:val="single" w:sz="8" w:color="CCEEFF"/>
            </w:tcBorders>
            <w:gridSpan w:val="6"/>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48</w:t>
              </w:r>
            </w:hyperlink>
          </w:p>
        </w:tc>
      </w:tr>
      <w:tr>
        <w:trPr>
          <w:trHeight w:val="250"/>
        </w:trPr>
        <w:tc>
          <w:tcPr>
            <w:tcW w:w="180" w:type="dxa"/>
            <w:vAlign w:val="bottom"/>
          </w:tcPr>
          <w:p>
            <w:pPr>
              <w:spacing w:after="0"/>
              <w:rPr>
                <w:sz w:val="21"/>
                <w:szCs w:val="21"/>
                <w:color w:val="auto"/>
              </w:rPr>
            </w:pPr>
          </w:p>
        </w:tc>
        <w:tc>
          <w:tcPr>
            <w:tcW w:w="394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52">
              <w:r>
                <w:rPr>
                  <w:rFonts w:ascii="Arial" w:cs="Arial" w:eastAsia="Arial" w:hAnsi="Arial"/>
                  <w:sz w:val="18"/>
                  <w:szCs w:val="18"/>
                  <w:color w:val="0000EE"/>
                  <w:w w:val="96"/>
                </w:rPr>
                <w:t>Proposal 1: Election of Three (3) Class III Directors</w:t>
              </w:r>
            </w:hyperlink>
          </w:p>
        </w:tc>
        <w:tc>
          <w:tcPr>
            <w:tcW w:w="3900" w:type="dxa"/>
            <w:vAlign w:val="bottom"/>
            <w:gridSpan w:val="1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48</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0000EE"/>
            </w:tcBorders>
            <w:gridSpan w:val="36"/>
            <w:shd w:val="clear" w:color="auto" w:fill="CCEEFF"/>
          </w:tcPr>
          <w:p>
            <w:pPr>
              <w:spacing w:after="0"/>
              <w:rPr>
                <w:rFonts w:ascii="Arial" w:cs="Arial" w:eastAsia="Arial" w:hAnsi="Arial"/>
                <w:sz w:val="18"/>
                <w:szCs w:val="18"/>
                <w:color w:val="0000EE"/>
                <w:w w:val="96"/>
              </w:rPr>
            </w:pPr>
            <w:hyperlink w:anchor="page52">
              <w:r>
                <w:rPr>
                  <w:rFonts w:ascii="Arial" w:cs="Arial" w:eastAsia="Arial" w:hAnsi="Arial"/>
                  <w:sz w:val="18"/>
                  <w:szCs w:val="18"/>
                  <w:color w:val="0000EE"/>
                  <w:w w:val="96"/>
                </w:rPr>
                <w:t>Proposal 2: Ratification of the Appointment of Independent Registered Public Accounting Firm</w:t>
              </w:r>
            </w:hyperlink>
          </w:p>
        </w:tc>
        <w:tc>
          <w:tcPr>
            <w:tcW w:w="62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48</w:t>
              </w:r>
            </w:hyperlink>
          </w:p>
        </w:tc>
      </w:tr>
      <w:tr>
        <w:trPr>
          <w:trHeight w:val="250"/>
        </w:trPr>
        <w:tc>
          <w:tcPr>
            <w:tcW w:w="180" w:type="dxa"/>
            <w:vAlign w:val="bottom"/>
          </w:tcPr>
          <w:p>
            <w:pPr>
              <w:spacing w:after="0"/>
              <w:rPr>
                <w:sz w:val="21"/>
                <w:szCs w:val="21"/>
                <w:color w:val="auto"/>
              </w:rPr>
            </w:pPr>
          </w:p>
        </w:tc>
        <w:tc>
          <w:tcPr>
            <w:tcW w:w="7420" w:type="dxa"/>
            <w:vAlign w:val="bottom"/>
            <w:tcBorders>
              <w:bottom w:val="single" w:sz="8" w:color="0000EE"/>
            </w:tcBorders>
            <w:gridSpan w:val="37"/>
          </w:tcPr>
          <w:p>
            <w:pP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Proposal 3: Non-binding Advisory Vote on the Compensation of the Company’s Named Executive</w:t>
              </w:r>
            </w:hyperlink>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6"/>
        </w:trPr>
        <w:tc>
          <w:tcPr>
            <w:tcW w:w="180" w:type="dxa"/>
            <w:vAlign w:val="bottom"/>
          </w:tcPr>
          <w:p>
            <w:pPr>
              <w:spacing w:after="0"/>
              <w:rPr>
                <w:sz w:val="17"/>
                <w:szCs w:val="17"/>
                <w:color w:val="auto"/>
              </w:rPr>
            </w:pPr>
          </w:p>
        </w:tc>
        <w:tc>
          <w:tcPr>
            <w:tcW w:w="7840" w:type="dxa"/>
            <w:vAlign w:val="bottom"/>
            <w:gridSpan w:val="38"/>
          </w:tcPr>
          <w:p>
            <w:pPr>
              <w:ind w:left="180"/>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Officers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50</w:t>
              </w:r>
            </w:hyperlink>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7"/>
        </w:trPr>
        <w:tc>
          <w:tcPr>
            <w:tcW w:w="180" w:type="dxa"/>
            <w:vAlign w:val="bottom"/>
            <w:shd w:val="clear" w:color="auto" w:fill="CCEEFF"/>
          </w:tcPr>
          <w:p>
            <w:pPr>
              <w:spacing w:after="0"/>
              <w:rPr>
                <w:sz w:val="22"/>
                <w:szCs w:val="22"/>
                <w:color w:val="auto"/>
              </w:rPr>
            </w:pPr>
          </w:p>
        </w:tc>
        <w:tc>
          <w:tcPr>
            <w:tcW w:w="7840" w:type="dxa"/>
            <w:vAlign w:val="bottom"/>
            <w:gridSpan w:val="38"/>
            <w:shd w:val="clear" w:color="auto" w:fill="CCEEFF"/>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Proposal 4: Non-binding Advisory Vote on the Frequency of Future Advisory Votes on the</w:t>
              </w:r>
            </w:hyperlink>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16"/>
        </w:trPr>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4520" w:type="dxa"/>
            <w:vAlign w:val="bottom"/>
            <w:tcBorders>
              <w:top w:val="single" w:sz="8" w:color="0000EE"/>
              <w:bottom w:val="single" w:sz="8" w:color="0000EE"/>
            </w:tcBorders>
            <w:gridSpan w:val="28"/>
            <w:shd w:val="clear" w:color="auto" w:fill="CCEEFF"/>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Compensation of the Company’s Named Executive Officers</w:t>
              </w:r>
            </w:hyperlink>
          </w:p>
        </w:tc>
        <w:tc>
          <w:tcPr>
            <w:tcW w:w="212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102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80" w:type="dxa"/>
            <w:vAlign w:val="bottom"/>
            <w:tcBorders>
              <w:top w:val="single" w:sz="8" w:color="CCEEFF"/>
              <w:bottom w:val="single" w:sz="8" w:color="0000EE"/>
            </w:tcBorders>
            <w:gridSpan w:val="2"/>
            <w:shd w:val="clear" w:color="auto" w:fill="CCEEFF"/>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50</w:t>
              </w:r>
            </w:hyperlink>
          </w:p>
        </w:tc>
      </w:tr>
      <w:tr>
        <w:trPr>
          <w:trHeight w:val="257"/>
        </w:trPr>
        <w:tc>
          <w:tcPr>
            <w:tcW w:w="8020" w:type="dxa"/>
            <w:vAlign w:val="bottom"/>
            <w:gridSpan w:val="3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STOCK OWNERSHIP AND REPORTING</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52</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840" w:type="dxa"/>
            <w:vAlign w:val="bottom"/>
            <w:gridSpan w:val="38"/>
            <w:shd w:val="clear" w:color="auto" w:fill="CCEEFF"/>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Security Ownership of Certain Beneficial Owners and Management</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52</w:t>
              </w:r>
            </w:hyperlink>
          </w:p>
        </w:tc>
      </w:tr>
      <w:tr>
        <w:trPr>
          <w:trHeight w:val="250"/>
        </w:trPr>
        <w:tc>
          <w:tcPr>
            <w:tcW w:w="180" w:type="dxa"/>
            <w:vAlign w:val="bottom"/>
            <w:tcBorders>
              <w:top w:val="single" w:sz="8" w:color="CCEEFF"/>
            </w:tcBorders>
          </w:tcPr>
          <w:p>
            <w:pPr>
              <w:spacing w:after="0"/>
              <w:rPr>
                <w:sz w:val="21"/>
                <w:szCs w:val="21"/>
                <w:color w:val="auto"/>
              </w:rPr>
            </w:pPr>
          </w:p>
        </w:tc>
        <w:tc>
          <w:tcPr>
            <w:tcW w:w="5100" w:type="dxa"/>
            <w:vAlign w:val="bottom"/>
            <w:tcBorders>
              <w:top w:val="single" w:sz="8" w:color="0000EE"/>
            </w:tcBorders>
            <w:gridSpan w:val="3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Delinquent Section 16(a) Reports</w:t>
              </w:r>
            </w:hyperlink>
          </w:p>
        </w:tc>
        <w:tc>
          <w:tcPr>
            <w:tcW w:w="2740" w:type="dxa"/>
            <w:vAlign w:val="bottom"/>
            <w:tcBorders>
              <w:top w:val="single" w:sz="8" w:color="CCEEFF"/>
            </w:tcBorders>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54</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5000" w:type="dxa"/>
            <w:vAlign w:val="bottom"/>
            <w:tcBorders>
              <w:bottom w:val="single" w:sz="8" w:color="0000EE"/>
            </w:tcBorders>
            <w:gridSpan w:val="31"/>
            <w:shd w:val="clear" w:color="auto" w:fill="CCEEFF"/>
          </w:tcPr>
          <w:p>
            <w:pPr>
              <w:spacing w:after="0"/>
              <w:rPr>
                <w:rFonts w:ascii="Arial" w:cs="Arial" w:eastAsia="Arial" w:hAnsi="Arial"/>
                <w:sz w:val="18"/>
                <w:szCs w:val="18"/>
                <w:color w:val="0000EE"/>
                <w:w w:val="98"/>
              </w:rPr>
            </w:pPr>
            <w:hyperlink w:anchor="page59">
              <w:r>
                <w:rPr>
                  <w:rFonts w:ascii="Arial" w:cs="Arial" w:eastAsia="Arial" w:hAnsi="Arial"/>
                  <w:sz w:val="18"/>
                  <w:szCs w:val="18"/>
                  <w:color w:val="0000EE"/>
                  <w:w w:val="98"/>
                </w:rPr>
                <w:t>STOCKHOLDER PROPOSALS FOR 2022 ANNUAL MEETING</w:t>
              </w:r>
            </w:hyperlink>
          </w:p>
        </w:tc>
        <w:tc>
          <w:tcPr>
            <w:tcW w:w="3020" w:type="dxa"/>
            <w:vAlign w:val="bottom"/>
            <w:tcBorders>
              <w:bottom w:val="single" w:sz="8" w:color="CCEEFF"/>
            </w:tcBorders>
            <w:gridSpan w:val="8"/>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55</w:t>
              </w:r>
            </w:hyperlink>
          </w:p>
        </w:tc>
      </w:tr>
      <w:tr>
        <w:trPr>
          <w:trHeight w:val="250"/>
        </w:trPr>
        <w:tc>
          <w:tcPr>
            <w:tcW w:w="152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60">
              <w:r>
                <w:rPr>
                  <w:rFonts w:ascii="Arial" w:cs="Arial" w:eastAsia="Arial" w:hAnsi="Arial"/>
                  <w:sz w:val="18"/>
                  <w:szCs w:val="18"/>
                  <w:color w:val="0000EE"/>
                  <w:w w:val="97"/>
                </w:rPr>
                <w:t>OTHER MATTERS</w:t>
              </w:r>
            </w:hyperlink>
          </w:p>
        </w:tc>
        <w:tc>
          <w:tcPr>
            <w:tcW w:w="6500" w:type="dxa"/>
            <w:vAlign w:val="bottom"/>
            <w:gridSpan w:val="3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56</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Notice and Access</w:t>
              </w:r>
            </w:hyperlink>
          </w:p>
        </w:tc>
        <w:tc>
          <w:tcPr>
            <w:tcW w:w="6440" w:type="dxa"/>
            <w:vAlign w:val="bottom"/>
            <w:tcBorders>
              <w:bottom w:val="single" w:sz="8" w:color="CCEEFF"/>
            </w:tcBorders>
            <w:gridSpan w:val="34"/>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56</w:t>
              </w:r>
            </w:hyperlink>
          </w:p>
        </w:tc>
      </w:tr>
      <w:tr>
        <w:trPr>
          <w:trHeight w:val="250"/>
        </w:trPr>
        <w:tc>
          <w:tcPr>
            <w:tcW w:w="180" w:type="dxa"/>
            <w:vAlign w:val="bottom"/>
          </w:tcPr>
          <w:p>
            <w:pPr>
              <w:spacing w:after="0"/>
              <w:rPr>
                <w:sz w:val="21"/>
                <w:szCs w:val="21"/>
                <w:color w:val="auto"/>
              </w:rPr>
            </w:pPr>
          </w:p>
        </w:tc>
        <w:tc>
          <w:tcPr>
            <w:tcW w:w="330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Householding of Annual Meeting Materials</w:t>
              </w:r>
            </w:hyperlink>
          </w:p>
        </w:tc>
        <w:tc>
          <w:tcPr>
            <w:tcW w:w="4540" w:type="dxa"/>
            <w:vAlign w:val="bottom"/>
            <w:gridSpan w:val="1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56</w:t>
              </w:r>
            </w:hyperlink>
          </w:p>
        </w:tc>
      </w:tr>
      <w:tr>
        <w:trPr>
          <w:trHeight w:val="250"/>
        </w:trPr>
        <w:tc>
          <w:tcPr>
            <w:tcW w:w="2500" w:type="dxa"/>
            <w:vAlign w:val="bottom"/>
            <w:tcBorders>
              <w:bottom w:val="single" w:sz="8" w:color="0000EE"/>
              <w:right w:val="single" w:sz="8" w:color="CCEEFF"/>
            </w:tcBorders>
            <w:gridSpan w:val="13"/>
            <w:shd w:val="clear" w:color="auto" w:fill="CCEEFF"/>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ADDITIONAL INFORMATION</w:t>
              </w:r>
            </w:hyperlink>
          </w:p>
        </w:tc>
        <w:tc>
          <w:tcPr>
            <w:tcW w:w="5520" w:type="dxa"/>
            <w:vAlign w:val="bottom"/>
            <w:tcBorders>
              <w:bottom w:val="single" w:sz="8" w:color="CCEEFF"/>
            </w:tcBorders>
            <w:gridSpan w:val="26"/>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57</w:t>
              </w:r>
            </w:hyperlink>
          </w:p>
        </w:tc>
      </w:tr>
      <w:tr>
        <w:trPr>
          <w:trHeight w:val="250"/>
        </w:trPr>
        <w:tc>
          <w:tcPr>
            <w:tcW w:w="180" w:type="dxa"/>
            <w:vAlign w:val="bottom"/>
          </w:tcPr>
          <w:p>
            <w:pPr>
              <w:spacing w:after="0"/>
              <w:rPr>
                <w:sz w:val="21"/>
                <w:szCs w:val="21"/>
                <w:color w:val="auto"/>
              </w:rPr>
            </w:pPr>
          </w:p>
        </w:tc>
        <w:tc>
          <w:tcPr>
            <w:tcW w:w="224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61">
              <w:r>
                <w:rPr>
                  <w:rFonts w:ascii="Arial" w:cs="Arial" w:eastAsia="Arial" w:hAnsi="Arial"/>
                  <w:sz w:val="18"/>
                  <w:szCs w:val="18"/>
                  <w:color w:val="0000EE"/>
                  <w:w w:val="96"/>
                </w:rPr>
                <w:t>Annual Report on Form 10-K</w:t>
              </w:r>
            </w:hyperlink>
          </w:p>
        </w:tc>
        <w:tc>
          <w:tcPr>
            <w:tcW w:w="5600" w:type="dxa"/>
            <w:vAlign w:val="bottom"/>
            <w:gridSpan w:val="2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57</w:t>
              </w:r>
            </w:hyperlink>
          </w:p>
        </w:tc>
      </w:tr>
    </w:tbl>
    <w:p>
      <w:pPr>
        <w:spacing w:after="0" w:line="37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860"/>
        <w:spacing w:after="0"/>
        <w:rPr>
          <w:sz w:val="20"/>
          <w:szCs w:val="20"/>
          <w:color w:val="auto"/>
        </w:rPr>
      </w:pPr>
      <w:r>
        <w:rPr>
          <w:rFonts w:ascii="Arial" w:cs="Arial" w:eastAsia="Arial" w:hAnsi="Arial"/>
          <w:sz w:val="22"/>
          <w:szCs w:val="22"/>
          <w:b w:val="1"/>
          <w:bCs w:val="1"/>
          <w:color w:val="auto"/>
        </w:rPr>
        <w:t>Y-MABS THERAPEUTICS, INC.</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230 Park Avenue, Suite 3350</w:t>
      </w:r>
    </w:p>
    <w:p>
      <w:pPr>
        <w:spacing w:after="0" w:line="1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New York, New York 10169</w:t>
      </w:r>
    </w:p>
    <w:p>
      <w:pPr>
        <w:spacing w:after="0" w:line="19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Stockholder:</w:t>
      </w:r>
    </w:p>
    <w:p>
      <w:pPr>
        <w:spacing w:after="0" w:line="144"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 2021 Annual Meeting of Stockholders (the “Annual Meeting”) of Y-mAbs Therapeutics, Inc., will be held on Thursday, June 10, 2021 at 10:00 a.m., Eastern Time, virtually at the following website: https://web.lumiagm.com/257688918 (password: ymabs2021), and can be accessed by entering the 11-digit control number included on the proxy card. We recommend that you log in a few minutes before the Annual Meeting begins to ensure you are logged in when the meeting starts. The following items of business will be brought before the Stockholders at the Annual Meeting:</w:t>
      </w:r>
    </w:p>
    <w:p>
      <w:pPr>
        <w:spacing w:after="0" w:line="122" w:lineRule="exact"/>
        <w:rPr>
          <w:sz w:val="20"/>
          <w:szCs w:val="20"/>
          <w:color w:val="auto"/>
        </w:rPr>
      </w:pPr>
    </w:p>
    <w:p>
      <w:pPr>
        <w:ind w:left="1980" w:right="479" w:hanging="360"/>
        <w:spacing w:after="0" w:line="279" w:lineRule="auto"/>
        <w:tabs>
          <w:tab w:leader="none" w:pos="1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elect three (3) Class III directors, Thomas Gad, Claus Juan Møller-San Pedro, M.D., PhD., and Johan Wedell-Wedellsborg, each nominated by our Board of Directors to serve for a three (3) year term to expire at the 2024 annual meeting of stockholders, each such nominee to hold office until his successor has been duly elected and qualified or until his earlier death, resignation or removal;</w:t>
      </w:r>
    </w:p>
    <w:p>
      <w:pPr>
        <w:spacing w:after="0" w:line="90" w:lineRule="exact"/>
        <w:rPr>
          <w:rFonts w:ascii="Arial" w:cs="Arial" w:eastAsia="Arial" w:hAnsi="Arial"/>
          <w:sz w:val="17"/>
          <w:szCs w:val="17"/>
          <w:color w:val="auto"/>
        </w:rPr>
      </w:pPr>
    </w:p>
    <w:p>
      <w:pPr>
        <w:ind w:left="1980" w:right="959" w:hanging="360"/>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PricewaterhouseCoopers LLP as our independent registered public accounting firm for the fiscal year ending December 31, 2021;</w:t>
      </w:r>
    </w:p>
    <w:p>
      <w:pPr>
        <w:spacing w:after="0" w:line="89" w:lineRule="exact"/>
        <w:rPr>
          <w:rFonts w:ascii="Arial" w:cs="Arial" w:eastAsia="Arial" w:hAnsi="Arial"/>
          <w:sz w:val="18"/>
          <w:szCs w:val="18"/>
          <w:color w:val="auto"/>
        </w:rPr>
      </w:pPr>
    </w:p>
    <w:p>
      <w:pPr>
        <w:ind w:left="1980" w:right="579" w:hanging="360"/>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 non-binding advisory vote on the compensation of the Company’s named executive officers as disclosed in these proxy materials;</w:t>
      </w:r>
    </w:p>
    <w:p>
      <w:pPr>
        <w:spacing w:after="0" w:line="89" w:lineRule="exact"/>
        <w:rPr>
          <w:rFonts w:ascii="Arial" w:cs="Arial" w:eastAsia="Arial" w:hAnsi="Arial"/>
          <w:sz w:val="18"/>
          <w:szCs w:val="18"/>
          <w:color w:val="auto"/>
        </w:rPr>
      </w:pPr>
    </w:p>
    <w:p>
      <w:pPr>
        <w:ind w:left="1980" w:right="1199" w:hanging="360"/>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 non-binding advisory vote on the frequency of future advisory votes on the compensation of the Company’s named executive officers; and</w:t>
      </w:r>
    </w:p>
    <w:p>
      <w:pPr>
        <w:spacing w:after="0" w:line="102" w:lineRule="exact"/>
        <w:rPr>
          <w:rFonts w:ascii="Arial" w:cs="Arial" w:eastAsia="Arial" w:hAnsi="Arial"/>
          <w:sz w:val="18"/>
          <w:szCs w:val="18"/>
          <w:color w:val="auto"/>
        </w:rPr>
      </w:pPr>
    </w:p>
    <w:p>
      <w:pPr>
        <w:ind w:left="1980" w:right="1239" w:hanging="360"/>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thereof.</w:t>
      </w:r>
    </w:p>
    <w:p>
      <w:pPr>
        <w:spacing w:after="0" w:line="89" w:lineRule="exact"/>
        <w:rPr>
          <w:sz w:val="20"/>
          <w:szCs w:val="20"/>
          <w:color w:val="auto"/>
        </w:rPr>
      </w:pPr>
    </w:p>
    <w:p>
      <w:pPr>
        <w:jc w:val="both"/>
        <w:ind w:left="1260" w:right="659" w:firstLine="360"/>
        <w:spacing w:after="0" w:line="270" w:lineRule="auto"/>
        <w:rPr>
          <w:sz w:val="20"/>
          <w:szCs w:val="20"/>
          <w:color w:val="auto"/>
        </w:rPr>
      </w:pPr>
      <w:r>
        <w:rPr>
          <w:rFonts w:ascii="Arial" w:cs="Arial" w:eastAsia="Arial" w:hAnsi="Arial"/>
          <w:sz w:val="17"/>
          <w:szCs w:val="17"/>
          <w:color w:val="auto"/>
        </w:rPr>
        <w:t xml:space="preserve">The Annual Meeting is being held entirely online due to the public health impact of the coronavirus pandemic (“COVID-19”) and to allow us to continue to proceed with the meeting while mitigating health and safety risks to participants. </w:t>
      </w:r>
      <w:r>
        <w:rPr>
          <w:rFonts w:ascii="Arial" w:cs="Arial" w:eastAsia="Arial" w:hAnsi="Arial"/>
          <w:sz w:val="17"/>
          <w:szCs w:val="17"/>
          <w:b w:val="1"/>
          <w:bCs w:val="1"/>
          <w:color w:val="auto"/>
        </w:rPr>
        <w:t>You will not be able to attend the Annual Meeting in person.</w:t>
      </w:r>
    </w:p>
    <w:p>
      <w:pPr>
        <w:spacing w:after="0" w:line="96"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The foregoing items of business are more fully described in the attached proxy statement, which forms a part of this notice and is incorporated herein by reference. Our board of directors has fixed the close of business on April 16, 2021 as the record date for the determination of stockholders entitled to notice of and to vote at the annual meeting or any adjournment or postponement thereof.</w:t>
      </w:r>
    </w:p>
    <w:p>
      <w:pPr>
        <w:spacing w:after="0" w:line="120"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We have elected to take advantage of U.S. Securities and Exchange Commission (“SEC”)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that is being sent to you.</w:t>
      </w:r>
    </w:p>
    <w:p>
      <w:pPr>
        <w:spacing w:after="0" w:line="106"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6"/>
          <w:szCs w:val="16"/>
          <w:b w:val="1"/>
          <w:bCs w:val="1"/>
          <w:color w:val="auto"/>
        </w:rPr>
        <w:t>YOUR VOTE IS IMPORTANT. Whether or not you expect to attend our virtual Annual Meeting, please vote as soon as possible. If you received the Notice of Internet Availability, a proxy card was not sent to you and you may vote only via the Internet unless you attend the annual meeting virtually, in which case you will be able to vote via live webcast at https://web.lumiagm.com/257688918 (password: ymabs2021), or request that a proxy card and proxy materials be mailed to you. If you have requested that a proxy card and proxy materials be mailed to you, and you have received those materials, then you may vote via the Internet, by telephone or by mailing a completed proxy card. For specific voting instructions, please refer to the information provided in the accompanying Proxy Statement and in the Notice of Internet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573405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To vote shares, submit questions, or access the virtual meeting, stockholders will need to enter the 11-digit control number appearing on the Notice of Internet Availability, voting instruction form, or paper proxy card. Guests without a control number may also attend the meeting, but will not be permitted to vote or submit questions.</w:t>
      </w:r>
    </w:p>
    <w:p>
      <w:pPr>
        <w:spacing w:after="0" w:line="106"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We urge stockholders to vote and submit proxies in advance of the meeting by one of the methods described in the proxy materials for the Annual Meeting. Stockholders who have sent in proxies or voted via telephone or internet do not need to take any further action. Any stockholder who has not yet voted on the day of the Annual Meeting may do so by clicking on the voting button on the virtual Annual Meeting website and following the applicable voting instructions. You may revoke your proxy in the manner described in the 2021 Proxy Statement at any time before it has been voted at the Annual Meeting.</w:t>
      </w:r>
    </w:p>
    <w:p>
      <w:pPr>
        <w:spacing w:after="0" w:line="106" w:lineRule="exact"/>
        <w:rPr>
          <w:sz w:val="20"/>
          <w:szCs w:val="20"/>
          <w:color w:val="auto"/>
        </w:rPr>
      </w:pPr>
    </w:p>
    <w:p>
      <w:pPr>
        <w:ind w:left="1260" w:right="459" w:firstLine="36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10, 2021:</w:t>
      </w:r>
    </w:p>
    <w:p>
      <w:pPr>
        <w:spacing w:after="0" w:line="98"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 xml:space="preserve">This notice of annual meeting, the proxy statement and our Annual Report on Form 10-K for the fiscal year ended December 31, 2020, as filed with the SEC, except for exhibits (the “Annual Report”), are available for viewing, printing and downloading at </w:t>
      </w:r>
      <w:r>
        <w:rPr>
          <w:rFonts w:ascii="Arial" w:cs="Arial" w:eastAsia="Arial" w:hAnsi="Arial"/>
          <w:sz w:val="18"/>
          <w:szCs w:val="18"/>
          <w:i w:val="1"/>
          <w:iCs w:val="1"/>
          <w:color w:val="auto"/>
        </w:rPr>
        <w:t>www.astproxyportal.com/ast/22412</w:t>
      </w:r>
      <w:r>
        <w:rPr>
          <w:rFonts w:ascii="Arial" w:cs="Arial" w:eastAsia="Arial" w:hAnsi="Arial"/>
          <w:sz w:val="18"/>
          <w:szCs w:val="18"/>
          <w:color w:val="auto"/>
        </w:rPr>
        <w:t>.</w:t>
      </w:r>
    </w:p>
    <w:p>
      <w:pPr>
        <w:spacing w:after="0" w:line="99" w:lineRule="exact"/>
        <w:rPr>
          <w:sz w:val="20"/>
          <w:szCs w:val="20"/>
          <w:color w:val="auto"/>
        </w:rPr>
      </w:pPr>
    </w:p>
    <w:p>
      <w:pPr>
        <w:ind w:left="1260" w:right="419" w:firstLine="360"/>
        <w:spacing w:after="0" w:line="303" w:lineRule="auto"/>
        <w:rPr>
          <w:sz w:val="20"/>
          <w:szCs w:val="20"/>
          <w:color w:val="auto"/>
        </w:rPr>
      </w:pPr>
      <w:r>
        <w:rPr>
          <w:rFonts w:ascii="Arial" w:cs="Arial" w:eastAsia="Arial" w:hAnsi="Arial"/>
          <w:sz w:val="16"/>
          <w:szCs w:val="16"/>
          <w:b w:val="1"/>
          <w:bCs w:val="1"/>
          <w:color w:val="auto"/>
        </w:rPr>
        <w:t xml:space="preserve">A copy of our Annual Report will be furnished without charge to any stockholder upon written or oral request to Y-mAbs Therapeutics, Inc., 230 Park Avenue, Suite 3350, New York, New York 10169, Attention: Investor Relations. This proxy statement and our Annual Report on Form 10-K for the fiscal year December 31, 2020 as filed with the SEC, with exhibits, are also available on the SEC’s website at </w:t>
      </w:r>
      <w:r>
        <w:rPr>
          <w:rFonts w:ascii="Arial" w:cs="Arial" w:eastAsia="Arial" w:hAnsi="Arial"/>
          <w:sz w:val="16"/>
          <w:szCs w:val="16"/>
          <w:b w:val="1"/>
          <w:bCs w:val="1"/>
          <w:i w:val="1"/>
          <w:iCs w:val="1"/>
          <w:color w:val="auto"/>
        </w:rPr>
        <w:t>www.sec.gov.</w:t>
      </w:r>
    </w:p>
    <w:p>
      <w:pPr>
        <w:spacing w:after="0" w:line="87"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We are making this proxy statement, the related proxy card and our Annual Report available to stockholders for the first time on or about April 28, 2021.</w:t>
      </w:r>
    </w:p>
    <w:p>
      <w:pPr>
        <w:spacing w:after="0" w:line="103"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 xml:space="preserve">We have fully set forth the proposals in the accompanying proxy statement, which you are urged to read thoroughly. For the reasons set forth in the proxy statement, our Board of Directors recommends a vote </w:t>
      </w:r>
      <w:r>
        <w:rPr>
          <w:rFonts w:ascii="Arial" w:cs="Arial" w:eastAsia="Arial" w:hAnsi="Arial"/>
          <w:sz w:val="17"/>
          <w:szCs w:val="17"/>
          <w:b w:val="1"/>
          <w:bCs w:val="1"/>
          <w:color w:val="auto"/>
        </w:rPr>
        <w:t>FOR</w:t>
      </w:r>
      <w:r>
        <w:rPr>
          <w:rFonts w:ascii="Arial" w:cs="Arial" w:eastAsia="Arial" w:hAnsi="Arial"/>
          <w:sz w:val="17"/>
          <w:szCs w:val="17"/>
          <w:color w:val="auto"/>
        </w:rPr>
        <w:t>: (1) the nominees to the Board listed on the proxy card (Proposal No.1); (2) the ratification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appointment of the Company’s independent Registered Public Accounting Firm for 2021 (Proposal No. 2);</w:t>
      </w:r>
    </w:p>
    <w:p>
      <w:pPr>
        <w:spacing w:after="0" w:line="2" w:lineRule="exact"/>
        <w:rPr>
          <w:sz w:val="20"/>
          <w:szCs w:val="20"/>
          <w:color w:val="auto"/>
        </w:rPr>
      </w:pPr>
    </w:p>
    <w:p>
      <w:pPr>
        <w:jc w:val="both"/>
        <w:ind w:left="1260" w:right="959"/>
        <w:spacing w:after="0" w:line="255" w:lineRule="auto"/>
        <w:tabs>
          <w:tab w:leader="none" w:pos="1529"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on an advisory basis, of the executive compensation program for the Company’s named executive officers (Proposal No. 3); and (4) approval of the Company conducting an advisory vote on executive compensation annually (Proposal No. 4).</w:t>
      </w:r>
    </w:p>
    <w:p>
      <w:pPr>
        <w:spacing w:after="0" w:line="10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40640</wp:posOffset>
            </wp:positionV>
            <wp:extent cx="994410" cy="3340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441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Thomas Gad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Founder, Chairman, President and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7"/>
          <w:szCs w:val="17"/>
          <w:i w:val="1"/>
          <w:iCs w:val="1"/>
          <w:color w:val="auto"/>
        </w:rPr>
        <w:t>Head of Business Development and Strategy</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April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2343150</wp:posOffset>
            </wp:positionH>
            <wp:positionV relativeFrom="paragraph">
              <wp:posOffset>494665</wp:posOffset>
            </wp:positionV>
            <wp:extent cx="2134235" cy="557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423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Y-MABS THERAPEUTICS, INC.</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230 PARK AVENUE, SUITE 3350</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NEW YORK, NY 10169</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(646) 885-8505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108585</wp:posOffset>
            </wp:positionV>
            <wp:extent cx="12344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TO BE HELD ON JUNE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108585</wp:posOffset>
            </wp:positionV>
            <wp:extent cx="12344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6"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We are furnishing this proxy statement in connection with the solicitation by our Board of Directors of proxies to be used at the Annual Meeting of Stockholders (the “Annual Meeting”) to be held on Thursday, June 10, 2021, at 10:00 a.m. Eastern Time, virtually via live webcast at https://web.lumiagm.com/257688918 (password: ymabs2021), and which can be accessed by entering the</w:t>
      </w:r>
    </w:p>
    <w:p>
      <w:pPr>
        <w:spacing w:after="0" w:line="2"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11-digit control number included on the proxy card, and at any meeting following adjournment thereof. We recommend that you log in a few minutes before the Annual Meeting begins to ensure you are logged in when the meeting starts. The Annual Meeting is being held entirely online due to the public health impact of the coronavirus pandemic (“COVID-19”) and to allow us to continue to proceed with the meeting while mitigating the health and safety risks to participants. You will not be able to attend the Annual Meeting in person.</w:t>
      </w:r>
    </w:p>
    <w:p>
      <w:pPr>
        <w:spacing w:after="0" w:line="126"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Annual Meeting of Stockholders. You may revoke your proxy at any time before it is exercised at the Annual Meeting by giving our Secretary written notice to that effect.</w:t>
      </w:r>
    </w:p>
    <w:p>
      <w:pPr>
        <w:spacing w:after="0" w:line="120"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We are providing access to our proxy materials online under the U.S. Securities and Exchange Commission’s (“SEC”) “notice and access” rules. As a result, we are mailing to many of our stockholders a Notice of Internet Availability of Proxy Materials (the “Notice of Internet Availability”) instead of a paper copy of this proxy statement and our Annual Report.</w:t>
      </w:r>
    </w:p>
    <w:p>
      <w:pPr>
        <w:spacing w:after="0" w:line="106"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The Notice of Internet Availability will be mailed to our stockholders on or about April 28, 2021. The Notice of Internet Availability contains instructions on how to access documents online. Utilizing this method of delivery expedites receipt of proxy materials by our stockholders and lowers the cost of the Annual Meeting. The Notice of Internet Availability also contains instructions on how stockholders can receive a paper copy of our materials, including this proxy statement, our Annual Report, and a form of proxy card or voting instruction card. Those who do not receive the Notice of Internet Availability, including stockholders who have previously requested to receive paper copies of proxy materials, will receive a paper copy by mail unless they have previously requested delivery of materials electronically.</w:t>
      </w:r>
    </w:p>
    <w:p>
      <w:pPr>
        <w:spacing w:after="0" w:line="111"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The Notice of Annual Meeting of Stockholders, this proxy statement and the accompanying proxy card are first being distributed and made available to stockholders on or about April 28, 2021. In addition, our proxy materials will be posted on both our corporate website https://ir.ymabs.com/financial-information/ annual-reports, as well as on the website referenced in the Notice of Internet Availability.</w:t>
      </w:r>
    </w:p>
    <w:p>
      <w:pPr>
        <w:spacing w:after="0" w:line="100"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b w:val="1"/>
          <w:bCs w:val="1"/>
          <w:color w:val="auto"/>
        </w:rPr>
        <w:t xml:space="preserve">A copy of our Annual Report on Form 10-K for the fiscal year ended December 31, 2020, as filed with the SEC, except for exhibits (the “Annual Report”), will be furnished without charge to any stockholder upon written request to Y-mAbs Therapeutics, Inc., 230 Park Avenue, Suite 3350, New York, New York 10169, Attention: Investor Relations. This proxy statement and our Annual Report on Form 10-K for the fiscal year ended December 31, 2020 as filed with the SEC, with exhibits, are also available on the SEC’s website at </w:t>
      </w:r>
      <w:r>
        <w:rPr>
          <w:rFonts w:ascii="Arial" w:cs="Arial" w:eastAsia="Arial" w:hAnsi="Arial"/>
          <w:sz w:val="18"/>
          <w:szCs w:val="18"/>
          <w:b w:val="1"/>
          <w:bCs w:val="1"/>
          <w:i w:val="1"/>
          <w:iCs w:val="1"/>
          <w:color w:val="auto"/>
        </w:rPr>
        <w:t>www.sec.gov</w:t>
      </w:r>
      <w:r>
        <w:rPr>
          <w:rFonts w:ascii="Arial" w:cs="Arial" w:eastAsia="Arial" w:hAnsi="Arial"/>
          <w:sz w:val="18"/>
          <w:szCs w:val="18"/>
          <w:b w:val="1"/>
          <w:bCs w:val="1"/>
          <w:color w:val="auto"/>
        </w:rPr>
        <w:t>.</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207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right"/>
        <w:ind w:right="2139"/>
        <w:spacing w:after="0"/>
        <w:rPr>
          <w:sz w:val="20"/>
          <w:szCs w:val="20"/>
          <w:color w:val="auto"/>
        </w:rPr>
      </w:pPr>
      <w:r>
        <w:rPr>
          <w:rFonts w:ascii="Arial" w:cs="Arial" w:eastAsia="Arial" w:hAnsi="Arial"/>
          <w:sz w:val="18"/>
          <w:szCs w:val="18"/>
          <w:b w:val="1"/>
          <w:bCs w:val="1"/>
          <w:color w:val="auto"/>
        </w:rPr>
        <w:t>the Annual Meeting of Stockholders to be Held on June 10, 2021:</w:t>
      </w:r>
    </w:p>
    <w:p>
      <w:pPr>
        <w:spacing w:after="0" w:line="207" w:lineRule="exact"/>
        <w:rPr>
          <w:sz w:val="20"/>
          <w:szCs w:val="20"/>
          <w:color w:val="auto"/>
        </w:rPr>
      </w:pPr>
    </w:p>
    <w:p>
      <w:pPr>
        <w:ind w:left="2240" w:right="1379" w:firstLine="200"/>
        <w:spacing w:after="0" w:line="386" w:lineRule="auto"/>
        <w:rPr>
          <w:sz w:val="20"/>
          <w:szCs w:val="20"/>
          <w:color w:val="auto"/>
        </w:rPr>
      </w:pPr>
      <w:r>
        <w:rPr>
          <w:rFonts w:ascii="Arial" w:cs="Arial" w:eastAsia="Arial" w:hAnsi="Arial"/>
          <w:sz w:val="15"/>
          <w:szCs w:val="15"/>
          <w:b w:val="1"/>
          <w:bCs w:val="1"/>
          <w:color w:val="auto"/>
        </w:rPr>
        <w:t xml:space="preserve">The Notice of Annual Meeting, this proxy statement and the Annual Report are available for viewing, printing and downloading at </w:t>
      </w:r>
      <w:r>
        <w:rPr>
          <w:rFonts w:ascii="Arial" w:cs="Arial" w:eastAsia="Arial" w:hAnsi="Arial"/>
          <w:sz w:val="15"/>
          <w:szCs w:val="15"/>
          <w:b w:val="1"/>
          <w:bCs w:val="1"/>
          <w:i w:val="1"/>
          <w:iCs w:val="1"/>
          <w:color w:val="auto"/>
        </w:rPr>
        <w:t>www.astproxyportal.com/ast/22412.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148"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 shares.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is the Annual Meeting being held virtually this year?</w:t>
      </w:r>
    </w:p>
    <w:p>
      <w:pPr>
        <w:spacing w:after="0" w:line="162"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The Annual Meeting is being held virtually this year because of the coronavirus pandemic (“COVID-19”) and various restrictions related to large gatherings, along with our desire to protect the health and well-being of our stockholders, directors and employees.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attend the virtual Annual Meeting?</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You may attend and participate in the Annual Meeting virtually online at: https://web.lumiagm.com/</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257688918 (password: ymabs2021). You will not be able to attend the Annual Meeting in person.</w:t>
      </w:r>
    </w:p>
    <w:p>
      <w:pPr>
        <w:spacing w:after="0" w:line="130"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To attend and participate in the virtual Annual Meeting, you will need the 11-digit control number included in your proxy card or on the instructions that accompanied your proxy materials. If you lose your 11-digit control number, you may join the Annual Meeting as a “Guest” but you will not be able to vote, ask questions or access the list of stockholders as of the Record Date. The meeting webcast will begin promptly at 10:00 a.m. Eastern Time. We encourage you to access the meeting prior to the start time. Online check-in will begin at 9:45 a.m. Eastern Time, and you should allow ample time for the check-in procedures.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ask questions at the virtual Annual Meeting?</w:t>
      </w:r>
    </w:p>
    <w:p>
      <w:pPr>
        <w:spacing w:after="0" w:line="162"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We will hold a live question and answer session in connection with the annual meeting. Stockholders may submit questions via our virtual stockholder meeting website at https://web.lumiagm.com/257688918 (password: ymabs2021). We intend to answer properly submitted questions that are pertinent to the Company and the meeting matters, as time permits. However, we reserve the right to edit profanity or other inappropriate language, or to exclude questions that are not pertinent to meeting matters or that are otherwise inappropriate. Questions and answers will be grouped by topic and substantially similar questions will be grouped and answered once.</w:t>
      </w:r>
    </w:p>
    <w:p>
      <w:pPr>
        <w:spacing w:after="0" w:line="173" w:lineRule="exact"/>
        <w:rPr>
          <w:sz w:val="20"/>
          <w:szCs w:val="20"/>
          <w:color w:val="auto"/>
        </w:rPr>
      </w:pPr>
    </w:p>
    <w:p>
      <w:pPr>
        <w:ind w:left="1260" w:right="479"/>
        <w:spacing w:after="0" w:line="282" w:lineRule="auto"/>
        <w:rPr>
          <w:sz w:val="20"/>
          <w:szCs w:val="20"/>
          <w:color w:val="auto"/>
        </w:rPr>
      </w:pPr>
      <w:r>
        <w:rPr>
          <w:rFonts w:ascii="Arial" w:cs="Arial" w:eastAsia="Arial" w:hAnsi="Arial"/>
          <w:sz w:val="18"/>
          <w:szCs w:val="18"/>
          <w:b w:val="1"/>
          <w:bCs w:val="1"/>
          <w:color w:val="auto"/>
        </w:rPr>
        <w:t>What if during the check-in time or during the Annual Meeting I have technical difficulties or trouble accessing the virtual meeting website?</w:t>
      </w:r>
    </w:p>
    <w:p>
      <w:pPr>
        <w:spacing w:after="0" w:line="9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p>
    <w:p>
      <w:pPr>
        <w:spacing w:after="0" w:line="183" w:lineRule="exact"/>
        <w:rPr>
          <w:sz w:val="20"/>
          <w:szCs w:val="20"/>
          <w:color w:val="auto"/>
        </w:rPr>
      </w:pPr>
    </w:p>
    <w:p>
      <w:pPr>
        <w:ind w:left="1260" w:right="519"/>
        <w:spacing w:after="0" w:line="282" w:lineRule="auto"/>
        <w:rPr>
          <w:sz w:val="20"/>
          <w:szCs w:val="20"/>
          <w:color w:val="auto"/>
        </w:rPr>
      </w:pPr>
      <w:r>
        <w:rPr>
          <w:rFonts w:ascii="Arial" w:cs="Arial" w:eastAsia="Arial" w:hAnsi="Arial"/>
          <w:sz w:val="18"/>
          <w:szCs w:val="18"/>
          <w:b w:val="1"/>
          <w:bCs w:val="1"/>
          <w:color w:val="auto"/>
        </w:rPr>
        <w:t>Why did I receive a one-page notice in the mail regarding the Internet availability of proxy materials instead of a full set of proxy materials?</w:t>
      </w:r>
    </w:p>
    <w:p>
      <w:pPr>
        <w:spacing w:after="0" w:line="85"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Notice and Access Rules adopted by the SEC allow companies to choose the method for delivering proxy materials to stockholders. We have elected this year to use the Notice and Access Rules and, therefore, to mail the one-page Notice of Internet Availability regarding the availability of proxy materials on the Internet instead of sending a full set of proxy materials in the mail to our stockholders. This Notice of Internet Availability will be mailed to our stockholders on or about April 28, 2021, and our proxy materials will be posted on both our corporate website at https://ir.ymabs.com/financial-information/annual-reports, the website referenced in the Notice of Internet Availability as well at www.astproxyportal.com/AST/22412 on the same day. Utilizing this method of delivery expedites receipt of proxy materials by our stockholders and lowers the cost of the annual meeting. If you are a stockholder and would like to receive a paper or email copy of the proxy materials, you should follow the instructions in the Notice of Internet Availability for requesting copies.</w:t>
      </w:r>
    </w:p>
    <w:p>
      <w:pPr>
        <w:spacing w:after="0" w:line="38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am I receiving these materials?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Board of Directors is providing these proxy materials to you in connection with our Board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Directors’ solicitation of proxies for use at the Company’s Annual Meeting, which will take place 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June 10, 2021. Stockholders are invited to attend the Annual Meeting virtually and are requested to vote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xml:space="preserve">the proposals described in this Proxy Statement. </w:t>
      </w:r>
      <w:r>
        <w:rPr>
          <w:rFonts w:ascii="Arial" w:cs="Arial" w:eastAsia="Arial" w:hAnsi="Arial"/>
          <w:sz w:val="16"/>
          <w:szCs w:val="16"/>
          <w:b w:val="1"/>
          <w:bCs w:val="1"/>
          <w:color w:val="auto"/>
        </w:rPr>
        <w:t>You will not be able to attend the Annual Meeting in person.</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are four (4) proposals scheduled to be voted on at the Annual Meeting:</w:t>
      </w:r>
    </w:p>
    <w:p>
      <w:pPr>
        <w:spacing w:after="0" w:line="117" w:lineRule="exact"/>
        <w:rPr>
          <w:sz w:val="20"/>
          <w:szCs w:val="20"/>
          <w:color w:val="auto"/>
        </w:rPr>
      </w:pPr>
    </w:p>
    <w:p>
      <w:pPr>
        <w:ind w:left="1800" w:right="519" w:hanging="180"/>
        <w:spacing w:after="0" w:line="274" w:lineRule="auto"/>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election of three (3) Class III directors, Thomas Gad, Claus Juan Møller-San Pedro, M.D., PhD., and Johan Wedell-Wedellsborg each nominated by our Board of Directors to serve for a three</w:t>
      </w:r>
    </w:p>
    <w:p>
      <w:pPr>
        <w:ind w:left="1800" w:right="499"/>
        <w:spacing w:after="0" w:line="255" w:lineRule="auto"/>
        <w:rPr>
          <w:rFonts w:ascii="Arial" w:cs="Arial" w:eastAsia="Arial" w:hAnsi="Arial"/>
          <w:sz w:val="17"/>
          <w:szCs w:val="17"/>
          <w:color w:val="auto"/>
        </w:rPr>
      </w:pPr>
      <w:r>
        <w:rPr>
          <w:rFonts w:ascii="Arial" w:cs="Arial" w:eastAsia="Arial" w:hAnsi="Arial"/>
          <w:sz w:val="18"/>
          <w:szCs w:val="18"/>
          <w:color w:val="auto"/>
        </w:rPr>
        <w:t>(3) year term to expire at the 2024 annual meeting of stockholders, each such nominee to hold office until his successor has been duly elected and qualified or until his earlier death, resignation or removal;</w:t>
      </w:r>
    </w:p>
    <w:p>
      <w:pPr>
        <w:spacing w:after="0" w:line="81" w:lineRule="exact"/>
        <w:rPr>
          <w:rFonts w:ascii="Arial" w:cs="Arial" w:eastAsia="Arial" w:hAnsi="Arial"/>
          <w:sz w:val="17"/>
          <w:szCs w:val="17"/>
          <w:color w:val="auto"/>
        </w:rPr>
      </w:pPr>
    </w:p>
    <w:p>
      <w:pPr>
        <w:ind w:left="1800" w:right="73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our independent registered public accounting firm for our fiscal year ending December 31, 2021;</w:t>
      </w:r>
    </w:p>
    <w:p>
      <w:pPr>
        <w:spacing w:after="0" w:line="62"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of a non-binding advisory vote on the compensation of the Company’s named executive officers as disclosed in these proxy materials; and</w:t>
      </w:r>
    </w:p>
    <w:p>
      <w:pPr>
        <w:spacing w:after="0" w:line="75" w:lineRule="exact"/>
        <w:rPr>
          <w:rFonts w:ascii="Arial" w:cs="Arial" w:eastAsia="Arial" w:hAnsi="Arial"/>
          <w:sz w:val="18"/>
          <w:szCs w:val="18"/>
          <w:color w:val="auto"/>
        </w:rPr>
      </w:pPr>
    </w:p>
    <w:p>
      <w:pPr>
        <w:ind w:left="1800" w:right="137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of a non-binding advisory vote on the frequency of future advisory votes on the compensation of the Company’s named executive officers.</w:t>
      </w:r>
    </w:p>
    <w:p>
      <w:pPr>
        <w:spacing w:after="0" w:line="8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At the time this proxy statement was made available, our management and Board of Directors were not aware of any other matters to be presented at the Annual Meeting other than those set forth in this proxy statement and in the notice accompanying this proxy statement.</w:t>
      </w:r>
    </w:p>
    <w:p>
      <w:pPr>
        <w:spacing w:after="0" w:line="180" w:lineRule="exact"/>
        <w:rPr>
          <w:sz w:val="20"/>
          <w:szCs w:val="20"/>
          <w:color w:val="auto"/>
        </w:rPr>
      </w:pPr>
    </w:p>
    <w:p>
      <w:pPr>
        <w:jc w:val="right"/>
        <w:ind w:right="4399"/>
        <w:spacing w:after="0"/>
        <w:rPr>
          <w:sz w:val="20"/>
          <w:szCs w:val="20"/>
          <w:color w:val="auto"/>
        </w:rPr>
      </w:pPr>
      <w:r>
        <w:rPr>
          <w:rFonts w:ascii="Arial" w:cs="Arial" w:eastAsia="Arial" w:hAnsi="Arial"/>
          <w:sz w:val="18"/>
          <w:szCs w:val="18"/>
          <w:b w:val="1"/>
          <w:bCs w:val="1"/>
          <w:color w:val="auto"/>
        </w:rPr>
        <w:t>How does our Board of Directors recommend that I vote?</w:t>
      </w:r>
    </w:p>
    <w:p>
      <w:pPr>
        <w:spacing w:after="0" w:line="16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Our Board of Directors recommends that you vote:</w:t>
      </w:r>
    </w:p>
    <w:p>
      <w:pPr>
        <w:spacing w:after="0" w:line="113" w:lineRule="exact"/>
        <w:rPr>
          <w:sz w:val="20"/>
          <w:szCs w:val="20"/>
          <w:color w:val="auto"/>
        </w:rPr>
      </w:pPr>
    </w:p>
    <w:p>
      <w:pPr>
        <w:ind w:left="1800" w:right="559" w:hanging="180"/>
        <w:spacing w:after="0" w:line="261"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three (3) directors nominated by our Board of Directors and named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as Class III directors to serve for a three (3) year term to expire at the 2024 annual meeting of stockholders, each such nominee to hold office until his successor has been duly elected and qualified or until his earlier death, resignation or removal;</w:t>
      </w:r>
    </w:p>
    <w:p>
      <w:pPr>
        <w:spacing w:after="0" w:line="71" w:lineRule="exact"/>
        <w:rPr>
          <w:rFonts w:ascii="Arial" w:cs="Arial" w:eastAsia="Arial" w:hAnsi="Arial"/>
          <w:sz w:val="18"/>
          <w:szCs w:val="18"/>
          <w:color w:val="auto"/>
        </w:rPr>
      </w:pPr>
    </w:p>
    <w:p>
      <w:pPr>
        <w:ind w:left="1800" w:right="1099" w:hanging="180"/>
        <w:spacing w:after="0" w:line="312" w:lineRule="auto"/>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appointment of PricewaterhouseCoopers LLP as our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public accounting firm for our fiscal year ending December 31, 2021;</w:t>
      </w:r>
    </w:p>
    <w:p>
      <w:pPr>
        <w:spacing w:after="0" w:line="31" w:lineRule="exact"/>
        <w:rPr>
          <w:rFonts w:ascii="Arial" w:cs="Arial" w:eastAsia="Arial" w:hAnsi="Arial"/>
          <w:sz w:val="17"/>
          <w:szCs w:val="17"/>
          <w:color w:val="auto"/>
        </w:rPr>
      </w:pPr>
    </w:p>
    <w:p>
      <w:pPr>
        <w:ind w:left="1800" w:right="719" w:hanging="180"/>
        <w:spacing w:after="0" w:line="282"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 non-binding advisory basis, of the Company’s executive compensation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disclosed in these proxy materials; and</w:t>
      </w:r>
    </w:p>
    <w:p>
      <w:pPr>
        <w:spacing w:after="0" w:line="53" w:lineRule="exact"/>
        <w:rPr>
          <w:rFonts w:ascii="Arial" w:cs="Arial" w:eastAsia="Arial" w:hAnsi="Arial"/>
          <w:sz w:val="18"/>
          <w:szCs w:val="18"/>
          <w:color w:val="auto"/>
        </w:rPr>
      </w:pPr>
    </w:p>
    <w:p>
      <w:pPr>
        <w:ind w:left="1800" w:right="719" w:hanging="180"/>
        <w:spacing w:after="0" w:line="282"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holding future advisory votes on the compensation of the Company’s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on an annual basis.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When is the record date for the Annual Meeting?</w:t>
      </w:r>
    </w:p>
    <w:p>
      <w:pPr>
        <w:spacing w:after="0" w:line="162"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The record date for determination of stockholders entitled to vote at the Annual Meeting is the close of business on April 16, 2021 (the “Record Date”).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62"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Holders of our common stock at the close of business on the Record Date are entitled to notice of, and to vote at, the Annual Meeting. Each stockholder is entitled to one (1) vote for each share of our common stock held as of the Record Date. As of the Record Date, there were 43,561,521 shares of our common stock outstanding and entitled to vote. Stockholders are not permitted to cumulate votes with respect to the election of directors. The shares you are entitled to vote include shares that are (1) held of record directly in</w:t>
      </w:r>
    </w:p>
    <w:p>
      <w:pPr>
        <w:spacing w:after="0" w:line="35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39"/>
        <w:spacing w:after="0" w:line="248" w:lineRule="auto"/>
        <w:rPr>
          <w:sz w:val="20"/>
          <w:szCs w:val="20"/>
          <w:color w:val="auto"/>
        </w:rPr>
      </w:pPr>
      <w:r>
        <w:rPr>
          <w:rFonts w:ascii="Arial" w:cs="Arial" w:eastAsia="Arial" w:hAnsi="Arial"/>
          <w:sz w:val="18"/>
          <w:szCs w:val="18"/>
          <w:color w:val="auto"/>
        </w:rPr>
        <w:t>your name and (2) held for you as the beneficial owner through a stockbroker, bank or other nominee. You will need to obtain your own Internet access if you choose to attend the Annual Meeting online and/or vote over the Internet.</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48" w:lineRule="exact"/>
        <w:rPr>
          <w:sz w:val="20"/>
          <w:szCs w:val="20"/>
          <w:color w:val="auto"/>
        </w:rPr>
      </w:pPr>
    </w:p>
    <w:p>
      <w:pPr>
        <w:ind w:left="1260" w:right="659" w:firstLine="360"/>
        <w:spacing w:after="0" w:line="241" w:lineRule="auto"/>
        <w:rPr>
          <w:sz w:val="20"/>
          <w:szCs w:val="20"/>
          <w:color w:val="auto"/>
        </w:rPr>
      </w:pPr>
      <w:r>
        <w:rPr>
          <w:rFonts w:ascii="Arial" w:cs="Arial" w:eastAsia="Arial" w:hAnsi="Arial"/>
          <w:sz w:val="18"/>
          <w:szCs w:val="18"/>
          <w:i w:val="1"/>
          <w:iCs w:val="1"/>
          <w:color w:val="auto"/>
        </w:rPr>
        <w:t xml:space="preserve">Stockholder of Record: Shares Registered in Your Name. </w:t>
      </w:r>
      <w:r>
        <w:rPr>
          <w:rFonts w:ascii="Arial" w:cs="Arial" w:eastAsia="Arial" w:hAnsi="Arial"/>
          <w:sz w:val="18"/>
          <w:szCs w:val="18"/>
          <w:color w:val="auto"/>
        </w:rPr>
        <w:t>If, at the close of business on the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Date, your shares were registered directly in your name with American Stock Transfer &amp; Trust Company, LLC (“AST”), our transfer agent, then you are considered the stockholder of record with respect to those shares. As the stockholder of record, you have the right to grant your voting proxy directly to the individuals listed on the proxy card or to vote virtually at the Annual Meeting.</w:t>
      </w:r>
    </w:p>
    <w:p>
      <w:pPr>
        <w:spacing w:after="0" w:line="122"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i w:val="1"/>
          <w:iCs w:val="1"/>
          <w:color w:val="auto"/>
        </w:rPr>
        <w:t xml:space="preserve">Beneficial Owners: Shares Registered in the Name of a Broker, Bank or Other Nominee. </w:t>
      </w:r>
      <w:r>
        <w:rPr>
          <w:rFonts w:ascii="Arial" w:cs="Arial" w:eastAsia="Arial" w:hAnsi="Arial"/>
          <w:sz w:val="17"/>
          <w:szCs w:val="17"/>
          <w:color w:val="auto"/>
        </w:rPr>
        <w:t>If, at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close of business on the Record Date, your shares were not held in your name, but rather in a stock brokerage account or by a bank or other nominee on your behalf, then you are considered the beneficial owner of shares held in “street name.”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For additional information, see “</w:t>
      </w:r>
      <w:r>
        <w:rPr>
          <w:rFonts w:ascii="Arial" w:cs="Arial" w:eastAsia="Arial" w:hAnsi="Arial"/>
          <w:sz w:val="17"/>
          <w:szCs w:val="17"/>
          <w:i w:val="1"/>
          <w:iCs w:val="1"/>
          <w:color w:val="auto"/>
        </w:rPr>
        <w:t>What if I do not specify how my shares are to be voted?</w:t>
      </w:r>
      <w:r>
        <w:rPr>
          <w:rFonts w:ascii="Arial" w:cs="Arial" w:eastAsia="Arial" w:hAnsi="Arial"/>
          <w:sz w:val="17"/>
          <w:szCs w:val="17"/>
          <w:color w:val="auto"/>
        </w:rPr>
        <w:t>” below.</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vote and what are the voting deadlines?</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i w:val="1"/>
          <w:iCs w:val="1"/>
          <w:color w:val="auto"/>
        </w:rPr>
        <w:t xml:space="preserve">Stockholder of Record: Shares Registered in Your Name. </w:t>
      </w:r>
      <w:r>
        <w:rPr>
          <w:rFonts w:ascii="Arial" w:cs="Arial" w:eastAsia="Arial" w:hAnsi="Arial"/>
          <w:sz w:val="18"/>
          <w:szCs w:val="18"/>
          <w:color w:val="auto"/>
        </w:rPr>
        <w:t>If you are a stockholder of record, you can</w:t>
      </w:r>
      <w:r>
        <w:rPr>
          <w:rFonts w:ascii="Arial" w:cs="Arial" w:eastAsia="Arial" w:hAnsi="Arial"/>
          <w:sz w:val="18"/>
          <w:szCs w:val="18"/>
          <w:i w:val="1"/>
          <w:iCs w:val="1"/>
          <w:color w:val="auto"/>
        </w:rPr>
        <w:t xml:space="preserve"> </w:t>
      </w:r>
      <w:r>
        <w:rPr>
          <w:rFonts w:ascii="Arial" w:cs="Arial" w:eastAsia="Arial" w:hAnsi="Arial"/>
          <w:sz w:val="18"/>
          <w:szCs w:val="18"/>
          <w:color w:val="auto"/>
        </w:rPr>
        <w:t>vote in one of the following ways:</w:t>
      </w:r>
    </w:p>
    <w:p>
      <w:pPr>
        <w:spacing w:after="0" w:line="86" w:lineRule="exact"/>
        <w:rPr>
          <w:sz w:val="20"/>
          <w:szCs w:val="20"/>
          <w:color w:val="auto"/>
        </w:rPr>
      </w:pPr>
    </w:p>
    <w:p>
      <w:pPr>
        <w:ind w:left="1260" w:right="519" w:firstLine="360"/>
        <w:spacing w:after="0" w:line="242" w:lineRule="auto"/>
        <w:rPr>
          <w:sz w:val="20"/>
          <w:szCs w:val="20"/>
          <w:color w:val="auto"/>
        </w:rPr>
      </w:pPr>
      <w:r>
        <w:rPr>
          <w:rFonts w:ascii="Arial" w:cs="Arial" w:eastAsia="Arial" w:hAnsi="Arial"/>
          <w:sz w:val="18"/>
          <w:szCs w:val="18"/>
          <w:b w:val="1"/>
          <w:bCs w:val="1"/>
          <w:color w:val="auto"/>
        </w:rPr>
        <w:t xml:space="preserve">You may vote via the Internet. </w:t>
      </w:r>
      <w:r>
        <w:rPr>
          <w:rFonts w:ascii="Arial" w:cs="Arial" w:eastAsia="Arial" w:hAnsi="Arial"/>
          <w:sz w:val="18"/>
          <w:szCs w:val="18"/>
          <w:color w:val="auto"/>
        </w:rPr>
        <w:t>A registered holder through AST (if you choose to use Internet voting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through AST) can vote through the Internet by going to </w:t>
      </w:r>
      <w:r>
        <w:rPr>
          <w:rFonts w:ascii="Arial" w:cs="Arial" w:eastAsia="Arial" w:hAnsi="Arial"/>
          <w:sz w:val="18"/>
          <w:szCs w:val="18"/>
          <w:i w:val="1"/>
          <w:iCs w:val="1"/>
          <w:color w:val="auto"/>
        </w:rPr>
        <w:t>www.voteproxy.com.</w:t>
      </w:r>
      <w:r>
        <w:rPr>
          <w:rFonts w:ascii="Arial" w:cs="Arial" w:eastAsia="Arial" w:hAnsi="Arial"/>
          <w:sz w:val="18"/>
          <w:szCs w:val="18"/>
          <w:color w:val="auto"/>
        </w:rPr>
        <w:t xml:space="preserve"> You will be asked to complete an electronic proxy card and to provide the control number from the proxy card you received in the mail. Your vote must be received by 11:59 p.m. Eastern Time on June 9, 2021 to be counted. If you vote via the Internet, you do not need to return a proxy card by mail.</w:t>
      </w:r>
    </w:p>
    <w:p>
      <w:pPr>
        <w:spacing w:after="0" w:line="117" w:lineRule="exact"/>
        <w:rPr>
          <w:sz w:val="20"/>
          <w:szCs w:val="20"/>
          <w:color w:val="auto"/>
        </w:rPr>
      </w:pPr>
    </w:p>
    <w:p>
      <w:pPr>
        <w:jc w:val="both"/>
        <w:ind w:left="1260" w:right="459" w:firstLine="360"/>
        <w:spacing w:after="0" w:line="242" w:lineRule="auto"/>
        <w:rPr>
          <w:sz w:val="20"/>
          <w:szCs w:val="20"/>
          <w:color w:val="auto"/>
        </w:rPr>
      </w:pPr>
      <w:r>
        <w:rPr>
          <w:rFonts w:ascii="Arial" w:cs="Arial" w:eastAsia="Arial" w:hAnsi="Arial"/>
          <w:sz w:val="18"/>
          <w:szCs w:val="18"/>
          <w:b w:val="1"/>
          <w:bCs w:val="1"/>
          <w:color w:val="auto"/>
        </w:rPr>
        <w:t xml:space="preserve">You may vote by telephone. </w:t>
      </w:r>
      <w:r>
        <w:rPr>
          <w:rFonts w:ascii="Arial" w:cs="Arial" w:eastAsia="Arial" w:hAnsi="Arial"/>
          <w:sz w:val="18"/>
          <w:szCs w:val="18"/>
          <w:color w:val="auto"/>
        </w:rPr>
        <w:t>To vote by telephone, dial toll-free 1-800-PROXIES (1-800-776-9437) in</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United States and Canada, or 1-718- 921- 8500 from countries outside the United States and Canada and follow the recorded instructions. You will be asked to provide the control number from the proxy card. Your vote must be received by 11:59 p.m. Eastern Time on June 9, 2021 to be counted. If you vote by telephone, you do not need to return a proxy card by mail.</w:t>
      </w:r>
    </w:p>
    <w:p>
      <w:pPr>
        <w:spacing w:after="0" w:line="117"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7"/>
          <w:szCs w:val="17"/>
          <w:b w:val="1"/>
          <w:bCs w:val="1"/>
          <w:color w:val="auto"/>
        </w:rPr>
        <w:t xml:space="preserve">You may vote by mail. </w:t>
      </w:r>
      <w:r>
        <w:rPr>
          <w:rFonts w:ascii="Arial" w:cs="Arial" w:eastAsia="Arial" w:hAnsi="Arial"/>
          <w:sz w:val="17"/>
          <w:szCs w:val="17"/>
          <w:color w:val="auto"/>
        </w:rPr>
        <w:t>If you requested printed copies of the proxy materials by mail, you may vote by</w:t>
      </w:r>
      <w:r>
        <w:rPr>
          <w:rFonts w:ascii="Arial" w:cs="Arial" w:eastAsia="Arial" w:hAnsi="Arial"/>
          <w:sz w:val="17"/>
          <w:szCs w:val="17"/>
          <w:b w:val="1"/>
          <w:bCs w:val="1"/>
          <w:color w:val="auto"/>
        </w:rPr>
        <w:t xml:space="preserve"> </w:t>
      </w:r>
      <w:r>
        <w:rPr>
          <w:rFonts w:ascii="Arial" w:cs="Arial" w:eastAsia="Arial" w:hAnsi="Arial"/>
          <w:sz w:val="17"/>
          <w:szCs w:val="17"/>
          <w:color w:val="auto"/>
        </w:rPr>
        <w:t>mail by using the proxy card you received by mail. You will need to complete, date and sign the proxy card and return it promptly by mail in the envelope to be provided so that it is received no later than June 9, 2021.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w:t>
      </w:r>
    </w:p>
    <w:p>
      <w:pPr>
        <w:spacing w:after="0" w:line="97"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i w:val="1"/>
          <w:iCs w:val="1"/>
          <w:color w:val="auto"/>
        </w:rPr>
        <w:t xml:space="preserve">Beneficial Owner: Share Held in “Street Name”. </w:t>
      </w:r>
      <w:r>
        <w:rPr>
          <w:rFonts w:ascii="Arial" w:cs="Arial" w:eastAsia="Arial" w:hAnsi="Arial"/>
          <w:sz w:val="18"/>
          <w:szCs w:val="18"/>
          <w:color w:val="auto"/>
        </w:rPr>
        <w:t>If you are a beneficial owner and hold your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“street name”, you will need to contact your bank, broker, or other nominee to determine whether you will be able to vote by telephone or electronically through the Internet.</w:t>
      </w:r>
    </w:p>
    <w:p>
      <w:pPr>
        <w:spacing w:after="0" w:line="114"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Voting by telephone or over the Internet or returning your proxy card by mail will not affect your right to attend the virtual Annual Meeting and vote.</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Whether or not you plan to attend the virtual Annual Meeting, we urge you to vote.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vote during the virtual Annual Meeting?</w:t>
      </w:r>
    </w:p>
    <w:p>
      <w:pPr>
        <w:spacing w:after="0" w:line="148"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7"/>
          <w:szCs w:val="17"/>
          <w:color w:val="auto"/>
        </w:rPr>
        <w:t>You may attend the Annual Meeting and vote your shares at https://web.lumiagm.com/257688918 (password: ymabs2021) during the meeting. Follow the instructions provided to vote.</w:t>
      </w:r>
    </w:p>
    <w:p>
      <w:pPr>
        <w:spacing w:after="0" w:line="3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If you are a stockholder of record, you will need the 11-digit control number found on your proxy card and the meeting password: ymabs2021 (case sensitive).</w:t>
      </w:r>
    </w:p>
    <w:p>
      <w:pPr>
        <w:spacing w:after="0" w:line="89"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If you are a beneficial owner and hold your shares in “street name,” you must first obtain a valid legal proxy from your bank, broker, or other nominee and then register in advance to attend the Annual Meeting. Follow the instructions from your bank, broker, or other nominee included with these proxy materials, or contact your bank, broker, or other nominee to request a legal proxy form. After obtaining a valid legal proxy from your bank, broker, or other nominee, to then register to attend the Annual Meeting, you must submit proof of your legal proxy reflecting the number of your shares along with your name and email address to AST. Requests for registration should be directed to proxy@astfinancial.com or to facsimile number 718-765-8730. Written requests can be mailed to:</w:t>
      </w:r>
    </w:p>
    <w:p>
      <w:pPr>
        <w:spacing w:after="0" w:line="12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American Stock Transfer &amp; Trust Company LLC</w:t>
      </w:r>
    </w:p>
    <w:p>
      <w:pPr>
        <w:jc w:val="center"/>
        <w:ind w:right="-800"/>
        <w:spacing w:after="0" w:line="231" w:lineRule="auto"/>
        <w:rPr>
          <w:sz w:val="20"/>
          <w:szCs w:val="20"/>
          <w:color w:val="auto"/>
        </w:rPr>
      </w:pPr>
      <w:r>
        <w:rPr>
          <w:rFonts w:ascii="Arial" w:cs="Arial" w:eastAsia="Arial" w:hAnsi="Arial"/>
          <w:sz w:val="18"/>
          <w:szCs w:val="18"/>
          <w:color w:val="auto"/>
        </w:rPr>
        <w:t>Attn: Proxy Tabulation Department</w:t>
      </w:r>
    </w:p>
    <w:p>
      <w:pPr>
        <w:jc w:val="center"/>
        <w:ind w:right="-800"/>
        <w:spacing w:after="0" w:line="217" w:lineRule="auto"/>
        <w:rPr>
          <w:sz w:val="20"/>
          <w:szCs w:val="20"/>
          <w:color w:val="auto"/>
        </w:rPr>
      </w:pPr>
      <w:r>
        <w:rPr>
          <w:rFonts w:ascii="Arial" w:cs="Arial" w:eastAsia="Arial" w:hAnsi="Arial"/>
          <w:sz w:val="18"/>
          <w:szCs w:val="18"/>
          <w:color w:val="auto"/>
        </w:rPr>
        <w:t>6201 15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Brooklyn, NY 11219</w:t>
      </w:r>
    </w:p>
    <w:p>
      <w:pPr>
        <w:spacing w:after="0" w:line="142"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Requests for registration must be labeled as “Legal Proxy” and be received no later than 5:00 p.m., Eastern Time, on Tuesday, June 2, 2021.</w:t>
      </w:r>
    </w:p>
    <w:p>
      <w:pPr>
        <w:spacing w:after="0" w:line="89"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Even if you plan to attend the virtual Annual Meeting, we recommend that you vote your shares in advance as described above so that your vote will be counted if you later decide not to attend the Annual Meeting.</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162" w:lineRule="exact"/>
        <w:rPr>
          <w:sz w:val="20"/>
          <w:szCs w:val="20"/>
          <w:color w:val="auto"/>
        </w:rPr>
      </w:pPr>
    </w:p>
    <w:p>
      <w:pPr>
        <w:jc w:val="both"/>
        <w:ind w:left="1260" w:right="579" w:firstLine="360"/>
        <w:spacing w:after="0" w:line="263" w:lineRule="auto"/>
        <w:rPr>
          <w:sz w:val="20"/>
          <w:szCs w:val="20"/>
          <w:color w:val="auto"/>
        </w:rPr>
      </w:pPr>
      <w:r>
        <w:rPr>
          <w:rFonts w:ascii="Arial" w:cs="Arial" w:eastAsia="Arial" w:hAnsi="Arial"/>
          <w:sz w:val="18"/>
          <w:szCs w:val="18"/>
          <w:i w:val="1"/>
          <w:iCs w:val="1"/>
          <w:color w:val="auto"/>
        </w:rPr>
        <w:t xml:space="preserve">Stockholder of Record: Shares Registered in Your Name. </w:t>
      </w:r>
      <w:r>
        <w:rPr>
          <w:rFonts w:ascii="Arial" w:cs="Arial" w:eastAsia="Arial" w:hAnsi="Arial"/>
          <w:sz w:val="18"/>
          <w:szCs w:val="18"/>
          <w:color w:val="auto"/>
        </w:rPr>
        <w:t>If you are a stockholder of record, you may</w:t>
      </w:r>
      <w:r>
        <w:rPr>
          <w:rFonts w:ascii="Arial" w:cs="Arial" w:eastAsia="Arial" w:hAnsi="Arial"/>
          <w:sz w:val="18"/>
          <w:szCs w:val="18"/>
          <w:i w:val="1"/>
          <w:iCs w:val="1"/>
          <w:color w:val="auto"/>
        </w:rPr>
        <w:t xml:space="preserve"> </w:t>
      </w:r>
      <w:r>
        <w:rPr>
          <w:rFonts w:ascii="Arial" w:cs="Arial" w:eastAsia="Arial" w:hAnsi="Arial"/>
          <w:sz w:val="18"/>
          <w:szCs w:val="18"/>
          <w:color w:val="auto"/>
        </w:rPr>
        <w:t>revoke your proxy or change your proxy instructions at any time before your proxy is voted at the Annual Meeting by:</w:t>
      </w:r>
    </w:p>
    <w:p>
      <w:pPr>
        <w:spacing w:after="0" w:line="89" w:lineRule="exact"/>
        <w:rPr>
          <w:sz w:val="20"/>
          <w:szCs w:val="20"/>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entering a new vote by Internet or telephone;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signing and returning a new proxy card with a later date;</w:t>
      </w:r>
    </w:p>
    <w:p>
      <w:pPr>
        <w:spacing w:after="0" w:line="130" w:lineRule="exact"/>
        <w:rPr>
          <w:rFonts w:ascii="Arial" w:cs="Arial" w:eastAsia="Arial" w:hAnsi="Arial"/>
          <w:sz w:val="18"/>
          <w:szCs w:val="18"/>
          <w:color w:val="auto"/>
        </w:rPr>
      </w:pPr>
    </w:p>
    <w:p>
      <w:pPr>
        <w:ind w:left="1800" w:right="799" w:hanging="180"/>
        <w:spacing w:after="0" w:line="308" w:lineRule="auto"/>
        <w:tabs>
          <w:tab w:leader="none" w:pos="1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delivering a written revocation to our Secretary at Y-mAbs Therapeutics, Inc., 230 Park Avenue, Suite 3350, New York, New York 10169, by 11:59 p.m. Eastern Time on June 9, 2021; or</w:t>
      </w:r>
    </w:p>
    <w:p>
      <w:pPr>
        <w:spacing w:after="0" w:line="51" w:lineRule="exact"/>
        <w:rPr>
          <w:rFonts w:ascii="Arial" w:cs="Arial" w:eastAsia="Arial" w:hAnsi="Arial"/>
          <w:sz w:val="17"/>
          <w:szCs w:val="17"/>
          <w:color w:val="auto"/>
        </w:rPr>
      </w:pPr>
    </w:p>
    <w:p>
      <w:pPr>
        <w:ind w:left="1800" w:right="51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electronically at the virtual Annual Meeting (your attendance at the Annual Meeting will not, in and of itself, revoke your prior proxy).</w:t>
      </w:r>
    </w:p>
    <w:p>
      <w:pPr>
        <w:spacing w:after="0" w:line="89"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i w:val="1"/>
          <w:iCs w:val="1"/>
          <w:color w:val="auto"/>
        </w:rPr>
        <w:t xml:space="preserve">Beneficial Owners: Shares Registered in the Name of a Broker, Bank or Other Nominee. </w:t>
      </w:r>
      <w:r>
        <w:rPr>
          <w:rFonts w:ascii="Arial" w:cs="Arial" w:eastAsia="Arial" w:hAnsi="Arial"/>
          <w:sz w:val="18"/>
          <w:szCs w:val="18"/>
          <w:color w:val="auto"/>
        </w:rPr>
        <w:t>If you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your shares, you must contact the broker, bank or other nominee holding your shares and follow their instructions to change your vote or revoke your proxy.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62"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Proxies are solicited by and on behalf of our Board of Directors. The persons named in the proxy have been designated as proxy holders by our Board of Directors. When a proxy is properly dated, executed and returned, the shares represented by the proxy will be voted at the Annual Meeting in accordance with the instructions of the stockholder. If you are a stockholder of record and you indicate when voting on the Internet or by telephone that you wish to vote as recommended by the Board of Directors, then your shares will be voted at the Annual Meeting in accordance with the Board’s recommendation on all matters presented for a vote at the Annual Meeting. If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spacing w:after="0" w:line="3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148"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i w:val="1"/>
          <w:iCs w:val="1"/>
          <w:color w:val="auto"/>
        </w:rPr>
        <w:t xml:space="preserve">Stockholder of Record: Shares Registered in Your Name. </w:t>
      </w:r>
      <w:r>
        <w:rPr>
          <w:rFonts w:ascii="Arial" w:cs="Arial" w:eastAsia="Arial" w:hAnsi="Arial"/>
          <w:sz w:val="18"/>
          <w:szCs w:val="18"/>
          <w:color w:val="auto"/>
        </w:rPr>
        <w:t>If you are a stockholder of record and you</w:t>
      </w:r>
      <w:r>
        <w:rPr>
          <w:rFonts w:ascii="Arial" w:cs="Arial" w:eastAsia="Arial" w:hAnsi="Arial"/>
          <w:sz w:val="18"/>
          <w:szCs w:val="18"/>
          <w:i w:val="1"/>
          <w:iCs w:val="1"/>
          <w:color w:val="auto"/>
        </w:rPr>
        <w:t xml:space="preserve"> </w:t>
      </w:r>
      <w:r>
        <w:rPr>
          <w:rFonts w:ascii="Arial" w:cs="Arial" w:eastAsia="Arial" w:hAnsi="Arial"/>
          <w:sz w:val="18"/>
          <w:szCs w:val="18"/>
          <w:color w:val="auto"/>
        </w:rPr>
        <w:t>submit a proxy but you do not provide voting instructions, your shares will be voted:</w:t>
      </w:r>
    </w:p>
    <w:p>
      <w:pPr>
        <w:spacing w:after="0" w:line="59" w:lineRule="exact"/>
        <w:rPr>
          <w:sz w:val="20"/>
          <w:szCs w:val="20"/>
          <w:color w:val="auto"/>
        </w:rPr>
      </w:pPr>
    </w:p>
    <w:p>
      <w:pPr>
        <w:ind w:left="1800" w:right="599" w:hanging="180"/>
        <w:spacing w:after="0" w:line="281" w:lineRule="auto"/>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the three (3) directors nominated by our Board of Directors and named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proxy statement as Class III directors each to serve for a three (3) year term to expire at the 2024 annual meeting of stockholders, each such nominee to hold office until his successor has been duly elected and qualified or until his earlier death, resignation or removal (Proposal No. 1);</w:t>
      </w:r>
    </w:p>
    <w:p>
      <w:pPr>
        <w:spacing w:after="0" w:line="56" w:lineRule="exact"/>
        <w:rPr>
          <w:rFonts w:ascii="Arial" w:cs="Arial" w:eastAsia="Arial" w:hAnsi="Arial"/>
          <w:sz w:val="17"/>
          <w:szCs w:val="17"/>
          <w:color w:val="auto"/>
        </w:rPr>
      </w:pPr>
    </w:p>
    <w:p>
      <w:pPr>
        <w:ind w:left="1800" w:right="739" w:hanging="180"/>
        <w:spacing w:after="0" w:line="312" w:lineRule="auto"/>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appointment of PricewaterhouseCoopers LLP as our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public accounting firm for our fiscal year ending December 31, 2021 (Proposal No. 2);</w:t>
      </w:r>
    </w:p>
    <w:p>
      <w:pPr>
        <w:spacing w:after="0" w:line="31" w:lineRule="exact"/>
        <w:rPr>
          <w:rFonts w:ascii="Arial" w:cs="Arial" w:eastAsia="Arial" w:hAnsi="Arial"/>
          <w:sz w:val="17"/>
          <w:szCs w:val="17"/>
          <w:color w:val="auto"/>
        </w:rPr>
      </w:pPr>
    </w:p>
    <w:p>
      <w:pPr>
        <w:ind w:left="1800" w:right="719" w:hanging="180"/>
        <w:spacing w:after="0" w:line="282"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on a non-binding advisory basis, the Company’s executive compensation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disclosed in these proxy materials (Proposal No. 3);</w:t>
      </w:r>
    </w:p>
    <w:p>
      <w:pPr>
        <w:spacing w:after="0" w:line="53" w:lineRule="exact"/>
        <w:rPr>
          <w:rFonts w:ascii="Arial" w:cs="Arial" w:eastAsia="Arial" w:hAnsi="Arial"/>
          <w:sz w:val="18"/>
          <w:szCs w:val="18"/>
          <w:color w:val="auto"/>
        </w:rPr>
      </w:pPr>
    </w:p>
    <w:p>
      <w:pPr>
        <w:ind w:left="1800" w:right="719" w:hanging="180"/>
        <w:spacing w:after="0" w:line="282"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holding future advisory votes on the compensation of the Company’s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on an annual basis (Proposal No. 4); and</w:t>
      </w:r>
    </w:p>
    <w:p>
      <w:pPr>
        <w:spacing w:after="0" w:line="44"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discretion of the named proxy holders regarding any other matters properly presented for a vote at the Annual Meeting.</w:t>
      </w:r>
    </w:p>
    <w:p>
      <w:pPr>
        <w:spacing w:after="0" w:line="10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i w:val="1"/>
          <w:iCs w:val="1"/>
          <w:color w:val="auto"/>
        </w:rPr>
        <w:t xml:space="preserve">Beneficial Owners: Shares Registered in the Name of a Broker, Bank or Other Nominee. </w:t>
      </w:r>
      <w:r>
        <w:rPr>
          <w:rFonts w:ascii="Arial" w:cs="Arial" w:eastAsia="Arial" w:hAnsi="Arial"/>
          <w:sz w:val="17"/>
          <w:szCs w:val="17"/>
          <w:color w:val="auto"/>
        </w:rPr>
        <w:t>If you are a</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beneficial owner and you do not provide your broker, bank or other nominee that holds your shares with voting instructions, then your broker, bank or other nominee will determine if it has discretion to vote on each matter. Brokers do not have discretion to vote on non-routine matters. Proposal No. 1 (election of directors), Proposal No. 3 (Say-on-Pay) and Proposal No. 4 (Say-on-Pay Frequency) are non-routine matters, while Proposal No. 2 (ratification of appointment of independent registered public accounting firm) is a routine matter. As a result, if you do not provide voting instructions to your broker, bank or other nominee, then your broker, bank or other nominee may not vote your shares with respect to Proposals No. 1, 3 or 4 which would result in a “broker non- vote,” but such broker, bank or other nominee may, in its discretion, vote your shares with respect to Proposal No. 2. For additional information regarding broker non-votes, see “</w:t>
      </w:r>
      <w:r>
        <w:rPr>
          <w:rFonts w:ascii="Arial" w:cs="Arial" w:eastAsia="Arial" w:hAnsi="Arial"/>
          <w:sz w:val="17"/>
          <w:szCs w:val="17"/>
          <w:i w:val="1"/>
          <w:iCs w:val="1"/>
          <w:color w:val="auto"/>
        </w:rPr>
        <w:t>What are the effects of abstentions and broker non-votes?</w:t>
      </w:r>
      <w:r>
        <w:rPr>
          <w:rFonts w:ascii="Arial" w:cs="Arial" w:eastAsia="Arial" w:hAnsi="Arial"/>
          <w:sz w:val="17"/>
          <w:szCs w:val="17"/>
          <w:color w:val="auto"/>
        </w:rPr>
        <w:t>” below.</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are the effects of abstentions and broker non-votes?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w:t>
      </w:r>
      <w:r>
        <w:rPr>
          <w:rFonts w:ascii="Arial" w:cs="Arial" w:eastAsia="Arial" w:hAnsi="Arial"/>
          <w:sz w:val="17"/>
          <w:szCs w:val="17"/>
          <w:i w:val="1"/>
          <w:iCs w:val="1"/>
          <w:color w:val="auto"/>
        </w:rPr>
        <w:t>e.g.</w:t>
      </w:r>
      <w:r>
        <w:rPr>
          <w:rFonts w:ascii="Arial" w:cs="Arial" w:eastAsia="Arial" w:hAnsi="Arial"/>
          <w:sz w:val="17"/>
          <w:szCs w:val="17"/>
          <w:color w:val="auto"/>
        </w:rPr>
        <w:t>, Proposals No. 2, 3 and 4). However, because the outcome of Proposal No. 1 (election of directors) will be determined by a plurality vote, abstentions will have no impact on the outcome of such proposal as long as a quorum exists.</w:t>
      </w:r>
    </w:p>
    <w:p>
      <w:pPr>
        <w:spacing w:after="0" w:line="103"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is a quorum?</w:t>
      </w:r>
    </w:p>
    <w:p>
      <w:pPr>
        <w:spacing w:after="0" w:line="162"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A quorum is the minimum number of shares required to be present virtually at the Annual Meeting for the meeting to be properly held under our amended and restated bylaws and Delaware law. A majority of the shares of common stock outstanding and entitled to vote, virtually or by proxy, constitutes a quorum for the transaction of business at the Annual Meeting. As noted above, as of the Record Date, there were a</w:t>
      </w:r>
    </w:p>
    <w:p>
      <w:pPr>
        <w:spacing w:after="0" w:line="34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total of 43,561,521 shares of common stock outstanding, which means that 21,780,761 shares of common stock must be represented virtually or by proxy at the Annual Meeting to have a quorum. If there is no quorum, a majority of the shares virtually present at the Annual Meeting may adjourn the meeting to a later date.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votes are needed for approval of each proposal?</w:t>
      </w:r>
    </w:p>
    <w:p>
      <w:pPr>
        <w:spacing w:after="0" w:line="121" w:lineRule="exact"/>
        <w:rPr>
          <w:sz w:val="20"/>
          <w:szCs w:val="20"/>
          <w:color w:val="auto"/>
        </w:rPr>
      </w:pPr>
    </w:p>
    <w:p>
      <w:pPr>
        <w:ind w:left="1800" w:right="439" w:hanging="180"/>
        <w:spacing w:after="0" w:line="270"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Proposal No. 1: </w:t>
      </w:r>
      <w:r>
        <w:rPr>
          <w:rFonts w:ascii="Arial" w:cs="Arial" w:eastAsia="Arial" w:hAnsi="Arial"/>
          <w:sz w:val="17"/>
          <w:szCs w:val="17"/>
          <w:color w:val="auto"/>
        </w:rPr>
        <w:t>The election of Class III directors requires a plurality vote of the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present in person or by proxy at the Annual Meeting and entitled to vote thereon to be approved. This means that the three (3) nominees that receive the most FOR votes will be elected. You may (i)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such nominee’s favor and will have no effect on the outcome of the election. If you WITHHOLD your vote as to all nominees, you will be deemed to have abstained from voting on Proposal No. 1, and such abstention will have no effect on the outcome of such proposal.</w:t>
      </w:r>
    </w:p>
    <w:p>
      <w:pPr>
        <w:spacing w:after="0" w:line="59" w:lineRule="exact"/>
        <w:rPr>
          <w:rFonts w:ascii="Arial" w:cs="Arial" w:eastAsia="Arial" w:hAnsi="Arial"/>
          <w:sz w:val="17"/>
          <w:szCs w:val="17"/>
          <w:color w:val="auto"/>
        </w:rPr>
      </w:pPr>
    </w:p>
    <w:p>
      <w:pPr>
        <w:ind w:left="1800" w:right="459" w:hanging="180"/>
        <w:spacing w:after="0" w:line="25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The ratification of the appointment of PricewaterhouseCoopers LLP requires an</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a majority of the shares of our common stock present in person or by proxy at the Annual Meeting and entitled to vote thereon to be approved. You may vote FOR, AGAINST or ABSTAIN. If you ABSTAIN from voting on Proposal No. 2, the abstention will have the same effect as a vote AGAINST such proposal.</w:t>
      </w:r>
    </w:p>
    <w:p>
      <w:pPr>
        <w:spacing w:after="0" w:line="79" w:lineRule="exact"/>
        <w:rPr>
          <w:rFonts w:ascii="Arial" w:cs="Arial" w:eastAsia="Arial" w:hAnsi="Arial"/>
          <w:sz w:val="18"/>
          <w:szCs w:val="18"/>
          <w:color w:val="auto"/>
        </w:rPr>
      </w:pPr>
    </w:p>
    <w:p>
      <w:pPr>
        <w:ind w:left="1800" w:right="459" w:hanging="180"/>
        <w:spacing w:after="0" w:line="253"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The approval, on a non-binding, advisory basis, of the Company’s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 disclosed in these proxy materials requires an affirmative vote of a majority of the shares of our common stock present in person or by proxy at the Annual Meeting and entitled to vote thereon to be approved. You may vote FOR, AGAINST or ABSTAIN. If you ABSTAIN from voting on Proposal No. 3, the abstention will have the same effect as a vote AGAINST such proposal. This vote is advisory and not binding on the Company, the Board or the Compensation Committee of the Board (the “Compensation Committee”) in any way. To the extent there is any significant vote against the executive compensation as disclosed in this Proxy Statement, the Board and the Compensation Committee will evaluate what actions, if any, may be appropriate to address stockholder concerns.</w:t>
      </w:r>
    </w:p>
    <w:p>
      <w:pPr>
        <w:spacing w:after="0" w:line="86" w:lineRule="exact"/>
        <w:rPr>
          <w:rFonts w:ascii="Arial" w:cs="Arial" w:eastAsia="Arial" w:hAnsi="Arial"/>
          <w:sz w:val="18"/>
          <w:szCs w:val="18"/>
          <w:color w:val="auto"/>
        </w:rPr>
      </w:pPr>
    </w:p>
    <w:p>
      <w:pPr>
        <w:ind w:left="1800" w:right="419" w:hanging="180"/>
        <w:spacing w:after="0" w:line="269"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Proposal No.4: </w:t>
      </w:r>
      <w:r>
        <w:rPr>
          <w:rFonts w:ascii="Arial" w:cs="Arial" w:eastAsia="Arial" w:hAnsi="Arial"/>
          <w:sz w:val="17"/>
          <w:szCs w:val="17"/>
          <w:color w:val="auto"/>
        </w:rPr>
        <w:t>The affirmative vote of a majority of the shares of our common stock present in</w:t>
      </w:r>
      <w:r>
        <w:rPr>
          <w:rFonts w:ascii="Arial" w:cs="Arial" w:eastAsia="Arial" w:hAnsi="Arial"/>
          <w:sz w:val="17"/>
          <w:szCs w:val="17"/>
          <w:i w:val="1"/>
          <w:iCs w:val="1"/>
          <w:color w:val="auto"/>
        </w:rPr>
        <w:t xml:space="preserve"> </w:t>
      </w:r>
      <w:r>
        <w:rPr>
          <w:rFonts w:ascii="Arial" w:cs="Arial" w:eastAsia="Arial" w:hAnsi="Arial"/>
          <w:sz w:val="17"/>
          <w:szCs w:val="17"/>
          <w:color w:val="auto"/>
        </w:rPr>
        <w:t>person or by proxy at the Annual Meeting and entitled to vote thereon is required to recommend, on a non-binding advisory basis, the frequency with which the Company should conduct future advisory votes on the compensation of the Company’s named executive officers. You may vote FOR 1 YEAR, FOR 2 YEARS or FOR 3 YEARS, or ABSTAIN. If you ABSTAIN from voting on Proposal No. 4, the abstention will have the same effect as a vote AGAINST such proposal. This vote is advisory and not binding on the Company, our Board of Directors or the Compensation Committee in any way. However, we will take into account the outcome of this year’s vote when determining how frequently the Company will conduct future advisory votes on executive compensation and will disclose our frequency decision as required by the SEC.</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have engaged D.F. King, at an anticipated cost of approximately $10,500, for proxy solicitation services related to the Annual Meeting.</w:t>
      </w:r>
    </w:p>
    <w:p>
      <w:pPr>
        <w:spacing w:after="0" w:line="37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 my vote confidential?</w:t>
      </w:r>
    </w:p>
    <w:p>
      <w:pPr>
        <w:spacing w:after="0" w:line="148"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if multiple stockholders share the same address?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To reduce expense we have adopted an SEC-approved procedure called “householding.” Under this procedure, we are delivering a single copy of the Notice of Internet Availability and, if applicable, the proxy materials to certain stockholders who share a single address, unless otherwise requested by one of the stockholders. A separate proxy card is included in the voting materials for each of these stockholders. To receive a separate copy of the Notice of Internet Availability and, if applicable, the proxy materials you may contact us as follows: Y-mAbs Therapeutics, Inc., Attention: Secretary, 230 Park Avenue, Suite 3350, New York, New York 10169, Telephone No. (646) 885- 8505. You may also contact us by calling or writing if you would like to receive separate materials for future annual meetings.</w:t>
      </w:r>
    </w:p>
    <w:p>
      <w:pPr>
        <w:spacing w:after="0" w:line="113"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nominee to request information about householding.</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48" w:lineRule="exact"/>
        <w:rPr>
          <w:sz w:val="20"/>
          <w:szCs w:val="20"/>
          <w:color w:val="auto"/>
        </w:rPr>
      </w:pPr>
    </w:p>
    <w:p>
      <w:pPr>
        <w:ind w:left="1260" w:right="699" w:firstLine="360"/>
        <w:spacing w:after="0" w:line="258" w:lineRule="auto"/>
        <w:rPr>
          <w:sz w:val="20"/>
          <w:szCs w:val="20"/>
          <w:color w:val="auto"/>
        </w:rPr>
      </w:pPr>
      <w:r>
        <w:rPr>
          <w:rFonts w:ascii="Arial" w:cs="Arial" w:eastAsia="Arial" w:hAnsi="Arial"/>
          <w:sz w:val="17"/>
          <w:szCs w:val="17"/>
          <w:color w:val="auto"/>
        </w:rPr>
        <w:t>Preliminary voting results will be announced at the Annual Meeting. In addition, final voting results will be published in a Current Report on Form 8-K that we expect to file with the SEC within four</w:t>
      </w:r>
    </w:p>
    <w:p>
      <w:pPr>
        <w:spacing w:after="0" w:line="1" w:lineRule="exact"/>
        <w:rPr>
          <w:sz w:val="20"/>
          <w:szCs w:val="20"/>
          <w:color w:val="auto"/>
        </w:rPr>
      </w:pPr>
    </w:p>
    <w:p>
      <w:pPr>
        <w:ind w:left="1260" w:right="439"/>
        <w:spacing w:after="0" w:line="238" w:lineRule="auto"/>
        <w:tabs>
          <w:tab w:leader="none" w:pos="1529"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days after the Annual Meeting. If final voting results are not available to us at that time, we intend to file a Current Report on Form 8-K to publish preliminary results and, within four (4) business days after the final results are known to us, file an amendment to the Current Report on Form 8-K to publish the final results.</w:t>
      </w:r>
    </w:p>
    <w:p>
      <w:pPr>
        <w:spacing w:after="0" w:line="185" w:lineRule="exact"/>
        <w:rPr>
          <w:sz w:val="20"/>
          <w:szCs w:val="20"/>
          <w:color w:val="auto"/>
        </w:rPr>
      </w:pPr>
    </w:p>
    <w:p>
      <w:pPr>
        <w:ind w:left="1260" w:right="719"/>
        <w:spacing w:after="0" w:line="266"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Stockholder Proposals to be Included in Proxy Statement</w:t>
      </w:r>
    </w:p>
    <w:p>
      <w:pPr>
        <w:spacing w:after="0" w:line="15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the next annual meeting of stockholders by submitting their proposals in writing to our Secretary in a timely manner. Stockholder proposals must comply with the requirements of Rule 14a-8 under the Securities Exchange Act of 1934, as amended (the “Exchange Act”), regarding the inclusion of stockholder proposals in company-sponsored proxy materials. For a stockholder proposal to be considered for inclusion in our proxy statement for our 2022 annual meeting of stockholders, our Secretary must receive the written proposal at our principal executive offices not later than December 29, 2021. Stockholder proposals should be addressed to: Y-mAbs Therapeutics, Inc., Attention: Secretary, 230 Park Avenue, Suite 3350, New York, New York 10169.</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Stockholder Proposals Not Included in Proxy Statement</w:t>
      </w:r>
    </w:p>
    <w:p>
      <w:pPr>
        <w:spacing w:after="0" w:line="15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Our amended and restated bylaws establish an advance notice procedure for stockholders who wish to present a proposal before an annual meeting of stockholders but do not intend for the proposal to be included in our proxy statement. Our amended and restated bylaws also provide that the only business that may be conducted at an annual meeting is business that is (i) specified in our proxy materials with respect to such meeting, (ii) otherwise properly brought before the annual meeting by or at the direction of our Board of Directors, or (iii) properly brought before the annual meeting by a stockholder of record entitled to vote at the annual meeting who has delivered timely written notice to our Secretary, which notice must contain the information specified in our amended and restated bylaws.</w:t>
      </w:r>
    </w:p>
    <w:p>
      <w:pPr>
        <w:spacing w:after="0" w:line="35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Under our amended and restated bylaws, to be timely for our 2022 annual meeting of stockholders, our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Secretary must receive the written notice at our principal executive offices:</w:t>
      </w:r>
    </w:p>
    <w:p>
      <w:pPr>
        <w:spacing w:after="0" w:line="103" w:lineRule="exact"/>
        <w:rPr>
          <w:sz w:val="20"/>
          <w:szCs w:val="20"/>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earlier than February 9, 2022;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later than March 11, 2022.</w:t>
      </w:r>
    </w:p>
    <w:p>
      <w:pPr>
        <w:spacing w:after="0" w:line="14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In the event that we hold our 2022 annual meeting of stockholders more than 30 days before or more than 60 days after the first anniversary of the date of the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(2) dates:</w:t>
      </w:r>
    </w:p>
    <w:p>
      <w:pPr>
        <w:spacing w:after="0" w:line="80" w:lineRule="exact"/>
        <w:rPr>
          <w:sz w:val="20"/>
          <w:szCs w:val="20"/>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117"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annual meeting is first made.</w:t>
      </w:r>
    </w:p>
    <w:p>
      <w:pPr>
        <w:spacing w:after="0" w:line="103"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Nomination of Director Candidates</w:t>
      </w:r>
    </w:p>
    <w:p>
      <w:pPr>
        <w:spacing w:after="0" w:line="15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You may propose director candidates for consideration by our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“Board of Directors and Corporate Governance — Stockholder Recommendations for Nominations to the Board of Directors.”</w:t>
      </w:r>
    </w:p>
    <w:p>
      <w:pPr>
        <w:spacing w:after="0" w:line="111"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Secretary in accordance with our amended and restated bylaws, which, in general, require that the notice be received by our Secretary within the time period described above under “Stockholder Proposals Not Included in Proxy Statement” for stockholder proposals that are not intended to be included in a proxy statement.</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Availability of Bylaws</w:t>
      </w:r>
    </w:p>
    <w:p>
      <w:pPr>
        <w:spacing w:after="0" w:line="158"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 xml:space="preserve">A copy of our amended and restated bylaws may be obtained by accessing our public filings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contact our Secretary at our principal executive office for a copy of the relevant bylaw provisions regarding the requirements for making stockholder proposals and nominating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BOARD OF DIRECTORS, NOMINEES AND CORPORATE GOVERNANCE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Election of Directors</w:t>
      </w:r>
    </w:p>
    <w:p>
      <w:pPr>
        <w:spacing w:after="0" w:line="148" w:lineRule="exact"/>
        <w:rPr>
          <w:sz w:val="20"/>
          <w:szCs w:val="20"/>
          <w:color w:val="auto"/>
        </w:rPr>
      </w:pPr>
    </w:p>
    <w:p>
      <w:pPr>
        <w:ind w:left="1260" w:right="960" w:firstLine="360"/>
        <w:spacing w:after="0" w:line="274" w:lineRule="auto"/>
        <w:rPr>
          <w:sz w:val="20"/>
          <w:szCs w:val="20"/>
          <w:color w:val="auto"/>
        </w:rPr>
      </w:pPr>
      <w:r>
        <w:rPr>
          <w:rFonts w:ascii="Arial" w:cs="Arial" w:eastAsia="Arial" w:hAnsi="Arial"/>
          <w:sz w:val="17"/>
          <w:szCs w:val="17"/>
          <w:color w:val="auto"/>
        </w:rPr>
        <w:t>Our business affairs are managed under the direction of our Board of Directors, which is divided into three (3) classes with staggered three (3) year terms. There are currently two (2) Class I directors</w:t>
      </w:r>
    </w:p>
    <w:p>
      <w:pPr>
        <w:ind w:left="1260"/>
        <w:spacing w:after="0"/>
        <w:rPr>
          <w:sz w:val="20"/>
          <w:szCs w:val="20"/>
          <w:color w:val="auto"/>
        </w:rPr>
      </w:pPr>
      <w:r>
        <w:rPr>
          <w:rFonts w:ascii="Arial" w:cs="Arial" w:eastAsia="Arial" w:hAnsi="Arial"/>
          <w:sz w:val="18"/>
          <w:szCs w:val="18"/>
          <w:color w:val="auto"/>
        </w:rPr>
        <w:t>(Dr. Gérard Ber and David N. Gill), whose terms expire at the 2022 annual meeting of stockholders; three</w:t>
      </w:r>
    </w:p>
    <w:p>
      <w:pPr>
        <w:spacing w:after="0" w:line="9" w:lineRule="exact"/>
        <w:rPr>
          <w:sz w:val="20"/>
          <w:szCs w:val="20"/>
          <w:color w:val="auto"/>
        </w:rPr>
      </w:pPr>
    </w:p>
    <w:p>
      <w:pPr>
        <w:ind w:left="1260" w:right="1080"/>
        <w:spacing w:after="0" w:line="253" w:lineRule="auto"/>
        <w:tabs>
          <w:tab w:leader="none" w:pos="1529"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Class II directors (James I. Healy, M.D., Ashutosh Tyagi, M.D. and Laura J. Hamill), whose terms expire at the 2023 annual meeting of stockholders; and three (3) Class III directors (Thomas Gad, Claus Juan Møller-San Pedro, M.D., PhD., and Johan Wedell-Wedellsborg), whose terms expire at the Annual Meeting (in all cases subject to the election and qualification of their successors or to their earlier death, resignation or removal).</w:t>
      </w:r>
    </w:p>
    <w:p>
      <w:pPr>
        <w:spacing w:after="0" w:line="123" w:lineRule="exact"/>
        <w:rPr>
          <w:sz w:val="20"/>
          <w:szCs w:val="20"/>
          <w:color w:val="auto"/>
        </w:rPr>
      </w:pPr>
    </w:p>
    <w:p>
      <w:pPr>
        <w:ind w:left="1260" w:right="760" w:firstLine="360"/>
        <w:spacing w:after="0" w:line="270" w:lineRule="auto"/>
        <w:rPr>
          <w:sz w:val="20"/>
          <w:szCs w:val="20"/>
          <w:color w:val="auto"/>
        </w:rPr>
      </w:pPr>
      <w:r>
        <w:rPr>
          <w:rFonts w:ascii="Arial" w:cs="Arial" w:eastAsia="Arial" w:hAnsi="Arial"/>
          <w:sz w:val="17"/>
          <w:szCs w:val="17"/>
          <w:color w:val="auto"/>
        </w:rPr>
        <w:t>Johan Wedell-Wedellsborg, who stands for re-election as a Class III director at the Annual Meeting will continue to serve as member of our Board of Directors and as a member of our Audit Committee until the Annual Meeting. If elected at the Annual Meeting, he will continue to serve in those positions until his term expires at the 2024 annual meeting of stockholders, subject to the election and qualification of his successors or to his earlier death, resignation or removal. Mr. Gad and Dr. Møller-San Pedro each of whom stands for re-election as Class III directors at the Annual Meeting, will continue to serve as members of our Board of Directors until the Annual Meeting. If elected at the Annual Meeting, they will both continue to serve in those positions until their term expires at the 2024 annual meeting of stockholders, subject to the election and qualification of their successors or to their earlier death, resignation or removal.</w:t>
      </w:r>
    </w:p>
    <w:p>
      <w:pPr>
        <w:spacing w:after="0" w:line="113" w:lineRule="exact"/>
        <w:rPr>
          <w:sz w:val="20"/>
          <w:szCs w:val="20"/>
          <w:color w:val="auto"/>
        </w:rPr>
      </w:pPr>
    </w:p>
    <w:p>
      <w:pPr>
        <w:jc w:val="both"/>
        <w:ind w:left="1260" w:right="1600" w:firstLine="360"/>
        <w:spacing w:after="0" w:line="274" w:lineRule="auto"/>
        <w:rPr>
          <w:sz w:val="20"/>
          <w:szCs w:val="20"/>
          <w:color w:val="auto"/>
        </w:rPr>
      </w:pPr>
      <w:r>
        <w:rPr>
          <w:rFonts w:ascii="Arial" w:cs="Arial" w:eastAsia="Arial" w:hAnsi="Arial"/>
          <w:sz w:val="17"/>
          <w:szCs w:val="17"/>
          <w:color w:val="auto"/>
        </w:rPr>
        <w:t>Following the Annual Meeting, assuming the election of Mr. Gad, Dr. Møller-San Pedro and Mr. Wedell-Wedellsborg, six (6) of our eight (8) directors, Dr. Ber, Mr. Gill, Dr. Healy, Dr. Tyagi,</w:t>
      </w:r>
    </w:p>
    <w:p>
      <w:pPr>
        <w:ind w:left="1260" w:right="760"/>
        <w:spacing w:after="0" w:line="290" w:lineRule="auto"/>
        <w:rPr>
          <w:sz w:val="20"/>
          <w:szCs w:val="20"/>
          <w:color w:val="auto"/>
        </w:rPr>
      </w:pPr>
      <w:r>
        <w:rPr>
          <w:rFonts w:ascii="Arial" w:cs="Arial" w:eastAsia="Arial" w:hAnsi="Arial"/>
          <w:sz w:val="17"/>
          <w:szCs w:val="17"/>
          <w:color w:val="auto"/>
        </w:rPr>
        <w:t>Mr. Wedell-Wedellsborg and Ms. Hamill, have been determined by our Board of Directors to be independent within the meaning of the independent director requirements of Nasdaq Listing Rules and SEC Rules.</w:t>
      </w:r>
    </w:p>
    <w:p>
      <w:pPr>
        <w:spacing w:after="0" w:line="80" w:lineRule="exact"/>
        <w:rPr>
          <w:sz w:val="20"/>
          <w:szCs w:val="20"/>
          <w:color w:val="auto"/>
        </w:rPr>
      </w:pPr>
    </w:p>
    <w:p>
      <w:pPr>
        <w:ind w:left="1260" w:right="920" w:firstLine="360"/>
        <w:spacing w:after="0" w:line="269" w:lineRule="auto"/>
        <w:rPr>
          <w:sz w:val="20"/>
          <w:szCs w:val="20"/>
          <w:color w:val="auto"/>
        </w:rPr>
      </w:pPr>
      <w:r>
        <w:rPr>
          <w:rFonts w:ascii="Arial" w:cs="Arial" w:eastAsia="Arial" w:hAnsi="Arial"/>
          <w:sz w:val="17"/>
          <w:szCs w:val="17"/>
          <w:color w:val="auto"/>
        </w:rPr>
        <w:t>Set forth below are the names, ages and positions of the members of our Board of Directors and nominees, and the committees of the Board on which they will serve following the Annual Meeting, including the three (3) nominees for election as Class III directors, Mr. Gad, Dr. Møller-San Pedro and Mr. Wedell-Wedellsborg. The information presented includes each director’s and nominee’s principal occupation and business experience for the past five (5) years, and the names of other public companies of which he/she has served as a director during the past five (5) years. The information presented below regarding the specific experience, qualifications, attributes and skills of each director and nominee led our Nominating and Corporate Governance Committee and our Board of Directors to conclude that each such individual should serve as a director. In addition, we believe that all of our directors and nominees possess the attributes or characteristics described in “Corporate Governance Matters — Director Nomination Process” that the Nominating and Corporate Governance Committee expects of each director.</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6"/>
                <w:szCs w:val="16"/>
                <w:color w:val="auto"/>
              </w:rPr>
            </w:pPr>
          </w:p>
        </w:tc>
        <w:tc>
          <w:tcPr>
            <w:tcW w:w="484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Position</w:t>
            </w:r>
          </w:p>
        </w:tc>
      </w:tr>
      <w:tr>
        <w:trPr>
          <w:trHeight w:val="191"/>
        </w:trPr>
        <w:tc>
          <w:tcPr>
            <w:tcW w:w="3660" w:type="dxa"/>
            <w:vAlign w:val="bottom"/>
            <w:gridSpan w:val="2"/>
          </w:tcPr>
          <w:p>
            <w:pPr>
              <w:spacing w:after="0" w:line="191" w:lineRule="exact"/>
              <w:rPr>
                <w:sz w:val="20"/>
                <w:szCs w:val="20"/>
                <w:color w:val="auto"/>
              </w:rPr>
            </w:pPr>
            <w:r>
              <w:rPr>
                <w:rFonts w:ascii="Arial" w:cs="Arial" w:eastAsia="Arial" w:hAnsi="Arial"/>
                <w:sz w:val="18"/>
                <w:szCs w:val="18"/>
                <w:b w:val="1"/>
                <w:bCs w:val="1"/>
                <w:i w:val="1"/>
                <w:iCs w:val="1"/>
                <w:color w:val="auto"/>
              </w:rPr>
              <w:t>Class I Directors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40" w:type="dxa"/>
            <w:vAlign w:val="bottom"/>
          </w:tcPr>
          <w:p>
            <w:pPr>
              <w:spacing w:after="0"/>
              <w:rPr>
                <w:sz w:val="16"/>
                <w:szCs w:val="16"/>
                <w:color w:val="auto"/>
              </w:rPr>
            </w:pPr>
          </w:p>
        </w:tc>
      </w:tr>
      <w:tr>
        <w:trPr>
          <w:trHeight w:val="229"/>
        </w:trPr>
        <w:tc>
          <w:tcPr>
            <w:tcW w:w="36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Gérard Ber, Ph.D.</w:t>
            </w:r>
            <w:r>
              <w:rPr>
                <w:rFonts w:ascii="Arial" w:cs="Arial" w:eastAsia="Arial" w:hAnsi="Arial"/>
                <w:sz w:val="26"/>
                <w:szCs w:val="26"/>
                <w:color w:val="auto"/>
                <w:vertAlign w:val="superscript"/>
              </w:rPr>
              <w:t>(2)(3)</w:t>
            </w:r>
          </w:p>
        </w:tc>
        <w:tc>
          <w:tcPr>
            <w:tcW w:w="240" w:type="dxa"/>
            <w:vAlign w:val="bottom"/>
          </w:tcPr>
          <w:p>
            <w:pPr>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Director</w:t>
            </w:r>
          </w:p>
        </w:tc>
      </w:tr>
      <w:tr>
        <w:trPr>
          <w:trHeight w:val="266"/>
        </w:trPr>
        <w:tc>
          <w:tcPr>
            <w:tcW w:w="3660" w:type="dxa"/>
            <w:vAlign w:val="bottom"/>
            <w:gridSpan w:val="2"/>
          </w:tcPr>
          <w:p>
            <w:pPr>
              <w:ind w:left="180"/>
              <w:spacing w:after="0" w:line="266" w:lineRule="exact"/>
              <w:rPr>
                <w:sz w:val="20"/>
                <w:szCs w:val="20"/>
                <w:color w:val="auto"/>
              </w:rPr>
            </w:pPr>
            <w:r>
              <w:rPr>
                <w:rFonts w:ascii="Arial" w:cs="Arial" w:eastAsia="Arial" w:hAnsi="Arial"/>
                <w:sz w:val="18"/>
                <w:szCs w:val="18"/>
                <w:color w:val="auto"/>
              </w:rPr>
              <w:t>David N. Gill</w:t>
            </w:r>
            <w:r>
              <w:rPr>
                <w:rFonts w:ascii="Arial" w:cs="Arial" w:eastAsia="Arial" w:hAnsi="Arial"/>
                <w:sz w:val="26"/>
                <w:szCs w:val="26"/>
                <w:color w:val="auto"/>
                <w:vertAlign w:val="superscript"/>
              </w:rPr>
              <w:t>(1)(2)(3)</w:t>
            </w:r>
          </w:p>
        </w:tc>
        <w:tc>
          <w:tcPr>
            <w:tcW w:w="240" w:type="dxa"/>
            <w:vAlign w:val="bottom"/>
          </w:tcPr>
          <w:p>
            <w:pPr>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3"/>
                <w:szCs w:val="23"/>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Director</w:t>
            </w:r>
          </w:p>
        </w:tc>
      </w:tr>
      <w:tr>
        <w:trPr>
          <w:trHeight w:val="179"/>
        </w:trPr>
        <w:tc>
          <w:tcPr>
            <w:tcW w:w="3660" w:type="dxa"/>
            <w:vAlign w:val="bottom"/>
            <w:gridSpan w:val="2"/>
          </w:tcPr>
          <w:p>
            <w:pPr>
              <w:spacing w:after="0" w:line="179" w:lineRule="exact"/>
              <w:rPr>
                <w:sz w:val="20"/>
                <w:szCs w:val="20"/>
                <w:color w:val="auto"/>
              </w:rPr>
            </w:pPr>
            <w:r>
              <w:rPr>
                <w:rFonts w:ascii="Arial" w:cs="Arial" w:eastAsia="Arial" w:hAnsi="Arial"/>
                <w:sz w:val="18"/>
                <w:szCs w:val="18"/>
                <w:b w:val="1"/>
                <w:bCs w:val="1"/>
                <w:i w:val="1"/>
                <w:iCs w:val="1"/>
                <w:color w:val="auto"/>
              </w:rPr>
              <w:t>Class II Directors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40" w:type="dxa"/>
            <w:vAlign w:val="bottom"/>
          </w:tcPr>
          <w:p>
            <w:pPr>
              <w:spacing w:after="0"/>
              <w:rPr>
                <w:sz w:val="15"/>
                <w:szCs w:val="15"/>
                <w:color w:val="auto"/>
              </w:rPr>
            </w:pPr>
          </w:p>
        </w:tc>
      </w:tr>
      <w:tr>
        <w:trPr>
          <w:trHeight w:val="243"/>
        </w:trPr>
        <w:tc>
          <w:tcPr>
            <w:tcW w:w="3660" w:type="dxa"/>
            <w:vAlign w:val="bottom"/>
            <w:gridSpan w:val="2"/>
          </w:tcPr>
          <w:p>
            <w:pPr>
              <w:ind w:left="180"/>
              <w:spacing w:after="0" w:line="243" w:lineRule="exact"/>
              <w:rPr>
                <w:sz w:val="20"/>
                <w:szCs w:val="20"/>
                <w:color w:val="auto"/>
              </w:rPr>
            </w:pPr>
            <w:r>
              <w:rPr>
                <w:rFonts w:ascii="Arial" w:cs="Arial" w:eastAsia="Arial" w:hAnsi="Arial"/>
                <w:sz w:val="18"/>
                <w:szCs w:val="18"/>
                <w:color w:val="auto"/>
              </w:rPr>
              <w:t>James I. Healy, M.D.</w:t>
            </w:r>
            <w:r>
              <w:rPr>
                <w:rFonts w:ascii="Arial" w:cs="Arial" w:eastAsia="Arial" w:hAnsi="Arial"/>
                <w:sz w:val="26"/>
                <w:szCs w:val="26"/>
                <w:color w:val="auto"/>
                <w:vertAlign w:val="superscript"/>
              </w:rPr>
              <w:t>(1)(2)</w:t>
            </w:r>
          </w:p>
        </w:tc>
        <w:tc>
          <w:tcPr>
            <w:tcW w:w="240" w:type="dxa"/>
            <w:vAlign w:val="bottom"/>
          </w:tcPr>
          <w:p>
            <w:pPr>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Director</w:t>
            </w:r>
          </w:p>
        </w:tc>
      </w:tr>
      <w:tr>
        <w:trPr>
          <w:trHeight w:val="280"/>
        </w:trPr>
        <w:tc>
          <w:tcPr>
            <w:tcW w:w="3660" w:type="dxa"/>
            <w:vAlign w:val="bottom"/>
            <w:gridSpan w:val="2"/>
          </w:tcPr>
          <w:p>
            <w:pPr>
              <w:ind w:left="180"/>
              <w:spacing w:after="0" w:line="280" w:lineRule="exact"/>
              <w:rPr>
                <w:sz w:val="20"/>
                <w:szCs w:val="20"/>
                <w:color w:val="auto"/>
              </w:rPr>
            </w:pPr>
            <w:r>
              <w:rPr>
                <w:rFonts w:ascii="Arial" w:cs="Arial" w:eastAsia="Arial" w:hAnsi="Arial"/>
                <w:sz w:val="18"/>
                <w:szCs w:val="18"/>
                <w:color w:val="auto"/>
              </w:rPr>
              <w:t>Ashutosh Tyagi, M.D.</w:t>
            </w:r>
            <w:r>
              <w:rPr>
                <w:rFonts w:ascii="Arial" w:cs="Arial" w:eastAsia="Arial" w:hAnsi="Arial"/>
                <w:sz w:val="26"/>
                <w:szCs w:val="26"/>
                <w:color w:val="auto"/>
                <w:vertAlign w:val="superscript"/>
              </w:rPr>
              <w:t>(3)</w:t>
            </w:r>
          </w:p>
        </w:tc>
        <w:tc>
          <w:tcPr>
            <w:tcW w:w="24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Laura J. Hamill</w:t>
            </w:r>
          </w:p>
        </w:tc>
        <w:tc>
          <w:tcPr>
            <w:tcW w:w="240" w:type="dxa"/>
            <w:vAlign w:val="bottom"/>
          </w:tcPr>
          <w:p>
            <w:pPr>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Class III Directors and Nominees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Thomas Gad</w:t>
            </w:r>
          </w:p>
        </w:tc>
        <w:tc>
          <w:tcPr>
            <w:tcW w:w="24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Founder, Chairman, President, Head of Business</w:t>
            </w:r>
          </w:p>
        </w:tc>
      </w:tr>
      <w:tr>
        <w:trPr>
          <w:trHeight w:val="230"/>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7"/>
              </w:rPr>
              <w:t>Development and Strategy and Director and Director Nominee</w:t>
            </w:r>
          </w:p>
        </w:tc>
      </w:tr>
      <w:tr>
        <w:trPr>
          <w:trHeight w:val="219"/>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Claus Juan Møller San Pedro, M.D., Ph.D.</w:t>
            </w:r>
          </w:p>
        </w:tc>
        <w:tc>
          <w:tcPr>
            <w:tcW w:w="240" w:type="dxa"/>
            <w:vAlign w:val="bottom"/>
          </w:tcPr>
          <w:p>
            <w:pPr>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 Director and Director Nominee</w:t>
            </w:r>
          </w:p>
        </w:tc>
      </w:tr>
      <w:tr>
        <w:trPr>
          <w:trHeight w:val="353"/>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Johan Wedell-Wedellsborg</w:t>
            </w:r>
            <w:r>
              <w:rPr>
                <w:rFonts w:ascii="Arial" w:cs="Arial" w:eastAsia="Arial" w:hAnsi="Arial"/>
                <w:sz w:val="26"/>
                <w:szCs w:val="26"/>
                <w:color w:val="auto"/>
                <w:vertAlign w:val="superscript"/>
              </w:rPr>
              <w:t>(1)</w:t>
            </w:r>
          </w:p>
        </w:tc>
        <w:tc>
          <w:tcPr>
            <w:tcW w:w="24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Director and 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91440</wp:posOffset>
            </wp:positionV>
            <wp:extent cx="12344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2" w:lineRule="exact"/>
        <w:rPr>
          <w:sz w:val="20"/>
          <w:szCs w:val="20"/>
          <w:color w:val="auto"/>
        </w:rPr>
      </w:pPr>
    </w:p>
    <w:p>
      <w:pPr>
        <w:ind w:left="1620" w:hanging="360"/>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ectPr>
          <w:pgSz w:w="11900" w:h="16838" w:orient="portrait"/>
          <w:cols w:equalWidth="0" w:num="1">
            <w:col w:w="10220"/>
          </w:cols>
          <w:pgMar w:left="580" w:top="132" w:right="10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  Member of our Nominating and Corporate Governance Committee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I Directors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Dr. Gérard Ber, Director</w:t>
      </w:r>
    </w:p>
    <w:p>
      <w:pPr>
        <w:spacing w:after="0" w:line="144"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Dr. Ber has been a member of our Board of Directors since December 2018. Dr. Ber has more than 30 years of experience in Molecular Nuclear Medicine (“MNM”) including development, production and commercialization of diagnostics and therapeutic products for several indications in oncology, cardiology, neurology and infectious/inflammatory diseases. In 2002, Dr. Ber co -founded Advanced Accelerator Applications S.A., and was its Chief Operating Officer from 2002 to 2018, when it was sold to Novartis AG. Dr. Ber grew Advanced Accelerator Applications S.A. from a start-up to a global leader in MNM and was member of its board of directors from 2002 to 2015, when Advanced Accelerator Applications S.A. listed on The Nasdaq Global Select Market. Dr. Ber currently serves on the board of Lantheus Holdings, Inc. (Nasdaq: LNTH) which is the parent company of Lantheus Medical Imaging, Inc., a company focused on diagnostic imaging. From 2019 until June 2020, Dr. Ber served on the board of Progenics Pharmaceuticals, Inc. (Nasdaq: PGNX). He received his Ph.D. degree in Pharmacy from the Scientific and Medical University of Grenoble. Dr. Ber currently serves as a member of our Compensation Committee and our Nominating and Corporate Governance Committee.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David N. Gill, Director</w:t>
      </w:r>
    </w:p>
    <w:p>
      <w:pPr>
        <w:spacing w:after="0" w:line="158"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Mr. Gill has been a member of our Board of Directors since December 2017. Mr. Gill currently serves as Chief Financial Officer of Perspectum Ltd., a UK based diagnostic tools company. Mr. Gill served as the President and Chief Financial Officer of EndoChoice, Inc., a medical device company focused on gastrointestinal disease, from April 2016 through the sale of the company in November 2016 and as Chief Financial Officer from August 2014 to November 2016. Previously, he served as the Chief Financial Officer of INC Research (now known as Syneos Health), a clinical research organization, from February 2011 to August 2013 after having served as a board member and its audit committee chairman from 2007 to 2010. Mr. Gill also currently serves on the boards of Evolus, Inc. (Nasdaq: EOLS), and Strongbridge Biopharma plc. (Nasdaq: SBBP). He previously served on the board of Histogenics, Inc. (now Ocugen, Inc.), Melinta Therapeutics, Inc., and Strata Skin Sciences, Inc. (Nasdaq: SSKN). Earlier in his career, Mr. Gill served in a variety of senior executive leadership roles for several publicly-traded companies, including NxStage Medical, CTI Molecular Imaging, Inc., Interland Inc. and Novoste Corporation. Mr. Gill holds a B.S. degree, cum laude, in accounting from Wake Forest University and an M.B.A. degree, with honors, from Emory University, and was formerly a certified public accountant. Mr. Gill currently serves as Chair of our Audit Committee, as a member of our Compensation Committee and our Nominating and Corporate Governance Committee.</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II Directors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James I. Healy, M.D., Ph.D., Director</w:t>
      </w:r>
    </w:p>
    <w:p>
      <w:pPr>
        <w:spacing w:after="0" w:line="15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Dr. Healy has served as a member of our Board of Directors since November 2017. Dr. Healy has been a general partner at Sofinnova Investments, Inc. (formerly Sofinnova Ventures, Inc.), a biotech investment firm, since June 2000. Prior to June 2000, Dr. Healy held various positions at Sanderling Ventures, Bayer Healthcare Pharmaceuticals (as successor to Miles Laboratories) and ISTA Pharmaceuticals, Inc. Dr. Healy is currently on the board of directors of Ascendis Pharma A/S (Nasdaq: ASND), Bolt Therapeutics, Inc. (Nasdaq: BOLT), Coherus BioSciences, Inc. (Nasdaq: CHRS), NuCana plc (Nasdaq: NCNA), Karuna Therapeutics, Inc. (Nasdaq: KRTX), Natera, Inc. (Nasdaq: NTRA), ObsEva SA (Nasdaq: OBSV) and two private companies. Previously, he served as a board member of Amarin Corporation, Auris Medical Holding AG, Edge Therapeutics, Inc., Hyperion Therapeutics, Inc., InterMune, Inc., Iterum Therapeutics plc, Anthera Pharmaceuticals, Inc., Durata Therapeutics, Inc., CoTherix, Inc., Movetis NV and several private companies. In 2011, Dr. Healy won the IBF Risk Innovator Award and was named as one of the industry’s top leading Life Science investors in 2013 by Forbes Magazine. In 2021 Dr. Healy was selected as the winner of the National Venture Capital Association (NVCA) Excellence in Healthcare Innovation Award for his commitment to the advancement of healthcare innovation through his investment in groundbreaking</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biotechnology companies that are working on treatments and cures for the most deadly and costly diseases. Dr. Healy holds an M.D. and a Ph.D. in Immunology from Stanford University School of Medicine and holds a B.A. in Molecular Biology and a B.A. in Scandinavian Studies from the University of California, Berkeley. He was previously a Director on the board of the NVCA and the board of the Biotechnology Innovation Organization (BIO). Dr. Healy currently serves as Chair of our Compensation Committee and as a member of our Audit Committee.</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Ashutosh Tyagi, M.D., Director</w:t>
      </w:r>
    </w:p>
    <w:p>
      <w:pPr>
        <w:spacing w:after="0" w:line="144"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7"/>
          <w:szCs w:val="17"/>
          <w:color w:val="auto"/>
        </w:rPr>
        <w:t>Dr. Tyagi has been a member of our Board of Directors since November 2017, representing until the end of 2018 Scopia Capital Management LP, or Scopia Capital, an institutional alternative asset management firm. Dr. Tyagi was with Scopia Capital from 2010 to 2018 (as a partner from 2012 to 2018). At Scopia Capital, Dr. Tyagi managed global health care investments and was a Co-Portfolio Manager of Scopia Capital’s health care funds. Prior to joining Scopia, he worked at Lombard Odier, Morgan Stanley, and Citigroup. Dr. Tyagi received a B.A. in Asian Studies from the University of Michigan, an MBA from the University of Michigan Business School and an M.D. from the University of Michigan School of Medicine. Dr. Tyagi currently serves as Chair of our Nominating and Corporate Governance Committee.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Laura Jean Hamill, Director</w:t>
      </w:r>
    </w:p>
    <w:p>
      <w:pPr>
        <w:spacing w:after="0" w:line="158" w:lineRule="exact"/>
        <w:rPr>
          <w:sz w:val="20"/>
          <w:szCs w:val="20"/>
          <w:color w:val="auto"/>
        </w:rPr>
      </w:pPr>
    </w:p>
    <w:p>
      <w:pPr>
        <w:ind w:left="1260" w:right="579" w:firstLine="360"/>
        <w:spacing w:after="0" w:line="250" w:lineRule="auto"/>
        <w:rPr>
          <w:sz w:val="20"/>
          <w:szCs w:val="20"/>
          <w:color w:val="auto"/>
        </w:rPr>
      </w:pPr>
      <w:r>
        <w:rPr>
          <w:rFonts w:ascii="Arial" w:cs="Arial" w:eastAsia="Arial" w:hAnsi="Arial"/>
          <w:sz w:val="17"/>
          <w:szCs w:val="17"/>
          <w:color w:val="auto"/>
        </w:rPr>
        <w:t>Ms. Hamill has been a member of our Board of Directors since June 2020. Ms. Hamill has extensive experience in the biopharmaceutical industry, with over 30 years of global commercial experience in a variety of executive leadership positions. Most recently Ms. Hamill served as Executive Vice President, Worldwide Commercial Operations, for Gilead Sciences, Inc., where she was accountable for 2,200 employees and $22 billion in annual revenue and led the global commercial strategic direction and long-term planning. As a member of the executive team she contributed to the corporate strategy and overall governance of the organization. Ms. Hamill also held a number of U.S. and international executive roles at Amgen, over an 18-year career with her last role being Senior Vice President US Commercial Operations, managing 2,000 employees across all Amgen’s therapeutic areas with annual revenue of $20 billion. Ms. Hamill’s areas of therapeutic expertise include inflammation, oncology, gene therapy, nephrology,</w:t>
      </w:r>
    </w:p>
    <w:p>
      <w:pPr>
        <w:ind w:left="1260"/>
        <w:spacing w:after="0"/>
        <w:rPr>
          <w:sz w:val="20"/>
          <w:szCs w:val="20"/>
          <w:color w:val="auto"/>
        </w:rPr>
      </w:pPr>
      <w:r>
        <w:rPr>
          <w:rFonts w:ascii="Arial" w:cs="Arial" w:eastAsia="Arial" w:hAnsi="Arial"/>
          <w:sz w:val="18"/>
          <w:szCs w:val="18"/>
          <w:color w:val="auto"/>
        </w:rPr>
        <w:t>osteoporosis, cardiovascular disease, migraine, HIV, hepatology, GI and anti-infectives. Since</w:t>
      </w:r>
    </w:p>
    <w:p>
      <w:pPr>
        <w:ind w:left="1260"/>
        <w:spacing w:after="0"/>
        <w:rPr>
          <w:sz w:val="20"/>
          <w:szCs w:val="20"/>
          <w:color w:val="auto"/>
        </w:rPr>
      </w:pPr>
      <w:r>
        <w:rPr>
          <w:rFonts w:ascii="Arial" w:cs="Arial" w:eastAsia="Arial" w:hAnsi="Arial"/>
          <w:sz w:val="17"/>
          <w:szCs w:val="17"/>
          <w:color w:val="auto"/>
        </w:rPr>
        <w:t>September 2019, Ms. Hamill has served on the board of directors of AnaptysBio, Inc., (Nasdaq: ANAB) 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publicly traded clinical-stage antibody-based biotechnology company. Since September 2020 Ms. Hamill</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has served on the board of directors of Acceleron Pharma, Inc. (Nasdaq: XLRN), a publicly traded clinical</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stage biopharmaceutical company. Ms. Hamill holds a B.A. in business administration from the University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Arizona.</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III Directors and Director Nominees</w:t>
      </w:r>
    </w:p>
    <w:p>
      <w:pPr>
        <w:spacing w:after="0" w:line="225"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b w:val="1"/>
          <w:bCs w:val="1"/>
          <w:i w:val="1"/>
          <w:iCs w:val="1"/>
          <w:color w:val="auto"/>
        </w:rPr>
        <w:t>Thomas Gad, Founder, Chairman, President and Head of Business Development and Strategy, Director and Director Nominee</w:t>
      </w:r>
    </w:p>
    <w:p>
      <w:pPr>
        <w:spacing w:after="0" w:line="103" w:lineRule="exact"/>
        <w:rPr>
          <w:sz w:val="20"/>
          <w:szCs w:val="20"/>
          <w:color w:val="auto"/>
        </w:rPr>
      </w:pPr>
    </w:p>
    <w:p>
      <w:pPr>
        <w:ind w:left="1260" w:right="619" w:firstLine="360"/>
        <w:spacing w:after="0" w:line="274" w:lineRule="auto"/>
        <w:rPr>
          <w:sz w:val="20"/>
          <w:szCs w:val="20"/>
          <w:color w:val="auto"/>
        </w:rPr>
      </w:pPr>
      <w:r>
        <w:rPr>
          <w:rFonts w:ascii="Arial" w:cs="Arial" w:eastAsia="Arial" w:hAnsi="Arial"/>
          <w:sz w:val="17"/>
          <w:szCs w:val="17"/>
          <w:color w:val="auto"/>
        </w:rPr>
        <w:t>Mr. Gad founded our Company in April 2015 and has served as our Chairman, President and Head of Business Development and Strategy and as a member of our Board of Directors since our inception.</w:t>
      </w:r>
    </w:p>
    <w:p>
      <w:pPr>
        <w:ind w:left="1260" w:right="539"/>
        <w:spacing w:after="0" w:line="251" w:lineRule="auto"/>
        <w:rPr>
          <w:sz w:val="20"/>
          <w:szCs w:val="20"/>
          <w:color w:val="auto"/>
        </w:rPr>
      </w:pPr>
      <w:r>
        <w:rPr>
          <w:rFonts w:ascii="Arial" w:cs="Arial" w:eastAsia="Arial" w:hAnsi="Arial"/>
          <w:sz w:val="18"/>
          <w:szCs w:val="18"/>
          <w:color w:val="auto"/>
        </w:rPr>
        <w:t>Mr. Gad founded our Company inspired by his daughter, who went through six years of various cancer treatments before receiving breakthrough cancer immunotherapy at Memorial Sloan Kettering Cancer Center (“MSK”) and overcoming high-risk neuroblastoma. He was also responsible for securing executive management and seed capital for our Company. Mr. Gad has more than 12 years of industry experience in the pharmaceutical industry, including business development, senior management, financing and licensing negotiations and manufacturing site qualification. He was the co-founder of Singad Pharma, a Danish specialty pharmaceutical and distribution company, from 2003 to 2013. Prior to that, Mr. Gad worked with Aspen Capital Partners/FFC A/S in investment banking from 1998 to 2003 and has extensive experience in raising capital for publicly listed companies. Mr. Gad has a B.S. in Business Administration from Pepperdine University.</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Claus Juan Møller-San Pedro, M.D., Ph.D., Chief Executive Officer, Director and Director Nominee</w:t>
      </w:r>
    </w:p>
    <w:p>
      <w:pPr>
        <w:spacing w:after="0" w:line="156" w:lineRule="exact"/>
        <w:rPr>
          <w:sz w:val="20"/>
          <w:szCs w:val="20"/>
          <w:color w:val="auto"/>
        </w:rPr>
      </w:pPr>
    </w:p>
    <w:p>
      <w:pPr>
        <w:ind w:left="1260" w:right="899" w:firstLine="360"/>
        <w:spacing w:after="0" w:line="308" w:lineRule="auto"/>
        <w:rPr>
          <w:sz w:val="20"/>
          <w:szCs w:val="20"/>
          <w:color w:val="auto"/>
        </w:rPr>
      </w:pPr>
      <w:r>
        <w:rPr>
          <w:rFonts w:ascii="Arial" w:cs="Arial" w:eastAsia="Arial" w:hAnsi="Arial"/>
          <w:sz w:val="17"/>
          <w:szCs w:val="17"/>
          <w:color w:val="auto"/>
        </w:rPr>
        <w:t>Dr. Møller has served as our Chief Executive Officer and has served as a member of our Board of Directors since June 2015. Dr. Møller was the founder of Azanta A/S, or Azanta, a Danish specialty</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biopharmaceutical company and its Chief Executive Officer from 2009 to 2015. In addition, in 1999,</w:t>
      </w:r>
    </w:p>
    <w:p>
      <w:pPr>
        <w:spacing w:after="0" w:line="12" w:lineRule="exact"/>
        <w:rPr>
          <w:sz w:val="20"/>
          <w:szCs w:val="20"/>
          <w:color w:val="auto"/>
        </w:rPr>
      </w:pPr>
    </w:p>
    <w:p>
      <w:pPr>
        <w:ind w:left="1260" w:right="419"/>
        <w:spacing w:after="0" w:line="237" w:lineRule="auto"/>
        <w:rPr>
          <w:sz w:val="20"/>
          <w:szCs w:val="20"/>
          <w:color w:val="auto"/>
        </w:rPr>
      </w:pPr>
      <w:r>
        <w:rPr>
          <w:rFonts w:ascii="Arial" w:cs="Arial" w:eastAsia="Arial" w:hAnsi="Arial"/>
          <w:sz w:val="18"/>
          <w:szCs w:val="18"/>
          <w:color w:val="auto"/>
        </w:rPr>
        <w:t>Dr. Møller co-founded Genmab A/S (“Genmab”), one of the largest European biopharmaceutical companies, where he served as Executive Vice President and Chief Operating Officer until 2008. Dr. Møller has also held previous executive management positions at various biopharmaceutical companies, including Executive Vice President, Chief Medical and Chief Operating Officer of OXiGENE, Inc., and Medical Director of Synthélabo Scandinavia. Dr. Møller received his M.D. and Ph.D. degrees from the University of Copenhagen.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Johan Wedell-Wedellsborg, Director and Director Nominee</w:t>
      </w:r>
    </w:p>
    <w:p>
      <w:pPr>
        <w:spacing w:after="0" w:line="144"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Mr. Wedell-Wedellsborg has been a member of our Board of Directors since September 2015. Mr. Wedell -Wedellsborg has been the owner and Chairman of the board of Weco A/S (“Weco”) since May 2001. Weco is involved in shipping, investments in biotechnology companies, real estate investments and the financial services industry. Mr. Wedell-Wedellsborg is the majority owner of WG Biotech ApS, one of our principal stockholders. Mr. Wedell-Wedellsborg currently serves as a member of our Audit Committee and, if elected as a Class III director at the Annual Meeting, he will continue to serve in that capacity.</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 Matters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Our Board of Directors has the responsibility for establishing broad corporate policies and for overseeing our overall performance. Members of our Board of Directors are kept informed of our business activities through discussions with the Chief Executive Officer, President, Chief Financial Officer and other officers, by reviewing analyses and reports sent to them, and by participating in Board of Directors and committee meetings. Mr. Gad serves as Chairman of our Board of Directors and Dr. Møller as our Chief Executive Officer, and we have not designated a lead independent director. We believe that having the offices of Chairman of our Board of Directors and Chief Executive Officer held by two (2) different people is appropriate for a company of our size and stage of development in order to maximize efficiencies of our limited available personnel resources. In accordance with our amended and restated bylaws, our Board of Directors is divided into three (3) classes with staggered three-year terms. Our Board of Directors presently has an Audit Committee, a Compensation Committee and a Nominating and Corporate Governance Committee. As noted above, Mr. Gill is Chair of our Audit Committee, Dr. Healy is Chair of our Compensation Committee and Dr. Tyagi is Chair of our Nominating and Corporate Governance Committee.</w:t>
      </w:r>
    </w:p>
    <w:p>
      <w:pPr>
        <w:spacing w:after="0" w:line="113" w:lineRule="exact"/>
        <w:rPr>
          <w:sz w:val="20"/>
          <w:szCs w:val="20"/>
          <w:color w:val="auto"/>
        </w:rPr>
      </w:pPr>
    </w:p>
    <w:p>
      <w:pPr>
        <w:ind w:left="1260" w:right="559" w:firstLine="360"/>
        <w:spacing w:after="0" w:line="275" w:lineRule="auto"/>
        <w:rPr>
          <w:sz w:val="20"/>
          <w:szCs w:val="20"/>
          <w:color w:val="auto"/>
        </w:rPr>
      </w:pPr>
      <w:r>
        <w:rPr>
          <w:rFonts w:ascii="Arial" w:cs="Arial" w:eastAsia="Arial" w:hAnsi="Arial"/>
          <w:sz w:val="17"/>
          <w:szCs w:val="17"/>
          <w:color w:val="auto"/>
        </w:rPr>
        <w:t>Our Board of Directors believes that sound governance practices and policies provide an important framework to assist them in fulfilling their duty to stockholders. Our Board of Directors has implemented separate committees for the areas of audit, compensation and nomination of directors, annual review of the independence of our Audit and Compensation Committee members, maintenance of a majority of independent directors, and written expectations of management and directors, among other best practices.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Board Determination of Independence</w:t>
      </w:r>
    </w:p>
    <w:p>
      <w:pPr>
        <w:spacing w:after="0" w:line="144"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Rule 5605 of the Nasdaq Listing Rules requires a majority of a listed company’s board of directors to be comprised of independent directors within one (1) year of listing. In addition, the Nasdaq Listing Rules require that, subject to specified exceptions, each member of a listed company’s audit, compensation and nominating and corporate governance committees be independent under the Exchange Act. Audit committee members must also satisfy the independence criteria set forth in Rule 10A-3 under the Exchange Act, and compensation committee members must also satisfy the independence criteria set forth in Rule 10C-1 under the Exchange Act. Under Rule 5605(a)(2) of the Nasdaq Listing Rules, a director will only qualify as an “independent director” if, in the opinion of the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a company’s board of directors must consider, for each member of a compensation committee</w:t>
      </w:r>
    </w:p>
    <w:p>
      <w:pPr>
        <w:sectPr>
          <w:pgSz w:w="11900" w:h="16838" w:orient="portrait"/>
          <w:cols w:equalWidth="0" w:num="1">
            <w:col w:w="9879"/>
          </w:cols>
          <w:pgMar w:left="580" w:top="132"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color w:val="auto"/>
        </w:rPr>
        <w:t>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11" w:lineRule="exact"/>
        <w:rPr>
          <w:sz w:val="20"/>
          <w:szCs w:val="20"/>
          <w:color w:val="auto"/>
        </w:rPr>
      </w:pPr>
    </w:p>
    <w:p>
      <w:pPr>
        <w:ind w:left="1260" w:right="439" w:firstLine="360"/>
        <w:spacing w:after="0" w:line="284" w:lineRule="auto"/>
        <w:rPr>
          <w:sz w:val="20"/>
          <w:szCs w:val="20"/>
          <w:color w:val="auto"/>
        </w:rPr>
      </w:pPr>
      <w:r>
        <w:rPr>
          <w:rFonts w:ascii="Arial" w:cs="Arial" w:eastAsia="Arial" w:hAnsi="Arial"/>
          <w:sz w:val="16"/>
          <w:szCs w:val="16"/>
          <w:color w:val="auto"/>
        </w:rPr>
        <w:t>In April 2021, our Board of Directors undertook a review of the composition of our Board of Directors and its committees and the independence of each director including the three director nominees. Based upon information requested from and provided by each director including the three director nominees concerning his or her background, employment and affiliations, including family relationships, our Board of Directors has determined that following the Annual Meeting, each of our directors, other than Mr. Gad (if elected) and Dr. Møller (if elected), is an “independent director” as defined under Rule 5605(a)(2) of the Nasdaq Listing Rules. Mr. Gad is not an independent director under Rule 5605(a)(2) because he is our President and</w:t>
      </w:r>
    </w:p>
    <w:p>
      <w:pPr>
        <w:spacing w:after="0" w:line="2" w:lineRule="exact"/>
        <w:rPr>
          <w:sz w:val="20"/>
          <w:szCs w:val="20"/>
          <w:color w:val="auto"/>
        </w:rPr>
      </w:pPr>
    </w:p>
    <w:p>
      <w:pPr>
        <w:ind w:left="1260" w:right="479"/>
        <w:spacing w:after="0" w:line="267" w:lineRule="auto"/>
        <w:rPr>
          <w:sz w:val="20"/>
          <w:szCs w:val="20"/>
          <w:color w:val="auto"/>
        </w:rPr>
      </w:pPr>
      <w:r>
        <w:rPr>
          <w:rFonts w:ascii="Arial" w:cs="Arial" w:eastAsia="Arial" w:hAnsi="Arial"/>
          <w:sz w:val="17"/>
          <w:szCs w:val="17"/>
          <w:color w:val="auto"/>
        </w:rPr>
        <w:t>Dr. Møller is not an independent director under Rule 5605(a)(2) because he is our Chief Executive Officer. Our Board of Directors also determined that each of Mr. Gill, Dr. Healy and Mr. Wedell-Wedellsborg (if elected), all of whom will continue to comprise our Audit Committee following the Annual Meeting, satisfies the independence standards for the Audit Committee established by the SEC and the Nasdaq Listing Rules, including the independence requirements contemplated by Rule 10A-3 under the Exchange Act. Our Board of Directors further determined that, each of Dr. Ber, Mr. Gill and Dr. Healy, members of our Compensation Committee, are independent within the meaning of Rule 10C-1 under the Exchange Act. Finally, our Board of Directors determined that each of Dr. Ber, Mr. Gill and Dr. Tyagi, members of our Nominating and Corporate Governance Committee, meets the independence requirements of the Nasdaq Listing Rules with regard to the independence of the members of nominating and corporate governance committees. In making such determinations, our Board of Directors considered the relationships that each such non-employee director and nominee has with the Company and all other facts and circumstances our Board of Directors deemed relevant in determining independence, including the beneficial ownership of our capital stock by each non-employee director and nominee.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Board of Director Meetings and Attendance</w:t>
      </w:r>
    </w:p>
    <w:p>
      <w:pPr>
        <w:spacing w:after="0" w:line="15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Our Board of Directors held four (4) meetings and acted by written consent four (4) times, during the year ended December 31, 2020 (“fiscal 2020”). During fiscal 2020, each of the directors then in office attended at least 75% of the aggregate of the number of Board of Director meetings and the number of meetings held by all committees of the Board of Directors on which such director then served. Members of our Board of Directors are invited to attend each annual meeting of stockholders.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Communicating with the Independent Directors</w:t>
      </w:r>
    </w:p>
    <w:p>
      <w:pPr>
        <w:spacing w:after="0" w:line="158"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Our Board of Directors will give appropriate attention to written communications that are submitted by stockholders, and will respond if and as appropriate. The Chairman of our Board of Directors (if an independent director), or the lead independent director (if one is appointed), or otherwise the Chair of the Nominating and Corporate Governance Committee, subject to advice and assistance from our Chief Financial Officer, is primarily responsible for monitoring communications from stockholders and for providing copies or summaries to the other directors as he or she considers appropriate.</w:t>
      </w:r>
    </w:p>
    <w:p>
      <w:pPr>
        <w:spacing w:after="0" w:line="97"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the Chairman of our Board of Directors, Chair of our Audit Committee, Chair of our Compensation Committee or Chair of our Nominating and Corporate Governance Committee, as applicable,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27"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Stockholders who wish to send communications on any topic to our Board of Directors should address such communications to Y-mAbs Therapeutics, Inc., Attention: Secretary, 230 Park Avenue, Suite 3350, New York, New York 10169.</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Regarding Committees of the Board of Directors</w:t>
      </w:r>
    </w:p>
    <w:p>
      <w:pPr>
        <w:spacing w:after="0" w:line="14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 xml:space="preserve">We have established an Audit Committee, a Compensation Committee and a Nominating and Corporate Governance Committee. Each of these committees operates under a charter that has been approved by our Board of Directors. A copy of each committee’s charter can be found under the “Investor Relations — Corporate Governance — Governance Overview” section of our website, which is located at </w:t>
      </w:r>
      <w:r>
        <w:rPr>
          <w:rFonts w:ascii="Arial" w:cs="Arial" w:eastAsia="Arial" w:hAnsi="Arial"/>
          <w:sz w:val="18"/>
          <w:szCs w:val="18"/>
          <w:i w:val="1"/>
          <w:iCs w:val="1"/>
          <w:color w:val="auto"/>
        </w:rPr>
        <w:t>www.ymabs.com</w:t>
      </w:r>
      <w:r>
        <w:rPr>
          <w:rFonts w:ascii="Arial" w:cs="Arial" w:eastAsia="Arial" w:hAnsi="Arial"/>
          <w:sz w:val="18"/>
          <w:szCs w:val="18"/>
          <w:color w:val="auto"/>
        </w:rPr>
        <w:t>.</w:t>
      </w:r>
    </w:p>
    <w:p>
      <w:pPr>
        <w:spacing w:after="0" w:line="122"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The following table provides membership and meeting information for fiscal 2020 for each of the committees of the Board of Directors:</w:t>
      </w:r>
    </w:p>
    <w:p>
      <w:pPr>
        <w:spacing w:after="0" w:line="32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Nominating and</w:t>
            </w:r>
          </w:p>
        </w:tc>
      </w:tr>
      <w:tr>
        <w:trPr>
          <w:trHeight w:val="162"/>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Corporate</w:t>
            </w:r>
          </w:p>
        </w:tc>
      </w:tr>
      <w:tr>
        <w:trPr>
          <w:trHeight w:val="186"/>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Audit</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Compensation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Governance</w:t>
            </w:r>
          </w:p>
        </w:tc>
      </w:tr>
      <w:tr>
        <w:trPr>
          <w:trHeight w:val="26"/>
        </w:trPr>
        <w:tc>
          <w:tcPr>
            <w:tcW w:w="4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Gérard Ber</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r>
      <w:tr>
        <w:trPr>
          <w:trHeight w:val="256"/>
        </w:trPr>
        <w:tc>
          <w:tcPr>
            <w:tcW w:w="4840" w:type="dxa"/>
            <w:vAlign w:val="bottom"/>
            <w:gridSpan w:val="2"/>
          </w:tcPr>
          <w:p>
            <w:pPr>
              <w:spacing w:after="0"/>
              <w:rPr>
                <w:sz w:val="20"/>
                <w:szCs w:val="20"/>
                <w:color w:val="auto"/>
              </w:rPr>
            </w:pPr>
            <w:r>
              <w:rPr>
                <w:rFonts w:ascii="Arial" w:cs="Arial" w:eastAsia="Arial" w:hAnsi="Arial"/>
                <w:sz w:val="18"/>
                <w:szCs w:val="18"/>
                <w:color w:val="auto"/>
              </w:rPr>
              <w:t>David N. Gill</w:t>
            </w:r>
          </w:p>
        </w:tc>
        <w:tc>
          <w:tcPr>
            <w:tcW w:w="560" w:type="dxa"/>
            <w:vAlign w:val="bottom"/>
            <w:gridSpan w:val="2"/>
          </w:tcPr>
          <w:p>
            <w:pPr>
              <w:ind w:left="100"/>
              <w:spacing w:after="0" w:line="256" w:lineRule="exact"/>
              <w:rPr>
                <w:sz w:val="20"/>
                <w:szCs w:val="20"/>
                <w:color w:val="auto"/>
              </w:rPr>
            </w:pPr>
            <w:r>
              <w:rPr>
                <w:rFonts w:ascii="Arial" w:cs="Arial" w:eastAsia="Arial" w:hAnsi="Arial"/>
                <w:sz w:val="29"/>
                <w:szCs w:val="29"/>
                <w:color w:val="auto"/>
                <w:vertAlign w:val="subscript"/>
              </w:rPr>
              <w:t>X</w:t>
            </w:r>
            <w:r>
              <w:rPr>
                <w:rFonts w:ascii="Arial" w:cs="Arial" w:eastAsia="Arial" w:hAnsi="Arial"/>
                <w:sz w:val="12"/>
                <w:szCs w:val="12"/>
                <w:color w:val="auto"/>
              </w:rPr>
              <w:t>(1)</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0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57"/>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James I. Healy</w:t>
            </w:r>
          </w:p>
        </w:tc>
        <w:tc>
          <w:tcPr>
            <w:tcW w:w="5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1080" w:type="dxa"/>
            <w:vAlign w:val="bottom"/>
            <w:gridSpan w:val="2"/>
            <w:shd w:val="clear" w:color="auto" w:fill="CCEEFF"/>
          </w:tcPr>
          <w:p>
            <w:pPr>
              <w:ind w:left="360"/>
              <w:spacing w:after="0" w:line="256" w:lineRule="exact"/>
              <w:rPr>
                <w:sz w:val="20"/>
                <w:szCs w:val="20"/>
                <w:color w:val="auto"/>
              </w:rPr>
            </w:pPr>
            <w:r>
              <w:rPr>
                <w:rFonts w:ascii="Arial" w:cs="Arial" w:eastAsia="Arial" w:hAnsi="Arial"/>
                <w:sz w:val="29"/>
                <w:szCs w:val="29"/>
                <w:color w:val="auto"/>
                <w:vertAlign w:val="subscript"/>
              </w:rPr>
              <w:t>X</w:t>
            </w:r>
            <w:r>
              <w:rPr>
                <w:rFonts w:ascii="Arial" w:cs="Arial" w:eastAsia="Arial" w:hAnsi="Arial"/>
                <w:sz w:val="12"/>
                <w:szCs w:val="12"/>
                <w:color w:val="auto"/>
              </w:rPr>
              <w:t>(1)</w:t>
            </w:r>
          </w:p>
        </w:tc>
        <w:tc>
          <w:tcPr>
            <w:tcW w:w="1000" w:type="dxa"/>
            <w:vAlign w:val="bottom"/>
            <w:shd w:val="clear" w:color="auto" w:fill="CCEEFF"/>
          </w:tcPr>
          <w:p>
            <w:pPr>
              <w:spacing w:after="0"/>
              <w:rPr>
                <w:sz w:val="22"/>
                <w:szCs w:val="22"/>
                <w:color w:val="auto"/>
              </w:rPr>
            </w:pPr>
          </w:p>
        </w:tc>
      </w:tr>
      <w:tr>
        <w:trPr>
          <w:trHeight w:val="257"/>
        </w:trPr>
        <w:tc>
          <w:tcPr>
            <w:tcW w:w="4840" w:type="dxa"/>
            <w:vAlign w:val="bottom"/>
            <w:gridSpan w:val="2"/>
          </w:tcPr>
          <w:p>
            <w:pPr>
              <w:spacing w:after="0"/>
              <w:rPr>
                <w:sz w:val="20"/>
                <w:szCs w:val="20"/>
                <w:color w:val="auto"/>
              </w:rPr>
            </w:pPr>
            <w:r>
              <w:rPr>
                <w:rFonts w:ascii="Arial" w:cs="Arial" w:eastAsia="Arial" w:hAnsi="Arial"/>
                <w:sz w:val="18"/>
                <w:szCs w:val="18"/>
                <w:color w:val="auto"/>
              </w:rPr>
              <w:t>Dr. Ashutosh Tyagi</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02"/>
              <w:spacing w:after="0" w:line="256" w:lineRule="exact"/>
              <w:rPr>
                <w:sz w:val="20"/>
                <w:szCs w:val="20"/>
                <w:color w:val="auto"/>
              </w:rPr>
            </w:pPr>
            <w:r>
              <w:rPr>
                <w:rFonts w:ascii="Arial" w:cs="Arial" w:eastAsia="Arial" w:hAnsi="Arial"/>
                <w:sz w:val="29"/>
                <w:szCs w:val="29"/>
                <w:color w:val="auto"/>
                <w:vertAlign w:val="subscript"/>
              </w:rPr>
              <w:t>X</w:t>
            </w:r>
            <w:r>
              <w:rPr>
                <w:rFonts w:ascii="Arial" w:cs="Arial" w:eastAsia="Arial" w:hAnsi="Arial"/>
                <w:sz w:val="12"/>
                <w:szCs w:val="12"/>
                <w:color w:val="auto"/>
              </w:rPr>
              <w:t>(1)</w:t>
            </w:r>
          </w:p>
        </w:tc>
      </w:tr>
      <w:tr>
        <w:trPr>
          <w:trHeight w:val="257"/>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Johan Wedell-Wedellsborg</w:t>
            </w:r>
          </w:p>
        </w:tc>
        <w:tc>
          <w:tcPr>
            <w:tcW w:w="5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7"/>
        </w:trPr>
        <w:tc>
          <w:tcPr>
            <w:tcW w:w="4840" w:type="dxa"/>
            <w:vAlign w:val="bottom"/>
            <w:gridSpan w:val="2"/>
          </w:tcPr>
          <w:p>
            <w:pPr>
              <w:spacing w:after="0"/>
              <w:rPr>
                <w:sz w:val="20"/>
                <w:szCs w:val="20"/>
                <w:color w:val="auto"/>
              </w:rPr>
            </w:pPr>
            <w:r>
              <w:rPr>
                <w:rFonts w:ascii="Arial" w:cs="Arial" w:eastAsia="Arial" w:hAnsi="Arial"/>
                <w:sz w:val="18"/>
                <w:szCs w:val="18"/>
                <w:color w:val="auto"/>
              </w:rPr>
              <w:t>Total meetings in fiscal 2020</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2"/>
                <w:szCs w:val="22"/>
                <w:color w:val="auto"/>
              </w:rPr>
            </w:pPr>
          </w:p>
        </w:tc>
        <w:tc>
          <w:tcPr>
            <w:tcW w:w="1000" w:type="dxa"/>
            <w:vAlign w:val="bottom"/>
          </w:tcPr>
          <w:p>
            <w:pPr>
              <w:jc w:val="right"/>
              <w:ind w:right="362"/>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-985520</wp:posOffset>
            </wp:positionV>
            <wp:extent cx="137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-985520</wp:posOffset>
            </wp:positionV>
            <wp:extent cx="137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-985520</wp:posOffset>
            </wp:positionV>
            <wp:extent cx="137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hanging="36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Committee Chair for fiscal 2020.</w:t>
      </w:r>
    </w:p>
    <w:p>
      <w:pPr>
        <w:spacing w:after="0" w:line="157"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Below is a description of each committee of the Board of Directors.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Audit Committee’s responsibilities include:</w:t>
      </w:r>
    </w:p>
    <w:p>
      <w:pPr>
        <w:spacing w:after="0" w:line="117" w:lineRule="exact"/>
        <w:rPr>
          <w:sz w:val="20"/>
          <w:szCs w:val="20"/>
          <w:color w:val="auto"/>
        </w:rPr>
      </w:pPr>
    </w:p>
    <w:p>
      <w:pPr>
        <w:ind w:left="1800" w:right="53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48"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accounting related complaints and concerns;</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our independent registered public accounting firm and management;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144"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The current members of our Audit Committee are Mr. Gill, Dr. Healy and Mr. Wedell-Wedellsborg. Mr. Gill is Chair of our Audit Committee. Our Board of Directors has determined that Mr. Gill qualifies as an “Audit Committee financial expert” within the meaning of applicable SEC rules. Our Audit Committee held four (4) meetings during fiscal 2020.</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Compensation Committee’s responsibilities include:</w:t>
      </w:r>
    </w:p>
    <w:p>
      <w:pPr>
        <w:spacing w:after="0" w:line="117" w:lineRule="exact"/>
        <w:rPr>
          <w:sz w:val="20"/>
          <w:szCs w:val="20"/>
          <w:color w:val="auto"/>
        </w:rPr>
      </w:pPr>
    </w:p>
    <w:p>
      <w:pPr>
        <w:ind w:left="1800" w:right="149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with respect to, the compensation of our chief executive officer and other executive officers;</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the evaluation of our senior executives;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117" w:lineRule="exact"/>
        <w:rPr>
          <w:rFonts w:ascii="Arial" w:cs="Arial" w:eastAsia="Arial" w:hAnsi="Arial"/>
          <w:sz w:val="18"/>
          <w:szCs w:val="18"/>
          <w:color w:val="auto"/>
        </w:rPr>
      </w:pPr>
    </w:p>
    <w:p>
      <w:pPr>
        <w:ind w:left="1800" w:right="125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such disclosure is then required by SEC rules;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158" w:lineRule="exact"/>
        <w:rPr>
          <w:sz w:val="20"/>
          <w:szCs w:val="20"/>
          <w:color w:val="auto"/>
        </w:rPr>
      </w:pPr>
    </w:p>
    <w:p>
      <w:pPr>
        <w:ind w:left="1260" w:right="1099" w:firstLine="360"/>
        <w:spacing w:after="0" w:line="263" w:lineRule="auto"/>
        <w:rPr>
          <w:sz w:val="20"/>
          <w:szCs w:val="20"/>
          <w:color w:val="auto"/>
        </w:rPr>
      </w:pPr>
      <w:r>
        <w:rPr>
          <w:rFonts w:ascii="Arial" w:cs="Arial" w:eastAsia="Arial" w:hAnsi="Arial"/>
          <w:sz w:val="18"/>
          <w:szCs w:val="18"/>
          <w:color w:val="auto"/>
        </w:rPr>
        <w:t>The processes and procedures followed by our Compensation Committee in considering and determining executive and director compensation are described below under the heading “Narrative Disclosure to Summary Compensation Table”.</w:t>
      </w:r>
    </w:p>
    <w:p>
      <w:pPr>
        <w:spacing w:after="0" w:line="103"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The current members of our Compensation Committee are Dr. Ber, Mr. Gill and Dr. Healy. Dr. Healy is Chair of our Compensation Committee. Our Compensation Committee held one (1) meeting and acted by written consent four (4) times during fiscal 2020.</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117" w:lineRule="exact"/>
        <w:rPr>
          <w:sz w:val="20"/>
          <w:szCs w:val="20"/>
          <w:color w:val="auto"/>
        </w:rPr>
      </w:pPr>
    </w:p>
    <w:p>
      <w:pPr>
        <w:ind w:left="1800" w:right="57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recommending to our board the persons to be nominated for election as directors and to each of our board’s committees;</w:t>
      </w:r>
    </w:p>
    <w:p>
      <w:pPr>
        <w:spacing w:after="0" w:line="62" w:lineRule="exact"/>
        <w:rPr>
          <w:rFonts w:ascii="Arial" w:cs="Arial" w:eastAsia="Arial" w:hAnsi="Arial"/>
          <w:sz w:val="18"/>
          <w:szCs w:val="18"/>
          <w:color w:val="auto"/>
        </w:rPr>
      </w:pPr>
    </w:p>
    <w:p>
      <w:pPr>
        <w:ind w:left="1800" w:right="111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our board leadership structure and board committee structure;</w:t>
      </w:r>
    </w:p>
    <w:p>
      <w:pPr>
        <w:spacing w:after="0" w:line="75"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management succession planning;</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and recommending to our board corporate governance principles;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an annual evaluation of our board.</w:t>
      </w:r>
    </w:p>
    <w:p>
      <w:pPr>
        <w:spacing w:after="0" w:line="144"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The current members of our Nominating and Corporate Governance Committee are Dr. Ber, Mr. Gill and Dr. Tyagi. Dr. Tyagi is the current Chair of the Nominating and Corporate Governance Committee. The Nominating and Corporate Governance Committee held two (2) meetings during fiscal 2020.</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 Nomination Process</w:t>
      </w:r>
    </w:p>
    <w:p>
      <w:pPr>
        <w:spacing w:after="0" w:line="15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process followed by our Nominating and Corporate Governance Committee to identify and evaluate director candidates includes requests to members of our Board of Directors and others for recommendations, meetings from time to time to evaluate biographical information and background material relating to potential candidates and interviews of selected candidates by members of the Nominating and Corporate Governance Committee and our Board of Directors.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Criteria and Diversity</w:t>
      </w:r>
    </w:p>
    <w:p>
      <w:pPr>
        <w:spacing w:after="0" w:line="158"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In considering whether to recommend to our Board of Directors any particular candidate for inclusion in our Board of Directors’ slate of recommended director nominees, including candidates recommended by stockholders, the Nominating and Corporate Governance Committee of our Board of Directors applies the criteria set forth in our corporate governance guidelines. These criteria include the candidate’s integrity, business acumen, knowledge of our business and industry, the ability to act in the interests of all stockholders and lack of conflicts of interest.</w:t>
      </w:r>
    </w:p>
    <w:p>
      <w:pPr>
        <w:spacing w:after="0" w:line="111"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The biographies for the director nominees set forth in this proxy statement under the heading “Board of Directors and Corporate Governance — Election of Directors,” indicate each nominee’s experience, qualifications, attributes and skills that led our Nominating and Corporate Governance Committee and our Board of Directors to conclude that she or he should be elected to serve as a director. Our Nominating</w:t>
      </w:r>
    </w:p>
    <w:p>
      <w:pPr>
        <w:sectPr>
          <w:pgSz w:w="11900" w:h="16838" w:orient="portrait"/>
          <w:cols w:equalWidth="0" w:num="1">
            <w:col w:w="9879"/>
          </w:cols>
          <w:pgMar w:left="580" w:top="131"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8" w:lineRule="auto"/>
        <w:rPr>
          <w:sz w:val="20"/>
          <w:szCs w:val="20"/>
          <w:color w:val="auto"/>
        </w:rPr>
      </w:pPr>
      <w:r>
        <w:rPr>
          <w:rFonts w:ascii="Arial" w:cs="Arial" w:eastAsia="Arial" w:hAnsi="Arial"/>
          <w:sz w:val="18"/>
          <w:szCs w:val="18"/>
          <w:color w:val="auto"/>
        </w:rPr>
        <w:t>and Corporate Governance Committee and our Board of Directors believe that each of the nominees has the individual attributes and characteristics required of each of our directors, and the nominees as a group possess the skill sets and specific experience desired of our Board of Directors as a whole.</w:t>
      </w:r>
    </w:p>
    <w:p>
      <w:pPr>
        <w:spacing w:after="0" w:line="101"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7"/>
          <w:szCs w:val="17"/>
          <w:color w:val="auto"/>
        </w:rPr>
        <w:t>Our Nominating and Corporate Governance Committee does not have a policy (formal or informal) with respect to diversity, but believes that our board, taken as a whole, should embody a diverse set of skills, experiences and backgrounds. In this regard, the Nominating and Corporate Governance Committee also takes into consideration the diversity (for example, with respect to gender, race and national origin) of members of our Board of Directors. The Nominating and Corporate Governance Committee does not make any particular weighting of diversity or any other characteristic in evaluating nominees and directors.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Stockholder Nominations</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Stockholders may recommend individuals to our Nominating and Corporate Governance Committee for consideration as potential director candidates by submitting their names, together with appropriate biographical information and background materials, to Y-mAbs Therapeutics, Inc., Attention: Secretary, 230 Park Avenue, Suite 3350, New York, New York 10169. Assuming that appropriate biographical and background material has been provided on or before the dates set forth in this proxy statement under the heading “Stockholder Proposals for our 2022 Annual Meeting”, the Nominating and Corporate Governance Committee will evaluate stockholder-recommended candidates by following substantially the same process, and applying substantially the same criteria, as it follows for candidates submitted by others. If our Board of Directors determines to nominate a stockholder-recommended candidate and recommends his or her election, then his or her name will be included in our proxy card for the next annual meeting.</w:t>
      </w:r>
    </w:p>
    <w:p>
      <w:pPr>
        <w:spacing w:after="0" w:line="113"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Stockholders also have the right under our amended and restated by-laws to directly nominate director candidates, without any action or recommendation on the part of the Nominating and Corporate Governance Committee or our Board of Directors, by following the procedures set forth in this proxy statement under the heading “Stockholder Proposals for our 2022 Annual Meeting.”</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Oversight of Risk</w:t>
      </w:r>
    </w:p>
    <w:p>
      <w:pPr>
        <w:spacing w:after="0" w:line="144"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7"/>
          <w:szCs w:val="17"/>
          <w:color w:val="auto"/>
        </w:rPr>
        <w:t>Our Board of Directors oversees our risk management processes directly and through its committees. Our management is responsible for risk management on a day-day basis. The role of our Board of Directors and its committees is to oversee the risk management activities of management. Our Board of Directors fulfills this duty by discussing with management the policies and practices utilized by management in assessing and managing risks and providing input on those policies and practices. In general, our Board of Directors oversees risk management activities relating to business strategy, acquisitions, capital allocation, organizational structure and certain operational risks. Our Audit Committee oversees risk management activities related to financial controls and legal and compliance risks. Our Compensation Committee oversees risk management activities relating to our compensation policies and practices. Our Nominating and Corporate Governance Committee oversees risk management activities relating to the composition of our Board of Directors and management succession planning. Each committee reports to the full Board of Directors on a regular basis, including reports with respect to the committee’s risk oversight activities as appropriate. In addition, since risk issues often overlap, committees from time to time request that the full Board of Directors discuss particular risks.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58"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During fiscal 2020, the members of our Compensation Committee were Dr. Healy (chair), Dr. Ber and Mr. Gill. No director serving on the Compensation Committee during any part of fiscal 2020 was, at any time either during or before such fiscal year, an officer or employee of the Company or any of its subsidiaries. None of our executive officers serves, or in the past has served, as a member of the board of directors or Compensation Committee, or other committee serving an equivalent function, of any entity that has one or more executive officers who serve as members of our Board of Directors or our Compensation Committee.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158" w:lineRule="exact"/>
        <w:rPr>
          <w:sz w:val="20"/>
          <w:szCs w:val="20"/>
          <w:color w:val="auto"/>
        </w:rPr>
      </w:pPr>
    </w:p>
    <w:p>
      <w:pPr>
        <w:ind w:left="1260" w:right="1059" w:firstLine="360"/>
        <w:spacing w:after="0" w:line="261"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There are no arrangements or understandings between any two (2) or more of our directors or executive officers or between any of our directors or executive officers and any other person pursuant to which any director or officer was or is to be selected as a director or officer, and there is no arrangement, plan or understanding as to whether non-management stockholders will exercise their voting rights to continue to elect the current Board of Directors. There are also no arrangements, agreements or understandings between non -management stockholders that may directly or indirectly participate in or influence the management of our affairs.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Policy on Trading, Pledging and Hedging of Company Stock</w:t>
      </w:r>
    </w:p>
    <w:p>
      <w:pPr>
        <w:spacing w:after="0" w:line="144"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Certain transactions in our securities (such as purchases and sales of publicly traded put and call options, and short sales, prepaid variable forward contracts, equity swaps, collars and exchange funds)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 public information or otherwise is not permitted to trade in Company securities. Our insider trading policy expressly prohibits our employees, officers and directors, or any of their designees, from purchasing any such financial instruments, or otherwise engaging in transactions that hedge or offset, or are designed to hedge or offset, any decrease in the market value of any of our securities. Our insider trading policy also provides that such individuals should not engage in the trading of options to purchase or sell our securities or in derivative transactions of our stock and expressly prohibits purchases of any derivative securities that provide the economic equivalent of ownership.</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58"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 xml:space="preserve">Our Board of Directors has adopted a written Code of Conduct and ethics that applies to our directors, officers and employees, including our principal executive officer, principal financial officer, principal accounting officer or controller, or persons performing similar functions. Our Code of Conduct has been distributed to all directors, officers, and employees. A copy of our Code of Conduct can be found under the “Investors — Corporate Governance — Governance Overview” section of our website at </w:t>
      </w:r>
      <w:r>
        <w:rPr>
          <w:rFonts w:ascii="Arial" w:cs="Arial" w:eastAsia="Arial" w:hAnsi="Arial"/>
          <w:sz w:val="17"/>
          <w:szCs w:val="17"/>
          <w:i w:val="1"/>
          <w:iCs w:val="1"/>
          <w:color w:val="auto"/>
        </w:rPr>
        <w:t>www.ymabs.com.</w:t>
      </w:r>
      <w:r>
        <w:rPr>
          <w:rFonts w:ascii="Arial" w:cs="Arial" w:eastAsia="Arial" w:hAnsi="Arial"/>
          <w:sz w:val="17"/>
          <w:szCs w:val="17"/>
          <w:color w:val="auto"/>
        </w:rPr>
        <w:t xml:space="preserve"> We intend to disclose future amendments to certain provisions of our Code of Conduct, or waivers of such provisions, applicable to our directors and executive officers, at the same location on our website identified above. The inclusion of our website address in this proxy statement does not include or incorporate by reference the information on our website into this proxy statement.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Our Board of Directors has adopted a written related person transaction policy to set forth policies and procedures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 (a “related party transaction”). Additionally, for the purposes of such related person transaction policy, our Board of Directors has determined that MSK shall be regarded as a related person irrespective of MSK’s beneficial ownership level.</w:t>
      </w:r>
    </w:p>
    <w:p>
      <w:pPr>
        <w:spacing w:after="0" w:line="99"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Any proposed related party transaction must be reported to our chief financial officer. The policy calls for the proposed related person transaction to be reviewed and approved by our Audit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 of our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26" w:lineRule="exact"/>
        <w:rPr>
          <w:sz w:val="20"/>
          <w:szCs w:val="20"/>
          <w:color w:val="auto"/>
        </w:rPr>
      </w:pPr>
    </w:p>
    <w:p>
      <w:pPr>
        <w:ind w:left="1260" w:right="599" w:firstLine="360"/>
        <w:spacing w:after="0" w:line="243" w:lineRule="auto"/>
        <w:rPr>
          <w:sz w:val="20"/>
          <w:szCs w:val="20"/>
          <w:color w:val="auto"/>
        </w:rPr>
      </w:pPr>
      <w:r>
        <w:rPr>
          <w:rFonts w:ascii="Arial" w:cs="Arial" w:eastAsia="Arial" w:hAnsi="Arial"/>
          <w:sz w:val="18"/>
          <w:szCs w:val="18"/>
          <w:color w:val="auto"/>
        </w:rPr>
        <w:t>A related person transaction reviewed under this policy will be considered approved or ratified if it is authorized by our Audit Committee in accordance with the standards set forth in the policy after full disclosure of the related person’s interests in the transaction. As appropriate for the circumstances, the policy provides that our Audit Committee will review and consider:</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103"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03"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the terms that could have been reached with an unrelated third party;</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103"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03" w:lineRule="exact"/>
        <w:rPr>
          <w:sz w:val="20"/>
          <w:szCs w:val="20"/>
          <w:color w:val="auto"/>
        </w:rPr>
      </w:pPr>
    </w:p>
    <w:p>
      <w:pPr>
        <w:ind w:left="1260" w:right="439" w:firstLine="360"/>
        <w:spacing w:after="0" w:line="228" w:lineRule="auto"/>
        <w:rPr>
          <w:sz w:val="20"/>
          <w:szCs w:val="20"/>
          <w:color w:val="auto"/>
        </w:rPr>
      </w:pPr>
      <w:r>
        <w:rPr>
          <w:rFonts w:ascii="Arial" w:cs="Arial" w:eastAsia="Arial" w:hAnsi="Arial"/>
          <w:sz w:val="18"/>
          <w:szCs w:val="18"/>
          <w:color w:val="auto"/>
        </w:rPr>
        <w:t>Our Audit Committee may approve or ratify the related person transaction only if our Audit Committee determines that, under all of the circumstances, the transaction is in our best interests. Our Audit Committee may impose any conditions on the related person transaction as it deems appropriate. The policy also provides that transactions involving compensation of executive officers will be reviewed and approved by our Compensation Committee in the manner specified in its charter.</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Related Person Transactions</w:t>
      </w:r>
    </w:p>
    <w:p>
      <w:pPr>
        <w:spacing w:after="0" w:line="144" w:lineRule="exact"/>
        <w:rPr>
          <w:sz w:val="20"/>
          <w:szCs w:val="20"/>
          <w:color w:val="auto"/>
        </w:rPr>
      </w:pPr>
    </w:p>
    <w:p>
      <w:pPr>
        <w:ind w:left="1260" w:right="439" w:firstLine="360"/>
        <w:spacing w:after="0" w:line="225" w:lineRule="auto"/>
        <w:rPr>
          <w:sz w:val="20"/>
          <w:szCs w:val="20"/>
          <w:color w:val="auto"/>
        </w:rPr>
      </w:pPr>
      <w:r>
        <w:rPr>
          <w:rFonts w:ascii="Arial" w:cs="Arial" w:eastAsia="Arial" w:hAnsi="Arial"/>
          <w:sz w:val="18"/>
          <w:szCs w:val="18"/>
          <w:color w:val="auto"/>
        </w:rPr>
        <w:t>In addition to the compensation arrangements with directors and executive officers described elsewhere in this proxy statement, since January 1, 2020, we have engaged in, or currently propose to engage in, the following transactions in which the amount involved exceeds $120,000 and any of our executive officers, directors, director nominees or 5% stockholders, or their immediate family members, or any person who was in any of those categories at the time of such transaction, had or has a direct or indirect material interest. We believe that all of these transactions were on terms comparable to terms that could have been obtained from unrelated third parties.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SADA Technology</w:t>
      </w:r>
    </w:p>
    <w:p>
      <w:pPr>
        <w:spacing w:after="0" w:line="144"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7"/>
          <w:szCs w:val="17"/>
          <w:color w:val="auto"/>
        </w:rPr>
        <w:t>On April 15, 2020, we entered into a license agreement, or the SADA License Agreement, with MSK and Massachusetts Institute of Technology, or MIT, that grants us an exclusive, worldwide, sublicensable license to certain patent and intellectual property rights developed by MSK and MIT to develop, make, and commercialize licensed products and to perform services for all therapeutic and diagnostic uses in the field of cancer diagnostics and cancer treatments using SADA-BiDE (2-step Self-Assembly and DisAssembly-Bispecific DOTA-Engaging antibody system) Pre-targeted Radioimmunotherapy Platform, or the SADA Technology, a concept we also refer to as Liquid Radiation</w:t>
      </w:r>
      <w:r>
        <w:rPr>
          <w:rFonts w:ascii="Arial" w:cs="Arial" w:eastAsia="Arial" w:hAnsi="Arial"/>
          <w:sz w:val="25"/>
          <w:szCs w:val="25"/>
          <w:color w:val="auto"/>
          <w:vertAlign w:val="superscript"/>
        </w:rPr>
        <w:t>TM</w:t>
      </w:r>
      <w:r>
        <w:rPr>
          <w:rFonts w:ascii="Arial" w:cs="Arial" w:eastAsia="Arial" w:hAnsi="Arial"/>
          <w:sz w:val="17"/>
          <w:szCs w:val="17"/>
          <w:color w:val="auto"/>
        </w:rPr>
        <w:t>. The patents and patent applications covered by the SADA License Agreement are directed, in part, to the SADA Technology, as well as a number of SADA constructs developed by MSK. Upon entering into the SADA License Agreement in April 2020 and in exchange for the licenses, we paid MSK and MIT a cash upfront payment and issued an aggregate of 42,900 shares of our common stock to them. The SADA License Agreement requires us to pay to MSK and MIT mid to high single -digit royalties based on annual net sales of licensed products or the performance of licensed services by us and our affiliates and sublicensees. We are obligated to pay annual minimum royalties of $ 40,000, increasing to $60,000 once a patent has been issued, over the royalty term, commencing on the tenth anniversary of the license agreement. These amounts are non-refundable but are creditable against royalty payments otherwise due under the SADA License Agreement. Under the SADA License Agreement, we also committed to funding scientific research at MSK for up to $1,500,000 over the next three years. Accordingly, in October 2020, we entered into a SADA sponsored research agreement with MSK pursuant to which we agreed to fund $1,500,000 in scientific research at MSK over the next three years to related to the intellectual property licensed under the SADA License Agreement.</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Public Offering</w:t>
      </w:r>
    </w:p>
    <w:p>
      <w:pPr>
        <w:spacing w:after="0" w:line="158"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In February 2021, we completed our follow-on public offering under which we issued and sold an aggregate of 2,804,878 shares of our common stock at a price per share of $41.00, for an aggregate purchase price of approximately $115 million.</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Certain of our greater-than-five percent holders, purchased an aggregate of approximately</w:t>
      </w:r>
    </w:p>
    <w:p>
      <w:pPr>
        <w:spacing w:after="0" w:line="23"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$15.6 million in shares of our common stock in our follow-on public offering in February 2021 at the public offering price. The underwriting discount for the shares sold to such stockholders in the follow-on public offering was the same as the underwriting discount for the shares sold to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Certain information regarding our executive officers is set forth below.</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Age</w:t>
            </w:r>
          </w:p>
        </w:tc>
        <w:tc>
          <w:tcPr>
            <w:tcW w:w="4520" w:type="dxa"/>
            <w:vAlign w:val="bottom"/>
          </w:tcPr>
          <w:p>
            <w:pPr>
              <w:ind w:left="202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22"/>
        </w:trPr>
        <w:tc>
          <w:tcPr>
            <w:tcW w:w="3140" w:type="dxa"/>
            <w:vAlign w:val="bottom"/>
            <w:gridSpan w:val="2"/>
          </w:tcPr>
          <w:p>
            <w:pPr>
              <w:spacing w:after="0"/>
              <w:rPr>
                <w:sz w:val="20"/>
                <w:szCs w:val="20"/>
                <w:color w:val="auto"/>
              </w:rPr>
            </w:pPr>
            <w:r>
              <w:rPr>
                <w:rFonts w:ascii="Arial" w:cs="Arial" w:eastAsia="Arial" w:hAnsi="Arial"/>
                <w:sz w:val="18"/>
                <w:szCs w:val="18"/>
                <w:color w:val="auto"/>
              </w:rPr>
              <w:t>Thomas Gad</w:t>
            </w:r>
          </w:p>
        </w:tc>
        <w:tc>
          <w:tcPr>
            <w:tcW w:w="320" w:type="dxa"/>
            <w:vAlign w:val="bottom"/>
          </w:tcPr>
          <w:p>
            <w:pPr>
              <w:ind w:left="6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Founder, Chairman of the Board of Directors, President and</w:t>
            </w:r>
          </w:p>
        </w:tc>
      </w:tr>
      <w:tr>
        <w:trPr>
          <w:trHeight w:val="230"/>
        </w:trPr>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Head of Business Development and Strategy</w:t>
            </w:r>
          </w:p>
        </w:tc>
      </w:tr>
      <w:tr>
        <w:trPr>
          <w:trHeight w:val="242"/>
        </w:trPr>
        <w:tc>
          <w:tcPr>
            <w:tcW w:w="3140" w:type="dxa"/>
            <w:vAlign w:val="bottom"/>
            <w:gridSpan w:val="2"/>
          </w:tcPr>
          <w:p>
            <w:pPr>
              <w:spacing w:after="0"/>
              <w:rPr>
                <w:sz w:val="20"/>
                <w:szCs w:val="20"/>
                <w:color w:val="auto"/>
              </w:rPr>
            </w:pPr>
            <w:r>
              <w:rPr>
                <w:rFonts w:ascii="Arial" w:cs="Arial" w:eastAsia="Arial" w:hAnsi="Arial"/>
                <w:sz w:val="18"/>
                <w:szCs w:val="18"/>
                <w:color w:val="auto"/>
              </w:rPr>
              <w:t>Claus Juan Møller San Pedro, M.D.,</w:t>
            </w:r>
          </w:p>
        </w:tc>
        <w:tc>
          <w:tcPr>
            <w:tcW w:w="320" w:type="dxa"/>
            <w:vAlign w:val="bottom"/>
          </w:tcPr>
          <w:p>
            <w:pPr>
              <w:ind w:left="6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Ph.D.</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242"/>
        </w:trPr>
        <w:tc>
          <w:tcPr>
            <w:tcW w:w="3140" w:type="dxa"/>
            <w:vAlign w:val="bottom"/>
            <w:gridSpan w:val="2"/>
          </w:tcPr>
          <w:p>
            <w:pPr>
              <w:spacing w:after="0"/>
              <w:rPr>
                <w:sz w:val="20"/>
                <w:szCs w:val="20"/>
                <w:color w:val="auto"/>
              </w:rPr>
            </w:pPr>
            <w:r>
              <w:rPr>
                <w:rFonts w:ascii="Arial" w:cs="Arial" w:eastAsia="Arial" w:hAnsi="Arial"/>
                <w:sz w:val="18"/>
                <w:szCs w:val="18"/>
                <w:color w:val="auto"/>
              </w:rPr>
              <w:t>Bo Kruse</w:t>
            </w:r>
          </w:p>
        </w:tc>
        <w:tc>
          <w:tcPr>
            <w:tcW w:w="320" w:type="dxa"/>
            <w:vAlign w:val="bottom"/>
          </w:tcPr>
          <w:p>
            <w:pPr>
              <w:ind w:left="6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7"/>
              </w:rPr>
              <w:t>Executive Vice President, Secretary, Treasurer, and Chief</w:t>
            </w:r>
          </w:p>
        </w:tc>
      </w:tr>
      <w:tr>
        <w:trPr>
          <w:trHeight w:val="230"/>
        </w:trPr>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Financial Officer</w:t>
            </w: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color w:val="auto"/>
              </w:rPr>
              <w:t>Torben Lund-Hansen, Ph.D.</w:t>
            </w:r>
          </w:p>
        </w:tc>
        <w:tc>
          <w:tcPr>
            <w:tcW w:w="320" w:type="dxa"/>
            <w:vAlign w:val="bottom"/>
          </w:tcPr>
          <w:p>
            <w:pPr>
              <w:ind w:left="6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3"/>
                <w:szCs w:val="23"/>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Senior Vice President and Chief Technical Officer</w:t>
            </w: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color w:val="auto"/>
              </w:rPr>
              <w:t>Steen Lisby, M.D., DMSc</w:t>
            </w:r>
          </w:p>
        </w:tc>
        <w:tc>
          <w:tcPr>
            <w:tcW w:w="320" w:type="dxa"/>
            <w:vAlign w:val="bottom"/>
          </w:tcPr>
          <w:p>
            <w:pPr>
              <w:ind w:left="6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3"/>
                <w:szCs w:val="23"/>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Senior Vice President and Chief Scientific Officer</w:t>
            </w: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color w:val="auto"/>
              </w:rPr>
              <w:t>Joris Wiel Jan Wilms</w:t>
            </w:r>
          </w:p>
        </w:tc>
        <w:tc>
          <w:tcPr>
            <w:tcW w:w="320" w:type="dxa"/>
            <w:vAlign w:val="bottom"/>
          </w:tcPr>
          <w:p>
            <w:pPr>
              <w:ind w:left="6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3"/>
                <w:szCs w:val="23"/>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Senior Vice President and Chief Operating Officer</w:t>
            </w: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color w:val="auto"/>
              </w:rPr>
              <w:t>Philip Herman</w:t>
            </w:r>
          </w:p>
        </w:tc>
        <w:tc>
          <w:tcPr>
            <w:tcW w:w="320" w:type="dxa"/>
            <w:vAlign w:val="bottom"/>
          </w:tcPr>
          <w:p>
            <w:pPr>
              <w:ind w:left="6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3"/>
                <w:szCs w:val="23"/>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Senior Vice President and Chief Commercial Officer</w:t>
            </w:r>
          </w:p>
        </w:tc>
      </w:tr>
      <w:tr>
        <w:trPr>
          <w:trHeight w:val="270"/>
        </w:trPr>
        <w:tc>
          <w:tcPr>
            <w:tcW w:w="3140" w:type="dxa"/>
            <w:vAlign w:val="bottom"/>
            <w:gridSpan w:val="2"/>
          </w:tcPr>
          <w:p>
            <w:pPr>
              <w:spacing w:after="0"/>
              <w:rPr>
                <w:sz w:val="20"/>
                <w:szCs w:val="20"/>
                <w:color w:val="auto"/>
              </w:rPr>
            </w:pPr>
            <w:r>
              <w:rPr>
                <w:rFonts w:ascii="Arial" w:cs="Arial" w:eastAsia="Arial" w:hAnsi="Arial"/>
                <w:sz w:val="18"/>
                <w:szCs w:val="18"/>
                <w:color w:val="auto"/>
              </w:rPr>
              <w:t>Vignesh Rajah, M.D.</w:t>
            </w:r>
          </w:p>
        </w:tc>
        <w:tc>
          <w:tcPr>
            <w:tcW w:w="320" w:type="dxa"/>
            <w:vAlign w:val="bottom"/>
          </w:tcPr>
          <w:p>
            <w:pPr>
              <w:ind w:left="6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3"/>
                <w:szCs w:val="23"/>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Senior Vice President and Chief Medical Officer</w:t>
            </w:r>
          </w:p>
        </w:tc>
      </w:tr>
    </w:tbl>
    <w:p>
      <w:pPr>
        <w:spacing w:after="0" w:line="134"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Certain additional information concerning the individuals named above is set forth below. This information is based on information furnished us by each individual noted.</w:t>
      </w:r>
    </w:p>
    <w:p>
      <w:pPr>
        <w:spacing w:after="0" w:line="103"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b w:val="1"/>
          <w:bCs w:val="1"/>
          <w:i w:val="1"/>
          <w:iCs w:val="1"/>
          <w:color w:val="auto"/>
        </w:rPr>
        <w:t xml:space="preserve">Thomas Gad, Founder, Chairman, President and Head of Business Development and Strategy — </w:t>
      </w:r>
      <w:r>
        <w:rPr>
          <w:rFonts w:ascii="Arial" w:cs="Arial" w:eastAsia="Arial" w:hAnsi="Arial"/>
          <w:sz w:val="18"/>
          <w:szCs w:val="18"/>
          <w:color w:val="auto"/>
        </w:rPr>
        <w:t>Please see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and Corporate Governance — Election of Directors” above for biographical information regarding Mr. Gad.</w:t>
      </w:r>
    </w:p>
    <w:p>
      <w:pPr>
        <w:spacing w:after="0" w:line="116"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b w:val="1"/>
          <w:bCs w:val="1"/>
          <w:i w:val="1"/>
          <w:iCs w:val="1"/>
          <w:color w:val="auto"/>
        </w:rPr>
        <w:t xml:space="preserve">Claus Juan Møller-San Pedro, M.D., Ph.D. — </w:t>
      </w:r>
      <w:r>
        <w:rPr>
          <w:rFonts w:ascii="Arial" w:cs="Arial" w:eastAsia="Arial" w:hAnsi="Arial"/>
          <w:sz w:val="18"/>
          <w:szCs w:val="18"/>
          <w:color w:val="auto"/>
        </w:rPr>
        <w:t>Please see “Board of Directors and Corporate Governance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Election of Directors” above for biographical information regarding Dr. Møller.</w:t>
      </w:r>
    </w:p>
    <w:p>
      <w:pPr>
        <w:spacing w:after="0" w:line="89" w:lineRule="exact"/>
        <w:rPr>
          <w:sz w:val="20"/>
          <w:szCs w:val="20"/>
          <w:color w:val="auto"/>
        </w:rPr>
      </w:pPr>
    </w:p>
    <w:p>
      <w:pPr>
        <w:ind w:left="1260" w:right="479" w:firstLine="360"/>
        <w:spacing w:after="0" w:line="285" w:lineRule="auto"/>
        <w:rPr>
          <w:sz w:val="20"/>
          <w:szCs w:val="20"/>
          <w:color w:val="auto"/>
        </w:rPr>
      </w:pPr>
      <w:r>
        <w:rPr>
          <w:rFonts w:ascii="Arial" w:cs="Arial" w:eastAsia="Arial" w:hAnsi="Arial"/>
          <w:sz w:val="16"/>
          <w:szCs w:val="16"/>
          <w:b w:val="1"/>
          <w:bCs w:val="1"/>
          <w:i w:val="1"/>
          <w:iCs w:val="1"/>
          <w:color w:val="auto"/>
        </w:rPr>
        <w:t xml:space="preserve">Bo Kruse, Chief Financial Officer, Treasurer and Secretary — </w:t>
      </w:r>
      <w:r>
        <w:rPr>
          <w:rFonts w:ascii="Arial" w:cs="Arial" w:eastAsia="Arial" w:hAnsi="Arial"/>
          <w:sz w:val="16"/>
          <w:szCs w:val="16"/>
          <w:color w:val="auto"/>
        </w:rPr>
        <w:t>Mr. Kruse has served as our Executive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Secretary, Treasurer and Chief Financial Officer since June 2015. Mr. Kruse also served as a member of our Board of Directors from June 2015 to June 2019. Mr. Kruse has broad international finance experience, including knowledge of capital markets, accounting and other financing activities. Prior to joining our company, Mr. Kruse was Azanta’s Chief Financial Officer from 2009 to 2015. Further,</w:t>
      </w:r>
    </w:p>
    <w:p>
      <w:pPr>
        <w:spacing w:after="0" w:line="2" w:lineRule="exact"/>
        <w:rPr>
          <w:sz w:val="20"/>
          <w:szCs w:val="20"/>
          <w:color w:val="auto"/>
        </w:rPr>
      </w:pPr>
    </w:p>
    <w:p>
      <w:pPr>
        <w:ind w:left="1260" w:right="539"/>
        <w:spacing w:after="0" w:line="253" w:lineRule="auto"/>
        <w:rPr>
          <w:sz w:val="20"/>
          <w:szCs w:val="20"/>
          <w:color w:val="auto"/>
        </w:rPr>
      </w:pPr>
      <w:r>
        <w:rPr>
          <w:rFonts w:ascii="Arial" w:cs="Arial" w:eastAsia="Arial" w:hAnsi="Arial"/>
          <w:sz w:val="18"/>
          <w:szCs w:val="18"/>
          <w:color w:val="auto"/>
        </w:rPr>
        <w:t>Mr. Kruse served as Genmab’s Vice President and Chief Financial Officer from 2005 to 2008 and in a number of other positions, including as Vice President and Chief Accounting Officer from 2000 to 2005. During his tenure at Genmab, Mr. Kruse was directly involved in several financing rounds, including Genmab’s initial public offering in 2000. Mr. Kruse has a M.Sc. in Business Economics and Auditing from the Copenhagen Business School.</w:t>
      </w:r>
    </w:p>
    <w:p>
      <w:pPr>
        <w:spacing w:after="0" w:line="123"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b w:val="1"/>
          <w:bCs w:val="1"/>
          <w:i w:val="1"/>
          <w:iCs w:val="1"/>
          <w:color w:val="auto"/>
        </w:rPr>
        <w:t xml:space="preserve">Torben Lund-Hansen, Ph.D., Senior Vice President and Chief Technical Officer — </w:t>
      </w:r>
      <w:r>
        <w:rPr>
          <w:rFonts w:ascii="Arial" w:cs="Arial" w:eastAsia="Arial" w:hAnsi="Arial"/>
          <w:sz w:val="17"/>
          <w:szCs w:val="17"/>
          <w:color w:val="auto"/>
        </w:rPr>
        <w:t>Dr. Lund-Hansen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our Senior Vice President and Chief Technical Officer since January 2016. Dr. Lund-Hansen has substantial experience in antibody process development, commercial manufacturing and global project management. Dr. Lund-Hansen was Vice President and Head of Manufacturing from 2002 to 2006, Vice President and Head of Manufacturing and Preclinical Safety from 2006 to 2008 and Senior Vice President, Technical Operations from 2008 to 2009 at Genmab and President and Treasurer at Genmab MN Inc., a wholly owned subsidiary of Genmab located near Minneapolis-St. Paul, Minnesota, from 2008 to 2009. At Genmab, Dr. Lund-Hansen was responsible for outsourcing of clinical and commercial drug substance and drug product manufacturing. He was also President and Treasurer from 2008 to 2009 of Genmab MN Inc. Dr. Lund-Hansen was the owner of Lund-Hansen Consulting ApS from 2009 to 2016, where he provided consulting services related to manufacturing processes for biopharmaceutical-related industries. Dr. Lund-Hansen has been responsible for compiling technical Chemistry, Manufacturing, and Controls documentation packages submitted to global regulatory agencies followed by approval and launch of several biologics. Dr. Lund-Hansen received his M.Sc. and Ph.D. from the University of Copenhagen.</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b w:val="1"/>
          <w:bCs w:val="1"/>
          <w:i w:val="1"/>
          <w:iCs w:val="1"/>
          <w:color w:val="auto"/>
        </w:rPr>
        <w:t xml:space="preserve">Steen Lisby, M.D., DMSc, Senior Vice President and Chief Scientific Officer — </w:t>
      </w:r>
      <w:r>
        <w:rPr>
          <w:rFonts w:ascii="Arial" w:cs="Arial" w:eastAsia="Arial" w:hAnsi="Arial"/>
          <w:sz w:val="17"/>
          <w:szCs w:val="17"/>
          <w:color w:val="auto"/>
        </w:rPr>
        <w:t>Dr. Lisby joined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in June 2017 as our Senior Vice President and Chief Medical Officer and he served in that capacity until June 2020 when his position was changed to Senior Vice President and Chief Scientific Officer. Dr. Lisby has extensive clinical and scientific experience, and is the author of over 50 scientific peer-reviewed publications in clinical research. Previously, Dr. Lisby was Vice President, Head of Medical at Genmab A/S from 2014 to 2017 and also held other positions there including Senior Medical Director from 2010 to 2014, Medical Director from 2008 to 2010 and Medical Advisor from 2004 to 2007. Dr. Lisby received his M.D. degree from the University of Copenhagen and is a named inventor on seven patent applications. Dr. Lisby oversees our Research &amp; Development Laboratories located in Nutley, New Jersey.</w:t>
      </w:r>
    </w:p>
    <w:p>
      <w:pPr>
        <w:spacing w:after="0" w:line="10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b w:val="1"/>
          <w:bCs w:val="1"/>
          <w:i w:val="1"/>
          <w:iCs w:val="1"/>
          <w:color w:val="auto"/>
        </w:rPr>
        <w:t xml:space="preserve">Joris Wiel Jan Wilms, Senior Vice President and Chief Operating Officer — </w:t>
      </w:r>
      <w:r>
        <w:rPr>
          <w:rFonts w:ascii="Arial" w:cs="Arial" w:eastAsia="Arial" w:hAnsi="Arial"/>
          <w:sz w:val="18"/>
          <w:szCs w:val="18"/>
          <w:color w:val="auto"/>
        </w:rPr>
        <w:t>Mr. Wilms has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Vice President and Chief Operating Officer since November 2017. Mr. Wilms joined our Company in July 2016 as Vice President and Head of Clinical Operations and has extensive industry experience in clinical development, primarily within oncology and hematology indications. Mr. Wilms was at KLIFO A/S (“KLIFO”) from 2010 to 2016, where he served as Vice President — Clinical Trial Services and Pharmacovigilance Services, and at Genmab from 2004 to 2010, where he served as Associate Director of Clinical Development from 2008 to 2010. At KLIFO and Genmab, he was responsible for overseeing several first-in- human studies and pivotal clinical trials, leading to the approval of two monoclonal antibody-based products. Mr. Wilms received his M.Sc. in Pharmacy from the University of Groningen in The Netherlands.</w:t>
      </w:r>
    </w:p>
    <w:p>
      <w:pPr>
        <w:spacing w:after="0" w:line="121"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b w:val="1"/>
          <w:bCs w:val="1"/>
          <w:i w:val="1"/>
          <w:iCs w:val="1"/>
          <w:color w:val="auto"/>
        </w:rPr>
        <w:t xml:space="preserve">Philip Herman, Senior Vice President and Chief Commercial Officer — </w:t>
      </w:r>
      <w:r>
        <w:rPr>
          <w:rFonts w:ascii="Arial" w:cs="Arial" w:eastAsia="Arial" w:hAnsi="Arial"/>
          <w:sz w:val="17"/>
          <w:szCs w:val="17"/>
          <w:color w:val="auto"/>
        </w:rPr>
        <w:t>Mr. Herman joined our Company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2018 as Vice President and Chief Commercial Officer and since January 1, 2020 has been Senior Vice President and Chief Commercial Officer. Mr. Herman brings extensive commercial experience with a focus in oncology and rare diseases. He has a proven track record of commercial success, including launch and sales attainment across the full product life cycle. Previous positions include VP, Head of Santhera U.S. and Head of Commercial, Head of Marketing at Dyax Corp., Director of Marketing at Vanda Pharmaceuticals, and various commercial positions of increasing responsibility at Pfizer. Mr. Herman received his MBA from the Kellogg School of Management at Northwestern University.</w:t>
      </w:r>
    </w:p>
    <w:p>
      <w:pPr>
        <w:spacing w:after="0" w:line="113" w:lineRule="exact"/>
        <w:rPr>
          <w:sz w:val="20"/>
          <w:szCs w:val="20"/>
          <w:color w:val="auto"/>
        </w:rPr>
      </w:pPr>
    </w:p>
    <w:p>
      <w:pPr>
        <w:jc w:val="both"/>
        <w:ind w:left="1260" w:right="1039" w:firstLine="360"/>
        <w:spacing w:after="0" w:line="274" w:lineRule="auto"/>
        <w:rPr>
          <w:sz w:val="20"/>
          <w:szCs w:val="20"/>
          <w:color w:val="auto"/>
        </w:rPr>
      </w:pPr>
      <w:r>
        <w:rPr>
          <w:rFonts w:ascii="Arial" w:cs="Arial" w:eastAsia="Arial" w:hAnsi="Arial"/>
          <w:sz w:val="16"/>
          <w:szCs w:val="16"/>
          <w:b w:val="1"/>
          <w:bCs w:val="1"/>
          <w:i w:val="1"/>
          <w:iCs w:val="1"/>
          <w:color w:val="auto"/>
        </w:rPr>
        <w:t xml:space="preserve">Vignesh Rajah, MBBS, DCH, MRCP(UK), MBA, Senior Vice President and Chief Medical Officer — </w:t>
      </w:r>
      <w:r>
        <w:rPr>
          <w:rFonts w:ascii="Arial" w:cs="Arial" w:eastAsia="Arial" w:hAnsi="Arial"/>
          <w:sz w:val="16"/>
          <w:szCs w:val="16"/>
          <w:color w:val="auto"/>
        </w:rPr>
        <w:t>Dr. Rajah joined our company in June 2020 as our Senior Vice President and Chief Medical Officer.</w:t>
      </w:r>
    </w:p>
    <w:p>
      <w:pPr>
        <w:spacing w:after="0" w:line="1" w:lineRule="exact"/>
        <w:rPr>
          <w:sz w:val="20"/>
          <w:szCs w:val="20"/>
          <w:color w:val="auto"/>
        </w:rPr>
      </w:pPr>
    </w:p>
    <w:p>
      <w:pPr>
        <w:ind w:left="1260" w:right="519"/>
        <w:spacing w:after="0" w:line="236" w:lineRule="auto"/>
        <w:rPr>
          <w:sz w:val="20"/>
          <w:szCs w:val="20"/>
          <w:color w:val="auto"/>
        </w:rPr>
      </w:pPr>
      <w:r>
        <w:rPr>
          <w:rFonts w:ascii="Arial" w:cs="Arial" w:eastAsia="Arial" w:hAnsi="Arial"/>
          <w:sz w:val="18"/>
          <w:szCs w:val="18"/>
          <w:color w:val="auto"/>
        </w:rPr>
        <w:t>Dr. Rajah qualified as physician in University of London, and has 10 years’ experience in hospital practice, specializing in Internal Medicine and Paediatric Critical Care in the United Kingdom. He brings extensive experience in medical affairs since joining the industry in 2001, with roles of increasing seniority in global pharma companies including Sanofi, Wyeth LLC and most recently GlaxoSmithKline plc, (“GSK”), covering multiple therapeutic areas such as Oncology, Vaccines, Immunology and Respiratory. In his most recent role in GSK, from 2015 to 2020 he was VP, Europe Area Medical Head managing a large medical organization, accountable for medical affair activities in pre-launch and post-launch phase, life-cycle management of medicines, safety and pharmacovigilance, medical governance, and building industry-leading medical capabilities.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Introduction</w:t>
      </w:r>
    </w:p>
    <w:p>
      <w:pPr>
        <w:spacing w:after="0" w:line="140"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This section sets forth our Compensation Discussion and Analysis (“</w:t>
      </w:r>
      <w:r>
        <w:rPr>
          <w:rFonts w:ascii="Arial" w:cs="Arial" w:eastAsia="Arial" w:hAnsi="Arial"/>
          <w:sz w:val="18"/>
          <w:szCs w:val="18"/>
          <w:b w:val="1"/>
          <w:bCs w:val="1"/>
          <w:color w:val="auto"/>
        </w:rPr>
        <w:t>CD&amp;A</w:t>
      </w:r>
      <w:r>
        <w:rPr>
          <w:rFonts w:ascii="Arial" w:cs="Arial" w:eastAsia="Arial" w:hAnsi="Arial"/>
          <w:sz w:val="18"/>
          <w:szCs w:val="18"/>
          <w:color w:val="auto"/>
        </w:rPr>
        <w:t>”) and presents the material elements of our executive compensation policies and practices for our “named executive officers” and the most important factors relevant to an analysis of these policies. In addition, this section provides qualitative information regarding the manner and context in which compensation is awarded to and earned by our named executive officers and is intended to place in perspective the data presented in the following tables and the corresponding narrative.</w:t>
      </w:r>
    </w:p>
    <w:p>
      <w:pPr>
        <w:spacing w:after="0" w:line="120"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For fiscal 2020, our “named executive officers” were: Thomas Gad, our Founder, Chairman, President and Head of Business Development and Strategy, Claus Juan Møller-San Pedro, M.D., Ph.D., our Chief Executive Officer, Bo Kruse, our Executive Vice President, Secretary, Treasurer and Chief Financial Officer, Philip Herman, our Senior Vice President and Chief Commercial Officer and Dr. Vignesh Rajah, our Senior Vice President and Chief Medical Officer.</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Dr. Møller is our Principal Executive Officer and Mr. Kruse is our Principal Financial Officer.</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Main objectives</w:t>
      </w:r>
    </w:p>
    <w:p>
      <w:pPr>
        <w:spacing w:after="0" w:line="144"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The main objectives of our executive compensation program are to (i) attract, retain and reward executive officers who contribute to our long-term success; (ii) align compensation with the short- and long-term interests of stockholders; and (iii) motivate and reward high levels of team and individual performance. These objectives collectively seek to link executive officer compensation to our overall performance, which helps to align the interests of our executives with the interests of our stockholders.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158"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We believe that by structuring the executive compensation program so that a significant portion of our named executive officers’ pay is at risk, including a meaningful equity-based component, we can best ensure our named executive officers are incentivized to maximize our performance and increase value for our stockholders. To this end, our program is comprised of three primary elements:</w:t>
      </w:r>
    </w:p>
    <w:p>
      <w:pPr>
        <w:sectPr>
          <w:pgSz w:w="11900" w:h="16838" w:orient="portrait"/>
          <w:cols w:equalWidth="0" w:num="1">
            <w:col w:w="9879"/>
          </w:cols>
          <w:pgMar w:left="580" w:top="131" w:right="1440" w:bottom="1440" w:gutter="0" w:footer="0" w:header="0"/>
        </w:sectPr>
      </w:pP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Compensation Element</w:t>
            </w:r>
          </w:p>
        </w:tc>
        <w:tc>
          <w:tcPr>
            <w:tcW w:w="2380" w:type="dxa"/>
            <w:vAlign w:val="bottom"/>
          </w:tcPr>
          <w:p>
            <w:pPr>
              <w:spacing w:after="0"/>
              <w:rPr>
                <w:sz w:val="20"/>
                <w:szCs w:val="20"/>
                <w:color w:val="auto"/>
              </w:rPr>
            </w:pPr>
            <w:r>
              <w:rPr>
                <w:rFonts w:ascii="Arial" w:cs="Arial" w:eastAsia="Arial" w:hAnsi="Arial"/>
                <w:sz w:val="14"/>
                <w:szCs w:val="14"/>
                <w:b w:val="1"/>
                <w:bCs w:val="1"/>
                <w:color w:val="auto"/>
              </w:rPr>
              <w:t>Objective</w:t>
            </w:r>
          </w:p>
        </w:tc>
      </w:tr>
      <w:tr>
        <w:trPr>
          <w:trHeight w:val="26"/>
        </w:trPr>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22"/>
        </w:trPr>
        <w:tc>
          <w:tcPr>
            <w:tcW w:w="2160" w:type="dxa"/>
            <w:vAlign w:val="bottom"/>
            <w:gridSpan w:val="2"/>
          </w:tcPr>
          <w:p>
            <w:pPr>
              <w:spacing w:after="0"/>
              <w:rPr>
                <w:sz w:val="20"/>
                <w:szCs w:val="20"/>
                <w:color w:val="auto"/>
              </w:rPr>
            </w:pPr>
            <w:r>
              <w:rPr>
                <w:rFonts w:ascii="Arial" w:cs="Arial" w:eastAsia="Arial" w:hAnsi="Arial"/>
                <w:sz w:val="18"/>
                <w:szCs w:val="18"/>
                <w:color w:val="auto"/>
              </w:rPr>
              <w:t>Base Salary (fixed cash)</w:t>
            </w:r>
          </w:p>
        </w:tc>
        <w:tc>
          <w:tcPr>
            <w:tcW w:w="2380" w:type="dxa"/>
            <w:vAlign w:val="bottom"/>
          </w:tcPr>
          <w:p>
            <w:pPr>
              <w:spacing w:after="0"/>
              <w:rPr>
                <w:sz w:val="20"/>
                <w:szCs w:val="20"/>
                <w:color w:val="auto"/>
              </w:rPr>
            </w:pPr>
            <w:r>
              <w:rPr>
                <w:rFonts w:ascii="Arial" w:cs="Arial" w:eastAsia="Arial" w:hAnsi="Arial"/>
                <w:sz w:val="18"/>
                <w:szCs w:val="18"/>
                <w:color w:val="auto"/>
              </w:rPr>
              <w:t>To attract and retain</w:t>
            </w:r>
          </w:p>
        </w:tc>
      </w:tr>
      <w:tr>
        <w:trPr>
          <w:trHeight w:val="230"/>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executives.</w:t>
            </w:r>
          </w:p>
        </w:tc>
      </w:tr>
      <w:tr>
        <w:trPr>
          <w:trHeight w:val="674"/>
        </w:trPr>
        <w:tc>
          <w:tcPr>
            <w:tcW w:w="2160" w:type="dxa"/>
            <w:vAlign w:val="bottom"/>
            <w:gridSpan w:val="2"/>
          </w:tcPr>
          <w:p>
            <w:pPr>
              <w:spacing w:after="0"/>
              <w:rPr>
                <w:sz w:val="20"/>
                <w:szCs w:val="20"/>
                <w:color w:val="auto"/>
              </w:rPr>
            </w:pPr>
            <w:r>
              <w:rPr>
                <w:rFonts w:ascii="Arial" w:cs="Arial" w:eastAsia="Arial" w:hAnsi="Arial"/>
                <w:sz w:val="18"/>
                <w:szCs w:val="18"/>
                <w:color w:val="auto"/>
              </w:rPr>
              <w:t>Annual Performance</w:t>
            </w:r>
          </w:p>
        </w:tc>
        <w:tc>
          <w:tcPr>
            <w:tcW w:w="2380" w:type="dxa"/>
            <w:vAlign w:val="bottom"/>
          </w:tcPr>
          <w:p>
            <w:pPr>
              <w:spacing w:after="0"/>
              <w:rPr>
                <w:sz w:val="20"/>
                <w:szCs w:val="20"/>
                <w:color w:val="auto"/>
              </w:rPr>
            </w:pPr>
            <w:r>
              <w:rPr>
                <w:rFonts w:ascii="Arial" w:cs="Arial" w:eastAsia="Arial" w:hAnsi="Arial"/>
                <w:sz w:val="18"/>
                <w:szCs w:val="18"/>
                <w:color w:val="auto"/>
              </w:rPr>
              <w:t>To motivate and reward the</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Bonus (at-risk cash)</w:t>
            </w:r>
          </w:p>
        </w:tc>
        <w:tc>
          <w:tcPr>
            <w:tcW w:w="2380" w:type="dxa"/>
            <w:vAlign w:val="bottom"/>
          </w:tcPr>
          <w:p>
            <w:pPr>
              <w:spacing w:after="0"/>
              <w:rPr>
                <w:sz w:val="20"/>
                <w:szCs w:val="20"/>
                <w:color w:val="auto"/>
              </w:rPr>
            </w:pPr>
            <w:r>
              <w:rPr>
                <w:rFonts w:ascii="Arial" w:cs="Arial" w:eastAsia="Arial" w:hAnsi="Arial"/>
                <w:sz w:val="18"/>
                <w:szCs w:val="18"/>
                <w:color w:val="auto"/>
                <w:w w:val="98"/>
              </w:rPr>
              <w:t>achievement of our short-term</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strategic and business goals</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that support our longer term</w:t>
            </w:r>
          </w:p>
        </w:tc>
      </w:tr>
      <w:tr>
        <w:trPr>
          <w:trHeight w:val="230"/>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objectives.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60"/>
        <w:spacing w:after="0"/>
        <w:tabs>
          <w:tab w:leader="none" w:pos="3400" w:val="left"/>
        </w:tabs>
        <w:rPr>
          <w:sz w:val="20"/>
          <w:szCs w:val="20"/>
          <w:color w:val="auto"/>
        </w:rPr>
      </w:pPr>
      <w:r>
        <w:rPr>
          <w:rFonts w:ascii="Arial" w:cs="Arial" w:eastAsia="Arial" w:hAnsi="Arial"/>
          <w:sz w:val="18"/>
          <w:szCs w:val="18"/>
          <w:color w:val="auto"/>
        </w:rPr>
        <w:t>Long Term Equity</w:t>
      </w:r>
      <w:r>
        <w:rPr>
          <w:sz w:val="20"/>
          <w:szCs w:val="20"/>
          <w:color w:val="auto"/>
        </w:rPr>
        <w:tab/>
      </w:r>
      <w:r>
        <w:rPr>
          <w:rFonts w:ascii="Arial" w:cs="Arial" w:eastAsia="Arial" w:hAnsi="Arial"/>
          <w:sz w:val="16"/>
          <w:szCs w:val="16"/>
          <w:color w:val="auto"/>
        </w:rPr>
        <w:t>To motivate and reward</w:t>
      </w:r>
    </w:p>
    <w:p>
      <w:pPr>
        <w:spacing w:after="0" w:line="23" w:lineRule="exact"/>
        <w:rPr>
          <w:sz w:val="20"/>
          <w:szCs w:val="20"/>
          <w:color w:val="auto"/>
        </w:rPr>
      </w:pPr>
    </w:p>
    <w:p>
      <w:pPr>
        <w:ind w:left="1260"/>
        <w:spacing w:after="0"/>
        <w:tabs>
          <w:tab w:leader="none" w:pos="3400" w:val="left"/>
        </w:tabs>
        <w:rPr>
          <w:sz w:val="20"/>
          <w:szCs w:val="20"/>
          <w:color w:val="auto"/>
        </w:rPr>
      </w:pPr>
      <w:r>
        <w:rPr>
          <w:rFonts w:ascii="Arial" w:cs="Arial" w:eastAsia="Arial" w:hAnsi="Arial"/>
          <w:sz w:val="18"/>
          <w:szCs w:val="18"/>
          <w:color w:val="auto"/>
        </w:rPr>
        <w:t>Awards (at-risk equity)</w:t>
      </w:r>
      <w:r>
        <w:rPr>
          <w:sz w:val="20"/>
          <w:szCs w:val="20"/>
          <w:color w:val="auto"/>
        </w:rPr>
        <w:tab/>
      </w:r>
      <w:r>
        <w:rPr>
          <w:rFonts w:ascii="Arial" w:cs="Arial" w:eastAsia="Arial" w:hAnsi="Arial"/>
          <w:sz w:val="17"/>
          <w:szCs w:val="17"/>
          <w:color w:val="auto"/>
        </w:rPr>
        <w:t>executives for long-term</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company performance; aligns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executives’ interests with</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stockholder interests and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changes in stockholder value.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Attracts highly qualified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executives and encourages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their continued employment</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over the long-term.</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21945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jc w:val="both"/>
        <w:ind w:right="519"/>
        <w:spacing w:after="0" w:line="259" w:lineRule="auto"/>
        <w:rPr>
          <w:sz w:val="20"/>
          <w:szCs w:val="20"/>
          <w:color w:val="auto"/>
        </w:rPr>
      </w:pPr>
      <w:r>
        <w:rPr>
          <w:rFonts w:ascii="Arial" w:cs="Arial" w:eastAsia="Arial" w:hAnsi="Arial"/>
          <w:sz w:val="18"/>
          <w:szCs w:val="18"/>
          <w:color w:val="auto"/>
        </w:rPr>
        <w:t>Fixed compensation that is competitive with peer company data and that recognizes each executive’s position, role, responsibility and experience.</w:t>
      </w:r>
    </w:p>
    <w:p>
      <w:pPr>
        <w:spacing w:after="0" w:line="11" w:lineRule="exact"/>
        <w:rPr>
          <w:sz w:val="20"/>
          <w:szCs w:val="20"/>
          <w:color w:val="auto"/>
        </w:rPr>
      </w:pPr>
    </w:p>
    <w:p>
      <w:pPr>
        <w:ind w:right="1039"/>
        <w:spacing w:after="0" w:line="291" w:lineRule="auto"/>
        <w:rPr>
          <w:sz w:val="20"/>
          <w:szCs w:val="20"/>
          <w:color w:val="auto"/>
        </w:rPr>
      </w:pPr>
      <w:r>
        <w:rPr>
          <w:rFonts w:ascii="Arial" w:cs="Arial" w:eastAsia="Arial" w:hAnsi="Arial"/>
          <w:sz w:val="16"/>
          <w:szCs w:val="16"/>
          <w:color w:val="auto"/>
        </w:rPr>
        <w:t>Target annual performance bonus opportunities, which are expressed as</w:t>
      </w:r>
    </w:p>
    <w:p>
      <w:pPr>
        <w:ind w:right="779"/>
        <w:spacing w:after="0" w:line="260" w:lineRule="auto"/>
        <w:rPr>
          <w:sz w:val="20"/>
          <w:szCs w:val="20"/>
          <w:color w:val="auto"/>
        </w:rPr>
      </w:pPr>
      <w:r>
        <w:rPr>
          <w:rFonts w:ascii="Arial" w:cs="Arial" w:eastAsia="Arial" w:hAnsi="Arial"/>
          <w:sz w:val="18"/>
          <w:szCs w:val="18"/>
          <w:color w:val="auto"/>
        </w:rPr>
        <w:t>a percentage of base salary, are reviewed annually.</w:t>
      </w:r>
    </w:p>
    <w:p>
      <w:pPr>
        <w:spacing w:after="0" w:line="77" w:lineRule="exact"/>
        <w:rPr>
          <w:sz w:val="20"/>
          <w:szCs w:val="20"/>
          <w:color w:val="auto"/>
        </w:rPr>
      </w:pPr>
    </w:p>
    <w:p>
      <w:pPr>
        <w:ind w:right="459"/>
        <w:spacing w:after="0" w:line="255" w:lineRule="auto"/>
        <w:rPr>
          <w:sz w:val="20"/>
          <w:szCs w:val="20"/>
          <w:color w:val="auto"/>
        </w:rPr>
      </w:pPr>
      <w:r>
        <w:rPr>
          <w:rFonts w:ascii="Arial" w:cs="Arial" w:eastAsia="Arial" w:hAnsi="Arial"/>
          <w:sz w:val="18"/>
          <w:szCs w:val="18"/>
          <w:color w:val="auto"/>
        </w:rPr>
        <w:t>Actual bonus payments are determined at the end of the year and are dependent upon the actual achievement of specific corporate performance objectives, determined by our Compensation Committee and our Board of Directors.</w:t>
      </w:r>
    </w:p>
    <w:p>
      <w:pPr>
        <w:spacing w:after="0" w:line="44" w:lineRule="exact"/>
        <w:rPr>
          <w:sz w:val="20"/>
          <w:szCs w:val="20"/>
          <w:color w:val="auto"/>
        </w:rPr>
      </w:pPr>
    </w:p>
    <w:p>
      <w:pPr>
        <w:ind w:right="619"/>
        <w:spacing w:after="0" w:line="308" w:lineRule="auto"/>
        <w:rPr>
          <w:sz w:val="20"/>
          <w:szCs w:val="20"/>
          <w:color w:val="auto"/>
        </w:rPr>
      </w:pPr>
      <w:r>
        <w:rPr>
          <w:rFonts w:ascii="Arial" w:cs="Arial" w:eastAsia="Arial" w:hAnsi="Arial"/>
          <w:sz w:val="17"/>
          <w:szCs w:val="17"/>
          <w:color w:val="auto"/>
        </w:rPr>
        <w:t>Stock options that are subject to multi-year vesting based on continued service.</w:t>
      </w:r>
    </w:p>
    <w:p>
      <w:pPr>
        <w:spacing w:after="0" w:line="38" w:lineRule="exact"/>
        <w:rPr>
          <w:sz w:val="20"/>
          <w:szCs w:val="20"/>
          <w:color w:val="auto"/>
        </w:rPr>
      </w:pPr>
    </w:p>
    <w:p>
      <w:pPr>
        <w:ind w:right="499"/>
        <w:spacing w:after="0" w:line="271" w:lineRule="auto"/>
        <w:rPr>
          <w:sz w:val="20"/>
          <w:szCs w:val="20"/>
          <w:color w:val="auto"/>
        </w:rPr>
      </w:pPr>
      <w:r>
        <w:rPr>
          <w:rFonts w:ascii="Arial" w:cs="Arial" w:eastAsia="Arial" w:hAnsi="Arial"/>
          <w:sz w:val="17"/>
          <w:szCs w:val="17"/>
          <w:color w:val="auto"/>
        </w:rPr>
        <w:t>Individual awards are determined based on a number of factors, including current corporate and individual performance, outstanding equity holdings and their retention value and total ownership, internal equity among executives and competitive market data provided by our compensation committee’s compensation consultant.</w:t>
      </w:r>
    </w:p>
    <w:p>
      <w:pPr>
        <w:spacing w:after="0" w:line="138" w:lineRule="exact"/>
        <w:rPr>
          <w:sz w:val="20"/>
          <w:szCs w:val="20"/>
          <w:color w:val="auto"/>
        </w:rPr>
      </w:pPr>
    </w:p>
    <w:p>
      <w:pPr>
        <w:sectPr>
          <w:pgSz w:w="11900" w:h="16838" w:orient="portrait"/>
          <w:cols w:equalWidth="0" w:num="2">
            <w:col w:w="5800" w:space="220"/>
            <w:col w:w="3859"/>
          </w:cols>
          <w:pgMar w:left="580" w:top="131" w:right="1440" w:bottom="1440" w:gutter="0" w:footer="0" w:header="0"/>
          <w:type w:val="continuous"/>
        </w:sectPr>
      </w:pPr>
    </w:p>
    <w:p>
      <w:pPr>
        <w:ind w:left="1260" w:right="579" w:firstLine="360"/>
        <w:spacing w:after="0" w:line="248" w:lineRule="auto"/>
        <w:rPr>
          <w:sz w:val="20"/>
          <w:szCs w:val="20"/>
          <w:color w:val="auto"/>
        </w:rPr>
      </w:pPr>
      <w:r>
        <w:rPr>
          <w:rFonts w:ascii="Arial" w:cs="Arial" w:eastAsia="Arial" w:hAnsi="Arial"/>
          <w:sz w:val="18"/>
          <w:szCs w:val="18"/>
          <w:color w:val="auto"/>
        </w:rPr>
        <w:t>These individual compensation elements are intended to create a total compensation package for each named executive officer that we believe supports the achievement of our compensation objectives and provides competitive compensation opportunities.</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review compensation for our executive officers annually.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Role of our Compensation Committee, Management and Consultant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Compensation Committee</w:t>
      </w:r>
    </w:p>
    <w:p>
      <w:pPr>
        <w:spacing w:after="0" w:line="158"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Our Compensation Committee makes recommendations to our Board with respect to base salaries, bonuses and grants of equity incentive awards for our our executive management team, consisting of Mr. Gad, Dr. Møller and Mr. Kruse. In proposing base salaries, bonuses and equity incentive awards, our</w:t>
      </w:r>
    </w:p>
    <w:p>
      <w:pPr>
        <w:sectPr>
          <w:pgSz w:w="11900" w:h="16838" w:orient="portrait"/>
          <w:cols w:equalWidth="0" w:num="1">
            <w:col w:w="9879"/>
          </w:cols>
          <w:pgMar w:left="580" w:top="131" w:right="1440" w:bottom="1440" w:gutter="0" w:footer="0" w:header="0"/>
          <w:type w:val="continuous"/>
        </w:sectPr>
      </w:pP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9" w:lineRule="auto"/>
        <w:rPr>
          <w:sz w:val="20"/>
          <w:szCs w:val="20"/>
          <w:color w:val="auto"/>
        </w:rPr>
      </w:pPr>
      <w:r>
        <w:rPr>
          <w:rFonts w:ascii="Arial" w:cs="Arial" w:eastAsia="Arial" w:hAnsi="Arial"/>
          <w:sz w:val="17"/>
          <w:szCs w:val="17"/>
          <w:color w:val="auto"/>
        </w:rPr>
        <w:t>Compensation Committee considers compensation for comparable positions in the market, the historical compensation levels of our executives, individual and corporate performance as compared to our expectations and objectives, our desire to motivate our employees to achieve short- and long-term results that are in the best interests of our stockholders, and a long-term commitment to our company. The Compensation Committee conducts performance evaluations of our executive management team.</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Management</w:t>
      </w:r>
    </w:p>
    <w:p>
      <w:pPr>
        <w:spacing w:after="0" w:line="144" w:lineRule="exact"/>
        <w:rPr>
          <w:sz w:val="20"/>
          <w:szCs w:val="20"/>
          <w:color w:val="auto"/>
        </w:rPr>
      </w:pPr>
    </w:p>
    <w:p>
      <w:pPr>
        <w:ind w:left="1260" w:right="619" w:firstLine="360"/>
        <w:spacing w:after="0" w:line="241" w:lineRule="auto"/>
        <w:rPr>
          <w:sz w:val="20"/>
          <w:szCs w:val="20"/>
          <w:color w:val="auto"/>
        </w:rPr>
      </w:pPr>
      <w:r>
        <w:rPr>
          <w:rFonts w:ascii="Arial" w:cs="Arial" w:eastAsia="Arial" w:hAnsi="Arial"/>
          <w:sz w:val="18"/>
          <w:szCs w:val="18"/>
          <w:color w:val="auto"/>
        </w:rPr>
        <w:t>The Compensation Committee consults with our executive management team and with the Board of Directors as to the achievement of corporate objectives that drive contingent compensation awards. Performance evaluations of other employees, including our other named executive officers, are performed by the executive management team. Based on this evaluation, base salary for the coming year and cash bonuses for the current year are determined.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Consultant</w:t>
      </w:r>
    </w:p>
    <w:p>
      <w:pPr>
        <w:spacing w:after="0" w:line="15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Our Compensation Committee has the authority to retain compensation consultants and other outside advisors to assist in the evaluation of executive officer compensation. Our Compensation Committee considered compensation information provided in fiscal years 2018, 2019 and 2020 by Radford, part of Aon Hewitt, a business unit of Aon plc, as its independent compensation consultant, in determining cash compensation and equity awards. The Compensation Committee assessed Radford’s independence and concluded that no conflict of interest existed that would prevent Radford from independently advising the Compensation Committee. The Compensation Committee intends to continue to assess the independence of any of our compensation advisors, consistent with applicable Nasdaq Listing Rules and rules and regulations under the Exchange Act.</w:t>
      </w:r>
    </w:p>
    <w:p>
      <w:pPr>
        <w:spacing w:after="0" w:line="124"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The Compensation Committee has the authority to engage and terminate Radford’s services. While we compensate Radford for its services, Radford has no authority to make compensation decisions on behalf of the Compensation Committee or the Company. From time to time Radford may attend Compensation Committee meetings either in person or via conference call as deemed appropriate by the Chair of the Compensation Committee. Our executive management team provides historical data, reviews reports for accuracy and interacts directly with Radford. The Compensation Committee, at its discretion, may also communicate and meet separately with Radford.</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Radford provided the following services to the Compensation Committee:</w:t>
      </w:r>
    </w:p>
    <w:p>
      <w:pPr>
        <w:spacing w:after="0" w:line="117" w:lineRule="exact"/>
        <w:rPr>
          <w:sz w:val="20"/>
          <w:szCs w:val="20"/>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reviewed and provided recommendations on the composition of our peer group;</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provided compensation data related to executives and directors at our peer group based on data from SEC filings and the Radford Global Life Sciences Survey;</w:t>
      </w:r>
    </w:p>
    <w:p>
      <w:pPr>
        <w:spacing w:after="0" w:line="62"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conducted a competitive review of the compensation of our named executive officers and members of our Board of Directors, including advising on the design and structure of our equity incentive compensation program; and</w:t>
      </w:r>
    </w:p>
    <w:p>
      <w:pPr>
        <w:spacing w:after="0" w:line="75"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prepared an analysis of our share usage under our 2018 Equity Incentive Plan (the “2018 Plan”), in comparison to our peer group based on data from SEC filings.</w:t>
      </w:r>
    </w:p>
    <w:p>
      <w:pPr>
        <w:spacing w:after="0" w:line="89"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Radford’s fee for this engagement in 2020 was less than $120,000. The Compensation Committee determined that these services did not constitute a conflict of interest or prevent Radford from objectively performing its work for the Compensation Committee.</w:t>
      </w:r>
    </w:p>
    <w:p>
      <w:pPr>
        <w:spacing w:after="0" w:line="11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The Compensation Committee believes it is important when making its compensation-related decisions to be informed as to current compensation practices of comparable publicly held companies in the life sciences industry. As noted above, Radford was engaged by our Compensation Committee to develop a peer group for market assessment and conduct a competitive compensation assessment for our executive management team, our senior management team, our Board of Directors and our broad-based employee population. Among other things, Radford provided competitive compensation data for purposes of benchmarking our equity grant values and targets, our bonus targets and structure, our total direct compensation, our target incentive opportunities and our base salaries and target total cash compensation</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48" w:lineRule="auto"/>
        <w:rPr>
          <w:sz w:val="20"/>
          <w:szCs w:val="20"/>
          <w:color w:val="auto"/>
        </w:rPr>
      </w:pPr>
      <w:r>
        <w:rPr>
          <w:rFonts w:ascii="Arial" w:cs="Arial" w:eastAsia="Arial" w:hAnsi="Arial"/>
          <w:sz w:val="18"/>
          <w:szCs w:val="18"/>
          <w:color w:val="auto"/>
        </w:rPr>
        <w:t>for executive officers and directors. The peer group is a group of publicly traded, national and regional companies in the biopharmaceutical and biotechnology industries that were selected based on a balance of the following criteria:</w:t>
      </w:r>
    </w:p>
    <w:p>
      <w:pPr>
        <w:spacing w:after="0" w:line="74" w:lineRule="exact"/>
        <w:rPr>
          <w:sz w:val="20"/>
          <w:szCs w:val="20"/>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industry;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size (market capitalization);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 headcount;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years since its initial public offering;</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research and development expenditures;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 stage of lead product candidate;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similarity/relevance (biologics, therapeutic area, etc.).</w:t>
      </w:r>
    </w:p>
    <w:p>
      <w:pPr>
        <w:spacing w:after="0" w:line="144"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Our Compensation Committee, in consultation with Radford, annually evaluates the composition of our peer group and adjusts its composition for factors such as recent acquisitions of peer companies, new markets that we have entered or changes in the technology market landscape. We believe that our peer group for fiscal 2020, referred to herein as our “2020 peer group”, continues to be aligned with our strategic vision and positions us to attract, retain and engage high performing leaders.</w:t>
      </w:r>
    </w:p>
    <w:p>
      <w:pPr>
        <w:spacing w:after="0" w:line="122"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Based on these criteria, our 2020 peer group was approved by our Compensation Committee and was comprised of the companies listed below:</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Acceleron Pharma. Inc.</w:t>
            </w:r>
          </w:p>
        </w:tc>
        <w:tc>
          <w:tcPr>
            <w:tcW w:w="3140" w:type="dxa"/>
            <w:vAlign w:val="bottom"/>
          </w:tcPr>
          <w:p>
            <w:pPr>
              <w:ind w:left="100"/>
              <w:spacing w:after="0"/>
              <w:rPr>
                <w:sz w:val="20"/>
                <w:szCs w:val="20"/>
                <w:color w:val="auto"/>
              </w:rPr>
            </w:pPr>
            <w:r>
              <w:rPr>
                <w:rFonts w:ascii="Arial" w:cs="Arial" w:eastAsia="Arial" w:hAnsi="Arial"/>
                <w:sz w:val="18"/>
                <w:szCs w:val="18"/>
                <w:color w:val="auto"/>
              </w:rPr>
              <w:t>Aimmune Therapeutics, Inc.</w:t>
            </w:r>
          </w:p>
        </w:tc>
        <w:tc>
          <w:tcPr>
            <w:tcW w:w="2520" w:type="dxa"/>
            <w:vAlign w:val="bottom"/>
          </w:tcPr>
          <w:p>
            <w:pPr>
              <w:ind w:left="80"/>
              <w:spacing w:after="0"/>
              <w:rPr>
                <w:sz w:val="20"/>
                <w:szCs w:val="20"/>
                <w:color w:val="auto"/>
              </w:rPr>
            </w:pPr>
            <w:r>
              <w:rPr>
                <w:rFonts w:ascii="Arial" w:cs="Arial" w:eastAsia="Arial" w:hAnsi="Arial"/>
                <w:sz w:val="18"/>
                <w:szCs w:val="18"/>
                <w:color w:val="auto"/>
              </w:rPr>
              <w:t>AnaptsysBio, Inc.</w:t>
            </w:r>
          </w:p>
        </w:tc>
      </w:tr>
      <w:tr>
        <w:trPr>
          <w:trHeight w:val="243"/>
        </w:trPr>
        <w:tc>
          <w:tcPr>
            <w:tcW w:w="2280" w:type="dxa"/>
            <w:vAlign w:val="bottom"/>
          </w:tcPr>
          <w:p>
            <w:pPr>
              <w:spacing w:after="0"/>
              <w:rPr>
                <w:sz w:val="20"/>
                <w:szCs w:val="20"/>
                <w:color w:val="auto"/>
              </w:rPr>
            </w:pPr>
            <w:r>
              <w:rPr>
                <w:rFonts w:ascii="Arial" w:cs="Arial" w:eastAsia="Arial" w:hAnsi="Arial"/>
                <w:sz w:val="18"/>
                <w:szCs w:val="18"/>
                <w:color w:val="auto"/>
              </w:rPr>
              <w:t>Atara Biotherapeutics, Inc.</w:t>
            </w:r>
          </w:p>
        </w:tc>
        <w:tc>
          <w:tcPr>
            <w:tcW w:w="3140" w:type="dxa"/>
            <w:vAlign w:val="bottom"/>
          </w:tcPr>
          <w:p>
            <w:pPr>
              <w:ind w:left="100"/>
              <w:spacing w:after="0"/>
              <w:rPr>
                <w:sz w:val="20"/>
                <w:szCs w:val="20"/>
                <w:color w:val="auto"/>
              </w:rPr>
            </w:pPr>
            <w:r>
              <w:rPr>
                <w:rFonts w:ascii="Arial" w:cs="Arial" w:eastAsia="Arial" w:hAnsi="Arial"/>
                <w:sz w:val="18"/>
                <w:szCs w:val="18"/>
                <w:color w:val="auto"/>
                <w:w w:val="97"/>
              </w:rPr>
              <w:t>Corbus Pharmaceuticals Holdings, Inc.</w:t>
            </w:r>
          </w:p>
        </w:tc>
        <w:tc>
          <w:tcPr>
            <w:tcW w:w="2520" w:type="dxa"/>
            <w:vAlign w:val="bottom"/>
          </w:tcPr>
          <w:p>
            <w:pPr>
              <w:ind w:left="80"/>
              <w:spacing w:after="0"/>
              <w:rPr>
                <w:sz w:val="20"/>
                <w:szCs w:val="20"/>
                <w:color w:val="auto"/>
              </w:rPr>
            </w:pPr>
            <w:r>
              <w:rPr>
                <w:rFonts w:ascii="Arial" w:cs="Arial" w:eastAsia="Arial" w:hAnsi="Arial"/>
                <w:sz w:val="18"/>
                <w:szCs w:val="18"/>
                <w:color w:val="auto"/>
                <w:w w:val="93"/>
              </w:rPr>
              <w:t>Deciphera Pharmaceuticals, Inc.</w:t>
            </w:r>
          </w:p>
        </w:tc>
      </w:tr>
      <w:tr>
        <w:trPr>
          <w:trHeight w:val="257"/>
        </w:trPr>
        <w:tc>
          <w:tcPr>
            <w:tcW w:w="2280" w:type="dxa"/>
            <w:vAlign w:val="bottom"/>
          </w:tcPr>
          <w:p>
            <w:pPr>
              <w:spacing w:after="0"/>
              <w:rPr>
                <w:sz w:val="20"/>
                <w:szCs w:val="20"/>
                <w:color w:val="auto"/>
              </w:rPr>
            </w:pPr>
            <w:r>
              <w:rPr>
                <w:rFonts w:ascii="Arial" w:cs="Arial" w:eastAsia="Arial" w:hAnsi="Arial"/>
                <w:sz w:val="18"/>
                <w:szCs w:val="18"/>
                <w:color w:val="auto"/>
              </w:rPr>
              <w:t>Esperion Therapeutics, Inc.</w:t>
            </w:r>
          </w:p>
        </w:tc>
        <w:tc>
          <w:tcPr>
            <w:tcW w:w="3140" w:type="dxa"/>
            <w:vAlign w:val="bottom"/>
          </w:tcPr>
          <w:p>
            <w:pPr>
              <w:ind w:left="100"/>
              <w:spacing w:after="0"/>
              <w:rPr>
                <w:sz w:val="20"/>
                <w:szCs w:val="20"/>
                <w:color w:val="auto"/>
              </w:rPr>
            </w:pPr>
            <w:r>
              <w:rPr>
                <w:rFonts w:ascii="Arial" w:cs="Arial" w:eastAsia="Arial" w:hAnsi="Arial"/>
                <w:sz w:val="18"/>
                <w:szCs w:val="18"/>
                <w:color w:val="auto"/>
              </w:rPr>
              <w:t>G1 Therapeutics, Inc.</w:t>
            </w:r>
          </w:p>
        </w:tc>
        <w:tc>
          <w:tcPr>
            <w:tcW w:w="2520" w:type="dxa"/>
            <w:vAlign w:val="bottom"/>
          </w:tcPr>
          <w:p>
            <w:pPr>
              <w:ind w:left="80"/>
              <w:spacing w:after="0"/>
              <w:rPr>
                <w:sz w:val="20"/>
                <w:szCs w:val="20"/>
                <w:color w:val="auto"/>
              </w:rPr>
            </w:pPr>
            <w:r>
              <w:rPr>
                <w:rFonts w:ascii="Arial" w:cs="Arial" w:eastAsia="Arial" w:hAnsi="Arial"/>
                <w:sz w:val="18"/>
                <w:szCs w:val="18"/>
                <w:color w:val="auto"/>
                <w:w w:val="96"/>
              </w:rPr>
              <w:t>Global Blood Therapeutics. Inc.</w:t>
            </w:r>
          </w:p>
        </w:tc>
      </w:tr>
      <w:tr>
        <w:trPr>
          <w:trHeight w:val="270"/>
        </w:trPr>
        <w:tc>
          <w:tcPr>
            <w:tcW w:w="2280" w:type="dxa"/>
            <w:vAlign w:val="bottom"/>
          </w:tcPr>
          <w:p>
            <w:pPr>
              <w:spacing w:after="0"/>
              <w:rPr>
                <w:sz w:val="20"/>
                <w:szCs w:val="20"/>
                <w:color w:val="auto"/>
              </w:rPr>
            </w:pPr>
            <w:r>
              <w:rPr>
                <w:rFonts w:ascii="Arial" w:cs="Arial" w:eastAsia="Arial" w:hAnsi="Arial"/>
                <w:sz w:val="18"/>
                <w:szCs w:val="18"/>
                <w:color w:val="auto"/>
                <w:w w:val="99"/>
              </w:rPr>
              <w:t>Intra-Cellular Therapies, Inc.</w:t>
            </w:r>
          </w:p>
        </w:tc>
        <w:tc>
          <w:tcPr>
            <w:tcW w:w="3140" w:type="dxa"/>
            <w:vAlign w:val="bottom"/>
          </w:tcPr>
          <w:p>
            <w:pPr>
              <w:ind w:left="100"/>
              <w:spacing w:after="0"/>
              <w:rPr>
                <w:sz w:val="20"/>
                <w:szCs w:val="20"/>
                <w:color w:val="auto"/>
              </w:rPr>
            </w:pPr>
            <w:r>
              <w:rPr>
                <w:rFonts w:ascii="Arial" w:cs="Arial" w:eastAsia="Arial" w:hAnsi="Arial"/>
                <w:sz w:val="18"/>
                <w:szCs w:val="18"/>
                <w:color w:val="auto"/>
              </w:rPr>
              <w:t>Iovance Biotherapeutics, Inc.</w:t>
            </w:r>
          </w:p>
        </w:tc>
        <w:tc>
          <w:tcPr>
            <w:tcW w:w="2520" w:type="dxa"/>
            <w:vAlign w:val="bottom"/>
          </w:tcPr>
          <w:p>
            <w:pPr>
              <w:ind w:left="80"/>
              <w:spacing w:after="0"/>
              <w:rPr>
                <w:sz w:val="20"/>
                <w:szCs w:val="20"/>
                <w:color w:val="auto"/>
              </w:rPr>
            </w:pPr>
            <w:r>
              <w:rPr>
                <w:rFonts w:ascii="Arial" w:cs="Arial" w:eastAsia="Arial" w:hAnsi="Arial"/>
                <w:sz w:val="18"/>
                <w:szCs w:val="18"/>
                <w:color w:val="auto"/>
              </w:rPr>
              <w:t>Karyopharm Therapeutics Inc.</w:t>
            </w:r>
          </w:p>
        </w:tc>
      </w:tr>
      <w:tr>
        <w:trPr>
          <w:trHeight w:val="270"/>
        </w:trPr>
        <w:tc>
          <w:tcPr>
            <w:tcW w:w="2280" w:type="dxa"/>
            <w:vAlign w:val="bottom"/>
          </w:tcPr>
          <w:p>
            <w:pPr>
              <w:spacing w:after="0"/>
              <w:rPr>
                <w:sz w:val="20"/>
                <w:szCs w:val="20"/>
                <w:color w:val="auto"/>
              </w:rPr>
            </w:pPr>
            <w:r>
              <w:rPr>
                <w:rFonts w:ascii="Arial" w:cs="Arial" w:eastAsia="Arial" w:hAnsi="Arial"/>
                <w:sz w:val="18"/>
                <w:szCs w:val="18"/>
                <w:color w:val="auto"/>
              </w:rPr>
              <w:t>Kura Oncology, Inc.</w:t>
            </w:r>
          </w:p>
        </w:tc>
        <w:tc>
          <w:tcPr>
            <w:tcW w:w="3140" w:type="dxa"/>
            <w:vAlign w:val="bottom"/>
          </w:tcPr>
          <w:p>
            <w:pPr>
              <w:ind w:left="100"/>
              <w:spacing w:after="0"/>
              <w:rPr>
                <w:sz w:val="20"/>
                <w:szCs w:val="20"/>
                <w:color w:val="auto"/>
              </w:rPr>
            </w:pPr>
            <w:r>
              <w:rPr>
                <w:rFonts w:ascii="Arial" w:cs="Arial" w:eastAsia="Arial" w:hAnsi="Arial"/>
                <w:sz w:val="18"/>
                <w:szCs w:val="18"/>
                <w:color w:val="auto"/>
              </w:rPr>
              <w:t>Odonate Therapeutics, Inc.</w:t>
            </w:r>
          </w:p>
        </w:tc>
        <w:tc>
          <w:tcPr>
            <w:tcW w:w="2520" w:type="dxa"/>
            <w:vAlign w:val="bottom"/>
          </w:tcPr>
          <w:p>
            <w:pPr>
              <w:ind w:left="80"/>
              <w:spacing w:after="0"/>
              <w:rPr>
                <w:sz w:val="20"/>
                <w:szCs w:val="20"/>
                <w:color w:val="auto"/>
              </w:rPr>
            </w:pPr>
            <w:r>
              <w:rPr>
                <w:rFonts w:ascii="Arial" w:cs="Arial" w:eastAsia="Arial" w:hAnsi="Arial"/>
                <w:sz w:val="18"/>
                <w:szCs w:val="18"/>
                <w:color w:val="auto"/>
              </w:rPr>
              <w:t>Reata Pharmaceuticals, Inc.</w:t>
            </w:r>
          </w:p>
        </w:tc>
      </w:tr>
      <w:tr>
        <w:trPr>
          <w:trHeight w:val="270"/>
        </w:trPr>
        <w:tc>
          <w:tcPr>
            <w:tcW w:w="2280" w:type="dxa"/>
            <w:vAlign w:val="bottom"/>
          </w:tcPr>
          <w:p>
            <w:pPr>
              <w:spacing w:after="0"/>
              <w:rPr>
                <w:sz w:val="20"/>
                <w:szCs w:val="20"/>
                <w:color w:val="auto"/>
              </w:rPr>
            </w:pPr>
            <w:r>
              <w:rPr>
                <w:rFonts w:ascii="Arial" w:cs="Arial" w:eastAsia="Arial" w:hAnsi="Arial"/>
                <w:sz w:val="18"/>
                <w:szCs w:val="18"/>
                <w:color w:val="auto"/>
              </w:rPr>
              <w:t>Revance Therapeutics, Inc.</w:t>
            </w:r>
          </w:p>
        </w:tc>
        <w:tc>
          <w:tcPr>
            <w:tcW w:w="3140" w:type="dxa"/>
            <w:vAlign w:val="bottom"/>
          </w:tcPr>
          <w:p>
            <w:pPr>
              <w:ind w:left="100"/>
              <w:spacing w:after="0"/>
              <w:rPr>
                <w:sz w:val="20"/>
                <w:szCs w:val="20"/>
                <w:color w:val="auto"/>
              </w:rPr>
            </w:pPr>
            <w:r>
              <w:rPr>
                <w:rFonts w:ascii="Arial" w:cs="Arial" w:eastAsia="Arial" w:hAnsi="Arial"/>
                <w:sz w:val="18"/>
                <w:szCs w:val="18"/>
                <w:color w:val="auto"/>
              </w:rPr>
              <w:t>Rhythm Pharmaceuticals, Inc.</w:t>
            </w:r>
          </w:p>
        </w:tc>
        <w:tc>
          <w:tcPr>
            <w:tcW w:w="2520" w:type="dxa"/>
            <w:vAlign w:val="bottom"/>
          </w:tcPr>
          <w:p>
            <w:pPr>
              <w:ind w:left="80"/>
              <w:spacing w:after="0"/>
              <w:rPr>
                <w:sz w:val="20"/>
                <w:szCs w:val="20"/>
                <w:color w:val="auto"/>
              </w:rPr>
            </w:pPr>
            <w:r>
              <w:rPr>
                <w:rFonts w:ascii="Arial" w:cs="Arial" w:eastAsia="Arial" w:hAnsi="Arial"/>
                <w:sz w:val="18"/>
                <w:szCs w:val="18"/>
                <w:color w:val="auto"/>
              </w:rPr>
              <w:t>Stemline Therapeutics, Inc.</w:t>
            </w:r>
          </w:p>
        </w:tc>
      </w:tr>
      <w:tr>
        <w:trPr>
          <w:trHeight w:val="270"/>
        </w:trPr>
        <w:tc>
          <w:tcPr>
            <w:tcW w:w="2280" w:type="dxa"/>
            <w:vAlign w:val="bottom"/>
          </w:tcPr>
          <w:p>
            <w:pPr>
              <w:spacing w:after="0"/>
              <w:rPr>
                <w:sz w:val="20"/>
                <w:szCs w:val="20"/>
                <w:color w:val="auto"/>
              </w:rPr>
            </w:pPr>
            <w:r>
              <w:rPr>
                <w:rFonts w:ascii="Arial" w:cs="Arial" w:eastAsia="Arial" w:hAnsi="Arial"/>
                <w:sz w:val="18"/>
                <w:szCs w:val="18"/>
                <w:color w:val="auto"/>
              </w:rPr>
              <w:t>TG Therapeutics, Inc.</w:t>
            </w:r>
          </w:p>
        </w:tc>
        <w:tc>
          <w:tcPr>
            <w:tcW w:w="3140" w:type="dxa"/>
            <w:vAlign w:val="bottom"/>
          </w:tcPr>
          <w:p>
            <w:pPr>
              <w:ind w:left="100"/>
              <w:spacing w:after="0"/>
              <w:rPr>
                <w:sz w:val="20"/>
                <w:szCs w:val="20"/>
                <w:color w:val="auto"/>
              </w:rPr>
            </w:pPr>
            <w:r>
              <w:rPr>
                <w:rFonts w:ascii="Arial" w:cs="Arial" w:eastAsia="Arial" w:hAnsi="Arial"/>
                <w:sz w:val="18"/>
                <w:szCs w:val="18"/>
                <w:color w:val="auto"/>
              </w:rPr>
              <w:t>Xencor, Inc.</w:t>
            </w:r>
          </w:p>
        </w:tc>
        <w:tc>
          <w:tcPr>
            <w:tcW w:w="2520" w:type="dxa"/>
            <w:vAlign w:val="bottom"/>
          </w:tcPr>
          <w:p>
            <w:pPr>
              <w:ind w:left="80"/>
              <w:spacing w:after="0"/>
              <w:rPr>
                <w:sz w:val="20"/>
                <w:szCs w:val="20"/>
                <w:color w:val="auto"/>
              </w:rPr>
            </w:pPr>
            <w:r>
              <w:rPr>
                <w:rFonts w:ascii="Arial" w:cs="Arial" w:eastAsia="Arial" w:hAnsi="Arial"/>
                <w:sz w:val="18"/>
                <w:szCs w:val="18"/>
                <w:color w:val="auto"/>
              </w:rPr>
              <w:t>Zogenix Inc.</w:t>
            </w:r>
          </w:p>
        </w:tc>
      </w:tr>
    </w:tbl>
    <w:p>
      <w:pPr>
        <w:spacing w:after="0" w:line="148"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At the time of the determination, these companies each had a market capitalization generally between $500 million and $4.8 billion, had an employee head count generally between 60 and 600 and were generally at a comparable stage to us in the development of their lead product candidate. The Compensation Committee determined that the foregoing selection criteria were appropriate for selecting the 2020 peer group because at such time, we were a late-stage biopharmaceutical company with a market capitalization of over $1.6 billion and 125 employees, which placed us within the range of the 2020 peer group.</w:t>
      </w:r>
    </w:p>
    <w:p>
      <w:pPr>
        <w:spacing w:after="0" w:line="110"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7"/>
          <w:szCs w:val="17"/>
          <w:color w:val="auto"/>
        </w:rPr>
        <w:t>We believe that the compensation practices of our 2020 peer group provided the Compensation Committee with an appropriate understanding of the competitive market when evaluating and determining the compensation of our named executive officers during fiscal 2020. However, due to the nature of our business, we compete for executive talent with many public companies, including pharmaceutical companies, that are larger and more established than we are or that possess greater resources than we do, or with smaller private companies that may be able to offer greater equity compensation potential, as well as with prestigious academic and non-profit institutions. In addition, while we generally target total direct compensation at the 50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 of compensation paid to similarly situated executives at the companies in our 2020 peer group, the assessment of our compensation practices against the competitive market (based on the peer group data) is just one of several factors that inform our Compensation Committee’s judgment in setting executive compensation. Our executive compensation decisions are made on a case-by-case basis and comparability to specific percentile rankings do not, in and of itself, determine individual target compensation opportunities. Although our Compensation Committee uses the 50th percentile as a reference, it also considers other factors, including market conditions, the recommendation of our Chief Executive Officer with respect to named executive officers other than himself, the experience level of each named executive officer and their performance against established corporate goals, in determining actual compensation amounts.</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Key Performance Factors in Determining Executive Compensation</w:t>
      </w:r>
    </w:p>
    <w:p>
      <w:pPr>
        <w:spacing w:after="0" w:line="144"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As the biopharmaceutical industry is characterized by very long product development cycles, including lengthy research and development periods and rigorous approval phases involving human testing and governmental regulatory approval, many of the traditional measures for evaluating performance, such as product sales, revenues and profits are inappropriate measures for a newly commercial-stage biopharmaceutical company that has only recently launched its first commercial product such as our company. Instead, the specific performance factors our compensation committee considers when determining the cash compensation of our named executive officers include:</w:t>
      </w:r>
    </w:p>
    <w:p>
      <w:pPr>
        <w:spacing w:after="0" w:line="83" w:lineRule="exact"/>
        <w:rPr>
          <w:sz w:val="20"/>
          <w:szCs w:val="20"/>
          <w:color w:val="auto"/>
        </w:rPr>
      </w:pPr>
    </w:p>
    <w:p>
      <w:pPr>
        <w:ind w:left="1800" w:right="109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research and development achievements which advance the development of our lead product candidates;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successful initiation, progression and completion of clinical studies for our lead product candidates;</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completion of non-clinical activities for our lead product candidates;</w:t>
      </w:r>
    </w:p>
    <w:p>
      <w:pPr>
        <w:spacing w:after="0" w:line="117" w:lineRule="exact"/>
        <w:rPr>
          <w:rFonts w:ascii="Arial" w:cs="Arial" w:eastAsia="Arial" w:hAnsi="Arial"/>
          <w:sz w:val="18"/>
          <w:szCs w:val="18"/>
          <w:color w:val="auto"/>
        </w:rPr>
      </w:pPr>
    </w:p>
    <w:p>
      <w:pPr>
        <w:ind w:left="1800" w:right="111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achievement of regulatory goals; and the establishment and maintenance of key business activities and strategic relationships, which include financings.</w:t>
      </w:r>
    </w:p>
    <w:p>
      <w:pPr>
        <w:spacing w:after="0" w:line="89"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These and other performance factors are considered by our Compensation Committee in connection with annual performance reviews and are key components in the determination of annual cash bonus for our named executive officers.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Annual Compensation Decisions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Mr. Gad, Dr. Møller and Mr. Kruse</w:t>
      </w:r>
    </w:p>
    <w:p>
      <w:pPr>
        <w:spacing w:after="0" w:line="158" w:lineRule="exact"/>
        <w:rPr>
          <w:sz w:val="20"/>
          <w:szCs w:val="20"/>
          <w:color w:val="auto"/>
        </w:rPr>
      </w:pPr>
    </w:p>
    <w:p>
      <w:pPr>
        <w:ind w:left="1260" w:right="539" w:firstLine="360"/>
        <w:spacing w:after="0" w:line="258" w:lineRule="auto"/>
        <w:rPr>
          <w:sz w:val="20"/>
          <w:szCs w:val="20"/>
          <w:color w:val="auto"/>
        </w:rPr>
      </w:pPr>
      <w:r>
        <w:rPr>
          <w:rFonts w:ascii="Arial" w:cs="Arial" w:eastAsia="Arial" w:hAnsi="Arial"/>
          <w:sz w:val="17"/>
          <w:szCs w:val="17"/>
          <w:color w:val="auto"/>
        </w:rPr>
        <w:t>Our Compensation Committee conducts an annual performance review of each of Mr. Gad, Dr. Møller and Mr. Kruse and approves the target compensation opportunity of each of Mr. Gad, Dr. Møller and</w:t>
      </w:r>
    </w:p>
    <w:p>
      <w:pPr>
        <w:spacing w:after="0" w:line="1" w:lineRule="exact"/>
        <w:rPr>
          <w:sz w:val="20"/>
          <w:szCs w:val="20"/>
          <w:color w:val="auto"/>
        </w:rPr>
      </w:pPr>
    </w:p>
    <w:p>
      <w:pPr>
        <w:ind w:left="1260" w:right="439"/>
        <w:spacing w:after="0" w:line="250" w:lineRule="auto"/>
        <w:rPr>
          <w:sz w:val="20"/>
          <w:szCs w:val="20"/>
          <w:color w:val="auto"/>
        </w:rPr>
      </w:pPr>
      <w:r>
        <w:rPr>
          <w:rFonts w:ascii="Arial" w:cs="Arial" w:eastAsia="Arial" w:hAnsi="Arial"/>
          <w:sz w:val="17"/>
          <w:szCs w:val="17"/>
          <w:color w:val="auto"/>
        </w:rPr>
        <w:t>Mr. Kruse based, in part, on this review. Each year annual corporate goals are determined by our Board of Directors and set forth in writing. Before the end of each year, our Compensation Committee determines cash incentive compensation award amounts for such year as well as the compensation levels for each of Mr. Gad, Dr. Møller and Mr. Kruse for the following year after carefully reviewing overall corporate goals, determining achievement of the established corporate goals and the achievement of individual performance goals. Any merit-based increases in base salary and the size of equity awards are based on the achievement of these corporate performance goals and individual performance goals, a review of competitive market data (based on our 2020 peer group), and consideration of the other factors described above. The cash bonus to Mr. Gad, Dr. Møller and Mr. Kruse for services during fiscal 2020 were based upon achievement of the corporate goals approved by our Board of Directors and individual performance. Typically, our Board of Directors grants annual equity awards to Mr. Gad, Dr. Møller and Mr. Kruse and determines adjustments to their base salary and the amount of any annual cash incentive compensation award, at its last regularly scheduled meeting of the year.</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Other Named Executive Officers</w:t>
      </w:r>
    </w:p>
    <w:p>
      <w:pPr>
        <w:spacing w:after="0" w:line="15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During the last quarter of each year, our executive management team, consisting of Mr. Gad, Dr. Møller and Mr. Kruse evaluates our corporate performance and each of our named executive officer’s individual performance (other than themselves). Based on this evaluation, base salary for the coming year and cash bonuses for the current year are determined. For 2018, 2019 and 2020 this determination was made on a discretionary basis. Beginning in 2021, our executive management team will determine overall corporate goals and individual performance goals for each of our named executive officer (other than themselves) and increases in base salary, and base their determination of cash bonus on achievement of the corporate goals and individual performance and a review of competitive market data and consideration of other factors.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Executive Compensation Components</w:t>
      </w:r>
    </w:p>
    <w:p>
      <w:pPr>
        <w:spacing w:after="0" w:line="144"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color w:val="auto"/>
        </w:rPr>
        <w:t>As noted above, the principal components of our executive compensation program for all our named executive officers are (i) base salary, (ii) performance- based annual cash bonus and (iii) long-term equity incentives. Beyond the competitive compensation data provided by Radford for purposes of benchmarking</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00"/>
        <w:spacing w:after="0" w:line="296" w:lineRule="auto"/>
        <w:rPr>
          <w:sz w:val="20"/>
          <w:szCs w:val="20"/>
          <w:color w:val="auto"/>
        </w:rPr>
      </w:pPr>
      <w:r>
        <w:rPr>
          <w:rFonts w:ascii="Arial" w:cs="Arial" w:eastAsia="Arial" w:hAnsi="Arial"/>
          <w:sz w:val="16"/>
          <w:szCs w:val="16"/>
          <w:color w:val="auto"/>
        </w:rPr>
        <w:t>our equity grant values and targets, our bonus targets and structure, our total direct compensation, our target incentive opportunities and our base salaries and target total cash compensation, we have not adopted any formal guidelines for allocating total compensation between long-term and short-term compensation, cash compensation and non-cash compensation, or among different forms of non-cash compensation. We do not have any pre-established target levels for allocations or apportionment by type of compensation.</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1260" w:right="1680" w:firstLine="360"/>
        <w:spacing w:after="0" w:line="277" w:lineRule="auto"/>
        <w:rPr>
          <w:sz w:val="20"/>
          <w:szCs w:val="20"/>
          <w:color w:val="auto"/>
        </w:rPr>
      </w:pPr>
      <w:r>
        <w:rPr>
          <w:rFonts w:ascii="Arial" w:cs="Arial" w:eastAsia="Arial" w:hAnsi="Arial"/>
          <w:sz w:val="18"/>
          <w:szCs w:val="18"/>
          <w:color w:val="auto"/>
        </w:rPr>
        <w:t>The following table provides information regarding the compensation paid or earned by our five (5) named executive officers for each of the fiscal years set forth below:</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Non-equity Incentive</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Option</w:t>
            </w: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5"/>
              </w:rPr>
              <w:t>Salary</w:t>
            </w:r>
          </w:p>
        </w:tc>
        <w:tc>
          <w:tcPr>
            <w:tcW w:w="120" w:type="dxa"/>
            <w:vAlign w:val="bottom"/>
          </w:tcPr>
          <w:p>
            <w:pPr>
              <w:spacing w:after="0"/>
              <w:rPr>
                <w:sz w:val="13"/>
                <w:szCs w:val="13"/>
                <w:color w:val="auto"/>
              </w:rPr>
            </w:pPr>
          </w:p>
        </w:tc>
        <w:tc>
          <w:tcPr>
            <w:tcW w:w="7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Bonus</w:t>
            </w:r>
          </w:p>
        </w:tc>
        <w:tc>
          <w:tcPr>
            <w:tcW w:w="146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Plan Compensation</w:t>
            </w:r>
          </w:p>
        </w:tc>
        <w:tc>
          <w:tcPr>
            <w:tcW w:w="12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Awards</w:t>
            </w:r>
          </w:p>
        </w:tc>
        <w:tc>
          <w:tcPr>
            <w:tcW w:w="10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3"/>
                <w:szCs w:val="13"/>
                <w:color w:val="auto"/>
              </w:rPr>
            </w:pPr>
          </w:p>
        </w:tc>
        <w:tc>
          <w:tcPr>
            <w:tcW w:w="720" w:type="dxa"/>
            <w:vAlign w:val="bottom"/>
          </w:tcPr>
          <w:p>
            <w:pPr>
              <w:jc w:val="right"/>
              <w:ind w:right="192"/>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0"/>
                <w:szCs w:val="10"/>
                <w:b w:val="1"/>
                <w:bCs w:val="1"/>
                <w:color w:val="auto"/>
              </w:rPr>
              <w:t>(1)(2)</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312"/>
              <w:spacing w:after="0" w:line="230" w:lineRule="exact"/>
              <w:rPr>
                <w:sz w:val="20"/>
                <w:szCs w:val="20"/>
                <w:color w:val="auto"/>
              </w:rPr>
            </w:pPr>
            <w:r>
              <w:rPr>
                <w:rFonts w:ascii="Arial" w:cs="Arial" w:eastAsia="Arial" w:hAnsi="Arial"/>
                <w:sz w:val="26"/>
                <w:szCs w:val="26"/>
                <w:b w:val="1"/>
                <w:bCs w:val="1"/>
                <w:color w:val="auto"/>
                <w:w w:val="87"/>
                <w:vertAlign w:val="subscript"/>
              </w:rPr>
              <w:t>($)</w:t>
            </w:r>
            <w:r>
              <w:rPr>
                <w:rFonts w:ascii="Arial" w:cs="Arial" w:eastAsia="Arial" w:hAnsi="Arial"/>
                <w:sz w:val="10"/>
                <w:szCs w:val="10"/>
                <w:b w:val="1"/>
                <w:bCs w:val="1"/>
                <w:color w:val="auto"/>
                <w:w w:val="87"/>
              </w:rPr>
              <w:t>(2)(3)</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12"/>
              <w:spacing w:after="0" w:line="230" w:lineRule="exact"/>
              <w:rPr>
                <w:sz w:val="20"/>
                <w:szCs w:val="20"/>
                <w:color w:val="auto"/>
              </w:rPr>
            </w:pPr>
            <w:r>
              <w:rPr>
                <w:rFonts w:ascii="Arial" w:cs="Arial" w:eastAsia="Arial" w:hAnsi="Arial"/>
                <w:sz w:val="26"/>
                <w:szCs w:val="26"/>
                <w:b w:val="1"/>
                <w:bCs w:val="1"/>
                <w:color w:val="auto"/>
                <w:w w:val="95"/>
                <w:vertAlign w:val="subscript"/>
              </w:rPr>
              <w:t>($)</w:t>
            </w:r>
            <w:r>
              <w:rPr>
                <w:rFonts w:ascii="Arial" w:cs="Arial" w:eastAsia="Arial" w:hAnsi="Arial"/>
                <w:sz w:val="10"/>
                <w:szCs w:val="10"/>
                <w:b w:val="1"/>
                <w:bCs w:val="1"/>
                <w:color w:val="auto"/>
                <w:w w:val="95"/>
              </w:rPr>
              <w:t>(5)</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2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Thomas Gad</w:t>
            </w:r>
          </w:p>
        </w:tc>
        <w:tc>
          <w:tcPr>
            <w:tcW w:w="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470,800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6"/>
              </w:rPr>
              <w:t>205,975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2,916,341</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84,778</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3,677,894</w:t>
            </w:r>
          </w:p>
        </w:tc>
        <w:tc>
          <w:tcPr>
            <w:tcW w:w="0" w:type="dxa"/>
            <w:vAlign w:val="bottom"/>
          </w:tcPr>
          <w:p>
            <w:pPr>
              <w:spacing w:after="0"/>
              <w:rPr>
                <w:sz w:val="1"/>
                <w:szCs w:val="1"/>
                <w:color w:val="auto"/>
              </w:rPr>
            </w:pPr>
          </w:p>
        </w:tc>
      </w:tr>
      <w:tr>
        <w:trPr>
          <w:trHeight w:val="203"/>
        </w:trPr>
        <w:tc>
          <w:tcPr>
            <w:tcW w:w="294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w w:val="99"/>
              </w:rPr>
              <w:t>Founder, Chairman, President and</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4"/>
              </w:rPr>
              <w:t>2019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86"/>
              </w:rPr>
              <w:t>440,000</w:t>
            </w:r>
          </w:p>
        </w:tc>
        <w:tc>
          <w:tcPr>
            <w:tcW w:w="8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0"/>
              </w:rPr>
              <w:t>$242,000</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6"/>
                <w:szCs w:val="16"/>
                <w:color w:val="auto"/>
                <w:w w:val="95"/>
              </w:rPr>
              <w:t>2,295,800</w:t>
            </w:r>
            <w:r>
              <w:rPr>
                <w:rFonts w:ascii="Arial" w:cs="Arial" w:eastAsia="Arial" w:hAnsi="Arial"/>
                <w:sz w:val="23"/>
                <w:szCs w:val="23"/>
                <w:b w:val="1"/>
                <w:bCs w:val="1"/>
                <w:color w:val="auto"/>
                <w:w w:val="95"/>
                <w:vertAlign w:val="superscript"/>
              </w:rPr>
              <w:t>(4)</w:t>
            </w:r>
          </w:p>
        </w:tc>
        <w:tc>
          <w:tcPr>
            <w:tcW w:w="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87"/>
              </w:rPr>
              <w:t>84,747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3,062,547</w:t>
            </w:r>
          </w:p>
        </w:tc>
        <w:tc>
          <w:tcPr>
            <w:tcW w:w="0" w:type="dxa"/>
            <w:vAlign w:val="bottom"/>
          </w:tcPr>
          <w:p>
            <w:pPr>
              <w:spacing w:after="0"/>
              <w:rPr>
                <w:sz w:val="1"/>
                <w:szCs w:val="1"/>
                <w:color w:val="auto"/>
              </w:rPr>
            </w:pPr>
          </w:p>
        </w:tc>
      </w:tr>
      <w:tr>
        <w:trPr>
          <w:trHeight w:val="230"/>
        </w:trPr>
        <w:tc>
          <w:tcPr>
            <w:tcW w:w="294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Head of Business Development</w:t>
            </w:r>
          </w:p>
        </w:tc>
        <w:tc>
          <w:tcPr>
            <w:tcW w:w="8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2018</w:t>
            </w:r>
          </w:p>
        </w:tc>
        <w:tc>
          <w:tcPr>
            <w:tcW w:w="160" w:type="dxa"/>
            <w:vAlign w:val="bottom"/>
            <w:shd w:val="clear" w:color="auto" w:fill="CCEEFF"/>
          </w:tcPr>
          <w:p>
            <w:pPr>
              <w:spacing w:after="0"/>
              <w:rPr>
                <w:sz w:val="20"/>
                <w:szCs w:val="2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86"/>
              </w:rPr>
              <w:t>395,002</w:t>
            </w:r>
          </w:p>
        </w:tc>
        <w:tc>
          <w:tcPr>
            <w:tcW w:w="8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0"/>
              </w:rPr>
              <w:t>$191,575</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87"/>
              </w:rPr>
              <w:t>1,984,675</w:t>
            </w:r>
          </w:p>
        </w:tc>
        <w:tc>
          <w:tcPr>
            <w:tcW w:w="2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87"/>
              </w:rPr>
              <w:t>84,738</w:t>
            </w:r>
          </w:p>
        </w:tc>
        <w:tc>
          <w:tcPr>
            <w:tcW w:w="180" w:type="dxa"/>
            <w:vAlign w:val="bottom"/>
            <w:shd w:val="clear" w:color="auto" w:fill="CCEEFF"/>
          </w:tcPr>
          <w:p>
            <w:pPr>
              <w:spacing w:after="0"/>
              <w:rPr>
                <w:sz w:val="20"/>
                <w:szCs w:val="2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2,655,990</w:t>
            </w:r>
          </w:p>
        </w:tc>
        <w:tc>
          <w:tcPr>
            <w:tcW w:w="0" w:type="dxa"/>
            <w:vAlign w:val="bottom"/>
          </w:tcPr>
          <w:p>
            <w:pPr>
              <w:spacing w:after="0"/>
              <w:rPr>
                <w:sz w:val="1"/>
                <w:szCs w:val="1"/>
                <w:color w:val="auto"/>
              </w:rPr>
            </w:pPr>
          </w:p>
        </w:tc>
      </w:tr>
      <w:tr>
        <w:trPr>
          <w:trHeight w:val="107"/>
        </w:trPr>
        <w:tc>
          <w:tcPr>
            <w:tcW w:w="76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880" w:type="dxa"/>
            <w:vAlign w:val="bottom"/>
            <w:gridSpan w:val="3"/>
            <w:vMerge w:val="continue"/>
            <w:shd w:val="clear" w:color="auto" w:fill="CCEEFF"/>
          </w:tcPr>
          <w:p>
            <w:pPr>
              <w:spacing w:after="0"/>
              <w:rPr>
                <w:sz w:val="9"/>
                <w:szCs w:val="9"/>
                <w:color w:val="auto"/>
              </w:rPr>
            </w:pPr>
          </w:p>
        </w:tc>
        <w:tc>
          <w:tcPr>
            <w:tcW w:w="400" w:type="dxa"/>
            <w:vAlign w:val="bottom"/>
            <w:vMerge w:val="continue"/>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260" w:type="dxa"/>
            <w:vAlign w:val="bottom"/>
            <w:vMerge w:val="continue"/>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940" w:type="dxa"/>
            <w:vAlign w:val="bottom"/>
            <w:gridSpan w:val="4"/>
          </w:tcPr>
          <w:p>
            <w:pPr>
              <w:spacing w:after="0"/>
              <w:rPr>
                <w:sz w:val="20"/>
                <w:szCs w:val="20"/>
                <w:color w:val="auto"/>
              </w:rPr>
            </w:pPr>
            <w:r>
              <w:rPr>
                <w:rFonts w:ascii="Arial" w:cs="Arial" w:eastAsia="Arial" w:hAnsi="Arial"/>
                <w:sz w:val="18"/>
                <w:szCs w:val="18"/>
                <w:color w:val="auto"/>
              </w:rPr>
              <w:t>Dr. Claus Juan Møller-San Pedro</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4"/>
          </w:tcPr>
          <w:p>
            <w:pPr>
              <w:ind w:left="180"/>
              <w:spacing w:after="0"/>
              <w:rPr>
                <w:sz w:val="20"/>
                <w:szCs w:val="20"/>
                <w:color w:val="auto"/>
              </w:rPr>
            </w:pPr>
            <w:r>
              <w:rPr>
                <w:rFonts w:ascii="Arial" w:cs="Arial" w:eastAsia="Arial" w:hAnsi="Arial"/>
                <w:sz w:val="18"/>
                <w:szCs w:val="18"/>
                <w:color w:val="auto"/>
              </w:rPr>
              <w:t>M.D., Ph.D.</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2020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574,000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w w:val="86"/>
              </w:rPr>
              <w:t>301,350</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7,232,652</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84,778</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8,192,780</w:t>
            </w:r>
          </w:p>
        </w:tc>
        <w:tc>
          <w:tcPr>
            <w:tcW w:w="0" w:type="dxa"/>
            <w:vAlign w:val="bottom"/>
          </w:tcPr>
          <w:p>
            <w:pPr>
              <w:spacing w:after="0"/>
              <w:rPr>
                <w:sz w:val="1"/>
                <w:szCs w:val="1"/>
                <w:color w:val="auto"/>
              </w:rPr>
            </w:pPr>
          </w:p>
        </w:tc>
      </w:tr>
      <w:tr>
        <w:trPr>
          <w:trHeight w:val="229"/>
        </w:trPr>
        <w:tc>
          <w:tcPr>
            <w:tcW w:w="294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550,000</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0"/>
              </w:rPr>
              <w:t>$332,750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
              <w:spacing w:after="0" w:line="230" w:lineRule="exact"/>
              <w:rPr>
                <w:sz w:val="20"/>
                <w:szCs w:val="20"/>
                <w:color w:val="auto"/>
              </w:rPr>
            </w:pPr>
            <w:r>
              <w:rPr>
                <w:rFonts w:ascii="Arial" w:cs="Arial" w:eastAsia="Arial" w:hAnsi="Arial"/>
                <w:sz w:val="18"/>
                <w:szCs w:val="18"/>
                <w:color w:val="auto"/>
                <w:w w:val="84"/>
              </w:rPr>
              <w:t>4,856,500</w:t>
            </w:r>
            <w:r>
              <w:rPr>
                <w:rFonts w:ascii="Arial" w:cs="Arial" w:eastAsia="Arial" w:hAnsi="Arial"/>
                <w:sz w:val="26"/>
                <w:szCs w:val="26"/>
                <w:b w:val="1"/>
                <w:bCs w:val="1"/>
                <w:color w:val="auto"/>
                <w:w w:val="84"/>
                <w:vertAlign w:val="superscript"/>
              </w:rPr>
              <w:t>(4)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84,747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5,823,997</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2018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470,000</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$227,950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3,444,195</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84,738</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4,226,883</w:t>
            </w:r>
          </w:p>
        </w:tc>
        <w:tc>
          <w:tcPr>
            <w:tcW w:w="0" w:type="dxa"/>
            <w:vAlign w:val="bottom"/>
          </w:tcPr>
          <w:p>
            <w:pPr>
              <w:spacing w:after="0"/>
              <w:rPr>
                <w:sz w:val="1"/>
                <w:szCs w:val="1"/>
                <w:color w:val="auto"/>
              </w:rPr>
            </w:pPr>
          </w:p>
        </w:tc>
      </w:tr>
      <w:tr>
        <w:trPr>
          <w:trHeight w:val="270"/>
        </w:trPr>
        <w:tc>
          <w:tcPr>
            <w:tcW w:w="2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Bo Kruse</w:t>
            </w:r>
          </w:p>
        </w:tc>
        <w:tc>
          <w:tcPr>
            <w:tcW w:w="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420,700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6"/>
              </w:rPr>
              <w:t>184,056</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2,307,242</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778</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2,912,776</w:t>
            </w:r>
          </w:p>
        </w:tc>
        <w:tc>
          <w:tcPr>
            <w:tcW w:w="0" w:type="dxa"/>
            <w:vAlign w:val="bottom"/>
          </w:tcPr>
          <w:p>
            <w:pPr>
              <w:spacing w:after="0"/>
              <w:rPr>
                <w:sz w:val="1"/>
                <w:szCs w:val="1"/>
                <w:color w:val="auto"/>
              </w:rPr>
            </w:pPr>
          </w:p>
        </w:tc>
      </w:tr>
      <w:tr>
        <w:trPr>
          <w:trHeight w:val="203"/>
        </w:trPr>
        <w:tc>
          <w:tcPr>
            <w:tcW w:w="294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Executive Vice President,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4"/>
              </w:rPr>
              <w:t>2019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86"/>
              </w:rPr>
              <w:t>392,000</w:t>
            </w:r>
          </w:p>
        </w:tc>
        <w:tc>
          <w:tcPr>
            <w:tcW w:w="8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0"/>
              </w:rPr>
              <w:t>$215,600</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6"/>
                <w:szCs w:val="16"/>
                <w:color w:val="auto"/>
                <w:w w:val="95"/>
              </w:rPr>
              <w:t>2,295,800</w:t>
            </w:r>
            <w:r>
              <w:rPr>
                <w:rFonts w:ascii="Arial" w:cs="Arial" w:eastAsia="Arial" w:hAnsi="Arial"/>
                <w:sz w:val="23"/>
                <w:szCs w:val="23"/>
                <w:b w:val="1"/>
                <w:bCs w:val="1"/>
                <w:color w:val="auto"/>
                <w:w w:val="95"/>
                <w:vertAlign w:val="superscript"/>
              </w:rPr>
              <w:t>(4)</w:t>
            </w:r>
          </w:p>
        </w:tc>
        <w:tc>
          <w:tcPr>
            <w:tcW w:w="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747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7"/>
              </w:rPr>
              <w:t>2,904,147</w:t>
            </w:r>
          </w:p>
        </w:tc>
        <w:tc>
          <w:tcPr>
            <w:tcW w:w="0" w:type="dxa"/>
            <w:vAlign w:val="bottom"/>
          </w:tcPr>
          <w:p>
            <w:pPr>
              <w:spacing w:after="0"/>
              <w:rPr>
                <w:sz w:val="1"/>
                <w:szCs w:val="1"/>
                <w:color w:val="auto"/>
              </w:rPr>
            </w:pPr>
          </w:p>
        </w:tc>
      </w:tr>
      <w:tr>
        <w:trPr>
          <w:trHeight w:val="215"/>
        </w:trPr>
        <w:tc>
          <w:tcPr>
            <w:tcW w:w="294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Secretary, Treasurer and Chief</w:t>
            </w:r>
          </w:p>
        </w:tc>
        <w:tc>
          <w:tcPr>
            <w:tcW w:w="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2018</w:t>
            </w:r>
          </w:p>
        </w:tc>
        <w:tc>
          <w:tcPr>
            <w:tcW w:w="16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86"/>
              </w:rPr>
              <w:t>345,000</w:t>
            </w:r>
          </w:p>
        </w:tc>
        <w:tc>
          <w:tcPr>
            <w:tcW w:w="8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90"/>
              </w:rPr>
              <w:t>$167,325</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w w:val="87"/>
              </w:rPr>
              <w:t>1,824,175</w:t>
            </w:r>
          </w:p>
        </w:tc>
        <w:tc>
          <w:tcPr>
            <w:tcW w:w="2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738</w:t>
            </w:r>
          </w:p>
        </w:tc>
        <w:tc>
          <w:tcPr>
            <w:tcW w:w="18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2,337,238</w:t>
            </w:r>
          </w:p>
        </w:tc>
        <w:tc>
          <w:tcPr>
            <w:tcW w:w="0" w:type="dxa"/>
            <w:vAlign w:val="bottom"/>
          </w:tcPr>
          <w:p>
            <w:pPr>
              <w:spacing w:after="0"/>
              <w:rPr>
                <w:sz w:val="1"/>
                <w:szCs w:val="1"/>
                <w:color w:val="auto"/>
              </w:rPr>
            </w:pPr>
          </w:p>
        </w:tc>
      </w:tr>
      <w:tr>
        <w:trPr>
          <w:trHeight w:val="95"/>
        </w:trPr>
        <w:tc>
          <w:tcPr>
            <w:tcW w:w="2940" w:type="dxa"/>
            <w:vAlign w:val="bottom"/>
            <w:gridSpan w:val="4"/>
            <w:vMerge w:val="restart"/>
            <w:shd w:val="clear" w:color="auto" w:fill="CCEEFF"/>
          </w:tcPr>
          <w:p>
            <w:pPr>
              <w:ind w:left="180"/>
              <w:spacing w:after="0"/>
              <w:rPr>
                <w:sz w:val="20"/>
                <w:szCs w:val="20"/>
                <w:color w:val="auto"/>
              </w:rPr>
            </w:pPr>
            <w:r>
              <w:rPr>
                <w:rFonts w:ascii="Arial" w:cs="Arial" w:eastAsia="Arial" w:hAnsi="Arial"/>
                <w:sz w:val="18"/>
                <w:szCs w:val="18"/>
                <w:i w:val="1"/>
                <w:iCs w:val="1"/>
                <w:color w:val="auto"/>
              </w:rPr>
              <w:t>Financial Officer</w:t>
            </w:r>
          </w:p>
        </w:tc>
        <w:tc>
          <w:tcPr>
            <w:tcW w:w="80" w:type="dxa"/>
            <w:vAlign w:val="bottom"/>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880" w:type="dxa"/>
            <w:vAlign w:val="bottom"/>
            <w:gridSpan w:val="3"/>
            <w:vMerge w:val="continue"/>
            <w:shd w:val="clear" w:color="auto" w:fill="CCEEFF"/>
          </w:tcPr>
          <w:p>
            <w:pPr>
              <w:spacing w:after="0"/>
              <w:rPr>
                <w:sz w:val="8"/>
                <w:szCs w:val="8"/>
                <w:color w:val="auto"/>
              </w:rPr>
            </w:pPr>
          </w:p>
        </w:tc>
        <w:tc>
          <w:tcPr>
            <w:tcW w:w="400" w:type="dxa"/>
            <w:vAlign w:val="bottom"/>
            <w:vMerge w:val="continue"/>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940" w:type="dxa"/>
            <w:vAlign w:val="bottom"/>
            <w:gridSpan w:val="4"/>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940" w:type="dxa"/>
            <w:vAlign w:val="bottom"/>
            <w:gridSpan w:val="4"/>
          </w:tcPr>
          <w:p>
            <w:pPr>
              <w:spacing w:after="0"/>
              <w:rPr>
                <w:sz w:val="20"/>
                <w:szCs w:val="20"/>
                <w:color w:val="auto"/>
              </w:rPr>
            </w:pPr>
            <w:r>
              <w:rPr>
                <w:rFonts w:ascii="Arial" w:cs="Arial" w:eastAsia="Arial" w:hAnsi="Arial"/>
                <w:sz w:val="18"/>
                <w:szCs w:val="18"/>
                <w:color w:val="auto"/>
              </w:rPr>
              <w:t>Philip Herman</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2020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403,920</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$141,372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1,196,200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444</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1,741,936</w:t>
            </w:r>
          </w:p>
        </w:tc>
        <w:tc>
          <w:tcPr>
            <w:tcW w:w="0" w:type="dxa"/>
            <w:vAlign w:val="bottom"/>
          </w:tcPr>
          <w:p>
            <w:pPr>
              <w:spacing w:after="0"/>
              <w:rPr>
                <w:sz w:val="1"/>
                <w:szCs w:val="1"/>
                <w:color w:val="auto"/>
              </w:rPr>
            </w:pPr>
          </w:p>
        </w:tc>
      </w:tr>
      <w:tr>
        <w:trPr>
          <w:trHeight w:val="217"/>
        </w:trPr>
        <w:tc>
          <w:tcPr>
            <w:tcW w:w="2940" w:type="dxa"/>
            <w:vAlign w:val="bottom"/>
            <w:gridSpan w:val="4"/>
          </w:tcPr>
          <w:p>
            <w:pPr>
              <w:ind w:left="180"/>
              <w:spacing w:after="0"/>
              <w:rPr>
                <w:sz w:val="20"/>
                <w:szCs w:val="20"/>
                <w:color w:val="auto"/>
              </w:rPr>
            </w:pPr>
            <w:r>
              <w:rPr>
                <w:rFonts w:ascii="Arial" w:cs="Arial" w:eastAsia="Arial" w:hAnsi="Arial"/>
                <w:sz w:val="18"/>
                <w:szCs w:val="18"/>
                <w:i w:val="1"/>
                <w:iCs w:val="1"/>
                <w:color w:val="auto"/>
                <w:w w:val="99"/>
              </w:rPr>
              <w:t>Senior  Vice  President  and  Chief</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2019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367,200</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$128,520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640,200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1,136,340</w:t>
            </w:r>
          </w:p>
        </w:tc>
        <w:tc>
          <w:tcPr>
            <w:tcW w:w="0" w:type="dxa"/>
            <w:vAlign w:val="bottom"/>
          </w:tcPr>
          <w:p>
            <w:pPr>
              <w:spacing w:after="0"/>
              <w:rPr>
                <w:sz w:val="1"/>
                <w:szCs w:val="1"/>
                <w:color w:val="auto"/>
              </w:rPr>
            </w:pPr>
          </w:p>
        </w:tc>
      </w:tr>
      <w:tr>
        <w:trPr>
          <w:trHeight w:val="338"/>
        </w:trPr>
        <w:tc>
          <w:tcPr>
            <w:tcW w:w="2940" w:type="dxa"/>
            <w:vAlign w:val="bottom"/>
            <w:gridSpan w:val="4"/>
          </w:tcPr>
          <w:p>
            <w:pPr>
              <w:ind w:left="180"/>
              <w:spacing w:after="0"/>
              <w:rPr>
                <w:sz w:val="20"/>
                <w:szCs w:val="20"/>
                <w:color w:val="auto"/>
              </w:rPr>
            </w:pPr>
            <w:r>
              <w:rPr>
                <w:rFonts w:ascii="Arial" w:cs="Arial" w:eastAsia="Arial" w:hAnsi="Arial"/>
                <w:sz w:val="18"/>
                <w:szCs w:val="18"/>
                <w:i w:val="1"/>
                <w:iCs w:val="1"/>
                <w:color w:val="auto"/>
              </w:rPr>
              <w:t>Commercial Officer</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2018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202,587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63,000</w:t>
            </w:r>
            <w:r>
              <w:rPr>
                <w:rFonts w:ascii="Arial" w:cs="Arial" w:eastAsia="Arial" w:hAnsi="Arial"/>
                <w:sz w:val="26"/>
                <w:szCs w:val="26"/>
                <w:b w:val="1"/>
                <w:bCs w:val="1"/>
                <w:color w:val="auto"/>
                <w:w w:val="94"/>
                <w:vertAlign w:val="superscript"/>
              </w:rPr>
              <w:t>(6)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150,800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w w:val="87"/>
              </w:rPr>
              <w:t>25,263</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441,650</w:t>
            </w:r>
          </w:p>
        </w:tc>
        <w:tc>
          <w:tcPr>
            <w:tcW w:w="0" w:type="dxa"/>
            <w:vAlign w:val="bottom"/>
          </w:tcPr>
          <w:p>
            <w:pPr>
              <w:spacing w:after="0"/>
              <w:rPr>
                <w:sz w:val="1"/>
                <w:szCs w:val="1"/>
                <w:color w:val="auto"/>
              </w:rPr>
            </w:pPr>
          </w:p>
        </w:tc>
      </w:tr>
      <w:tr>
        <w:trPr>
          <w:trHeight w:val="270"/>
        </w:trPr>
        <w:tc>
          <w:tcPr>
            <w:tcW w:w="2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Dr. Vignesh Rajah</w:t>
            </w:r>
          </w:p>
        </w:tc>
        <w:tc>
          <w:tcPr>
            <w:tcW w:w="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171,453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line="270" w:lineRule="exact"/>
              <w:rPr>
                <w:sz w:val="20"/>
                <w:szCs w:val="20"/>
                <w:color w:val="auto"/>
              </w:rPr>
            </w:pPr>
            <w:r>
              <w:rPr>
                <w:rFonts w:ascii="Arial" w:cs="Arial" w:eastAsia="Arial" w:hAnsi="Arial"/>
                <w:sz w:val="18"/>
                <w:szCs w:val="18"/>
                <w:color w:val="auto"/>
                <w:w w:val="94"/>
              </w:rPr>
              <w:t>36,740</w:t>
            </w:r>
            <w:r>
              <w:rPr>
                <w:rFonts w:ascii="Arial" w:cs="Arial" w:eastAsia="Arial" w:hAnsi="Arial"/>
                <w:sz w:val="26"/>
                <w:szCs w:val="26"/>
                <w:b w:val="1"/>
                <w:bCs w:val="1"/>
                <w:color w:val="auto"/>
                <w:w w:val="94"/>
                <w:vertAlign w:val="superscript"/>
              </w:rPr>
              <w:t>(7)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1,754,600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16,324</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1,979,117</w:t>
            </w:r>
          </w:p>
        </w:tc>
        <w:tc>
          <w:tcPr>
            <w:tcW w:w="0" w:type="dxa"/>
            <w:vAlign w:val="bottom"/>
          </w:tcPr>
          <w:p>
            <w:pPr>
              <w:spacing w:after="0"/>
              <w:rPr>
                <w:sz w:val="1"/>
                <w:szCs w:val="1"/>
                <w:color w:val="auto"/>
              </w:rPr>
            </w:pPr>
          </w:p>
        </w:tc>
      </w:tr>
      <w:tr>
        <w:trPr>
          <w:trHeight w:val="203"/>
        </w:trPr>
        <w:tc>
          <w:tcPr>
            <w:tcW w:w="294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w w:val="99"/>
              </w:rPr>
              <w:t>Senior  Vice  President  and  Chief</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4"/>
              </w:rPr>
              <w:t>2019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gridSpan w:val="4"/>
            <w:shd w:val="clear" w:color="auto" w:fill="CCEEFF"/>
          </w:tcPr>
          <w:p>
            <w:pPr>
              <w:ind w:left="180"/>
              <w:spacing w:after="0"/>
              <w:rPr>
                <w:sz w:val="20"/>
                <w:szCs w:val="20"/>
                <w:color w:val="auto"/>
              </w:rPr>
            </w:pPr>
            <w:r>
              <w:rPr>
                <w:rFonts w:ascii="Arial" w:cs="Arial" w:eastAsia="Arial" w:hAnsi="Arial"/>
                <w:sz w:val="18"/>
                <w:szCs w:val="18"/>
                <w:i w:val="1"/>
                <w:iCs w:val="1"/>
                <w:color w:val="auto"/>
              </w:rPr>
              <w:t>Medical Officer</w:t>
            </w:r>
          </w:p>
        </w:tc>
        <w:tc>
          <w:tcPr>
            <w:tcW w:w="8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2018</w:t>
            </w:r>
          </w:p>
        </w:tc>
        <w:tc>
          <w:tcPr>
            <w:tcW w:w="160" w:type="dxa"/>
            <w:vAlign w:val="bottom"/>
            <w:shd w:val="clear" w:color="auto" w:fill="CCEEFF"/>
          </w:tcPr>
          <w:p>
            <w:pPr>
              <w:spacing w:after="0"/>
              <w:rPr>
                <w:sz w:val="20"/>
                <w:szCs w:val="2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76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400" w:type="dxa"/>
            <w:vAlign w:val="bottom"/>
            <w:vMerge w:val="continue"/>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6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5840730</wp:posOffset>
            </wp:positionH>
            <wp:positionV relativeFrom="paragraph">
              <wp:posOffset>-2922270</wp:posOffset>
            </wp:positionV>
            <wp:extent cx="120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-2922270</wp:posOffset>
            </wp:positionV>
            <wp:extent cx="120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-2922270</wp:posOffset>
            </wp:positionV>
            <wp:extent cx="120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-2922270</wp:posOffset>
            </wp:positionV>
            <wp:extent cx="120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-2922270</wp:posOffset>
            </wp:positionV>
            <wp:extent cx="120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-2922270</wp:posOffset>
            </wp:positionV>
            <wp:extent cx="4368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101" w:lineRule="exact"/>
        <w:rPr>
          <w:sz w:val="20"/>
          <w:szCs w:val="20"/>
          <w:color w:val="auto"/>
        </w:rPr>
      </w:pPr>
    </w:p>
    <w:p>
      <w:pPr>
        <w:ind w:left="1620" w:right="940" w:hanging="360"/>
        <w:spacing w:after="0" w:line="263"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reported in the “Bonus” column represent discretionary annual cash bonuses awarded to our named executive officers. Our named executive officers have not received any non-cash compensation in lieu of salary or bonus.</w:t>
      </w:r>
    </w:p>
    <w:p>
      <w:pPr>
        <w:spacing w:after="0" w:line="35" w:lineRule="exact"/>
        <w:rPr>
          <w:rFonts w:ascii="Arial" w:cs="Arial" w:eastAsia="Arial" w:hAnsi="Arial"/>
          <w:sz w:val="18"/>
          <w:szCs w:val="18"/>
          <w:color w:val="auto"/>
        </w:rPr>
      </w:pPr>
    </w:p>
    <w:p>
      <w:pPr>
        <w:ind w:left="1620" w:right="1740" w:hanging="360"/>
        <w:spacing w:after="0" w:line="306" w:lineRule="auto"/>
        <w:tabs>
          <w:tab w:leader="none" w:pos="1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disclosure of amounts in the column reflects the performance year to which the bonus/ compensation relates, rather than the year in which the bonus/compensation is paid.</w:t>
      </w:r>
    </w:p>
    <w:p>
      <w:pPr>
        <w:spacing w:after="0" w:line="1" w:lineRule="exact"/>
        <w:rPr>
          <w:rFonts w:ascii="Arial" w:cs="Arial" w:eastAsia="Arial" w:hAnsi="Arial"/>
          <w:sz w:val="17"/>
          <w:szCs w:val="17"/>
          <w:color w:val="auto"/>
        </w:rPr>
      </w:pPr>
    </w:p>
    <w:p>
      <w:pPr>
        <w:ind w:left="1620" w:right="880" w:hanging="360"/>
        <w:spacing w:after="0" w:line="259"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Because our 2020 annual cash bonus plan provides more specificity and less discretion regarding the calculation of the level of achievement of the performance metrics than in prior years, payments made pursuant for 2020 cash bonuses have been reported in the Non-equity Incentive Plan Compensation column instead of the Bonus column.</w:t>
      </w:r>
    </w:p>
    <w:p>
      <w:pPr>
        <w:spacing w:after="0" w:line="38" w:lineRule="exact"/>
        <w:rPr>
          <w:rFonts w:ascii="Arial" w:cs="Arial" w:eastAsia="Arial" w:hAnsi="Arial"/>
          <w:sz w:val="18"/>
          <w:szCs w:val="18"/>
          <w:color w:val="auto"/>
        </w:rPr>
      </w:pPr>
    </w:p>
    <w:p>
      <w:pPr>
        <w:ind w:left="1620" w:right="1380" w:hanging="360"/>
        <w:spacing w:after="0" w:line="325" w:lineRule="auto"/>
        <w:tabs>
          <w:tab w:leader="none" w:pos="1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These options were granted in January 2020 but were related to services rendered by the named executive officer in 2019 and are reflected in the table above as if granted in December 2019.</w:t>
      </w:r>
    </w:p>
    <w:p>
      <w:pPr>
        <w:spacing w:after="0" w:line="1" w:lineRule="exact"/>
        <w:rPr>
          <w:rFonts w:ascii="Arial" w:cs="Arial" w:eastAsia="Arial" w:hAnsi="Arial"/>
          <w:sz w:val="16"/>
          <w:szCs w:val="16"/>
          <w:color w:val="auto"/>
        </w:rPr>
      </w:pPr>
    </w:p>
    <w:p>
      <w:pPr>
        <w:ind w:left="1620" w:right="820" w:hanging="360"/>
        <w:spacing w:after="0" w:line="271" w:lineRule="auto"/>
        <w:tabs>
          <w:tab w:leader="none" w:pos="1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Mr. Gad and Dr. Møller serve as members of our Board of Directors but do not receive any additional compensation for their service as a director. Mr. Kruse served as a member of our Board of Directors until June 2019, but did not receive any additional compensation for his services as a director during that time. Amounts in this column include a monthly housing allowance of $7,000 to cover rental expenses associated with the U.S. residence for each of Mr. Gad and Dr. Møller and a monthly housing allowance of approximately $2,000 to cover rental expenses associated with a Danish residence for Dr. Rajah, as well as a one-time incentive bonus of $25,000 in 2018 for Mr. Herman for relocation. Amounts also include certain insurance premiums and technology expenses paid for by the Company.</w:t>
      </w:r>
    </w:p>
    <w:p>
      <w:pPr>
        <w:sectPr>
          <w:pgSz w:w="11900" w:h="16838" w:orient="portrait"/>
          <w:cols w:equalWidth="0" w:num="1">
            <w:col w:w="10220"/>
          </w:cols>
          <w:pgMar w:left="580" w:top="131" w:right="1099" w:bottom="1440" w:gutter="0" w:footer="0" w:header="0"/>
        </w:sectPr>
      </w:pPr>
    </w:p>
    <w:p>
      <w:pPr>
        <w:spacing w:after="0" w:line="35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hanging="36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Herman joined the Company in June 2018 and therefore received a prorated bonus for 2018.</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Dr. Rajah joined the Company in June 2020 and therefore received a prorated bonus for 2020.</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Base Salary</w:t>
      </w:r>
    </w:p>
    <w:p>
      <w:pPr>
        <w:spacing w:after="0" w:line="144"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In 2018, we paid annual base salaries of $395,002 to Mr. Gad, $470,000 to Dr. Møller, $345,000 to Mr. Kruse and $202,587 to Mr. Herman. Mr. Herman joined the Company on June 8, 2018 and the salary for Mr. Herman represents his base salary earned from his June 8, 2018 start date. Dr. Rajah was not employed by us during 2018.</w:t>
      </w:r>
    </w:p>
    <w:p>
      <w:pPr>
        <w:spacing w:after="0" w:line="120" w:lineRule="exact"/>
        <w:rPr>
          <w:sz w:val="20"/>
          <w:szCs w:val="20"/>
          <w:color w:val="auto"/>
        </w:rPr>
      </w:pPr>
    </w:p>
    <w:p>
      <w:pPr>
        <w:ind w:left="1260" w:right="879" w:firstLine="360"/>
        <w:spacing w:after="0" w:line="261" w:lineRule="auto"/>
        <w:rPr>
          <w:sz w:val="20"/>
          <w:szCs w:val="20"/>
          <w:color w:val="auto"/>
        </w:rPr>
      </w:pPr>
      <w:r>
        <w:rPr>
          <w:rFonts w:ascii="Arial" w:cs="Arial" w:eastAsia="Arial" w:hAnsi="Arial"/>
          <w:sz w:val="18"/>
          <w:szCs w:val="18"/>
          <w:color w:val="auto"/>
        </w:rPr>
        <w:t>In 2019, we paid annual base salaries of $440,000 to Mr. Gad, $ 550,00 to Dr. Møller, $392,000 to Mr. Kruse, $367,200 to Mr. Herman. Dr. Rajah was not employed by us during 2019.</w:t>
      </w:r>
    </w:p>
    <w:p>
      <w:pPr>
        <w:spacing w:after="0" w:line="103" w:lineRule="exact"/>
        <w:rPr>
          <w:sz w:val="20"/>
          <w:szCs w:val="20"/>
          <w:color w:val="auto"/>
        </w:rPr>
      </w:pPr>
    </w:p>
    <w:p>
      <w:pPr>
        <w:ind w:left="1260" w:right="659" w:firstLine="360"/>
        <w:spacing w:after="0" w:line="243" w:lineRule="auto"/>
        <w:rPr>
          <w:sz w:val="20"/>
          <w:szCs w:val="20"/>
          <w:color w:val="auto"/>
        </w:rPr>
      </w:pPr>
      <w:r>
        <w:rPr>
          <w:rFonts w:ascii="Arial" w:cs="Arial" w:eastAsia="Arial" w:hAnsi="Arial"/>
          <w:sz w:val="18"/>
          <w:szCs w:val="18"/>
          <w:color w:val="auto"/>
        </w:rPr>
        <w:t>In 2020, we paid annual base salaries of $470,800 to Mr. Gad, $574,000 to Dr. Møller, $420,700 to Mr. Kruse, $403,920 to Mr. Herman and $171,453 to Dr. Rajah. Dr. Rajah joined the Company on June 2, 2020 and the salary for Dr. Rajah represents his annual base salary of $293,920 prorated from his June 2, 2020 start date.</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December 2020, our Board of Directors raised the base salary of each of Mr. Gad, Dr. Møller and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Kruse to $500,000, $630,000 and $464,000, respectively, for fiscal 2021 effective as of January 1, 2021</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 increase of 6.2% compared to the 2020 base salary for Mr. Gad, an increase of 9.8% for Dr. Møller</w:t>
      </w:r>
    </w:p>
    <w:p>
      <w:pPr>
        <w:ind w:left="1260"/>
        <w:spacing w:after="0"/>
        <w:rPr>
          <w:sz w:val="20"/>
          <w:szCs w:val="20"/>
          <w:color w:val="auto"/>
        </w:rPr>
      </w:pPr>
      <w:r>
        <w:rPr>
          <w:rFonts w:ascii="Arial" w:cs="Arial" w:eastAsia="Arial" w:hAnsi="Arial"/>
          <w:sz w:val="16"/>
          <w:szCs w:val="16"/>
          <w:color w:val="auto"/>
        </w:rPr>
        <w:t>compared to his 2020 base salary and an increase of 10.3% for Mr. Kruse compared to his 2020 base salary).</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addition, at the same time, the base salary for each of Mr. Herman and Dr. Rajah was increased to</w:t>
      </w:r>
    </w:p>
    <w:p>
      <w:pPr>
        <w:ind w:left="1260"/>
        <w:spacing w:after="0"/>
        <w:rPr>
          <w:sz w:val="20"/>
          <w:szCs w:val="20"/>
          <w:color w:val="auto"/>
        </w:rPr>
      </w:pPr>
      <w:r>
        <w:rPr>
          <w:rFonts w:ascii="Arial" w:cs="Arial" w:eastAsia="Arial" w:hAnsi="Arial"/>
          <w:sz w:val="16"/>
          <w:szCs w:val="16"/>
          <w:color w:val="auto"/>
        </w:rPr>
        <w:t>$420,077 and $326,132, respectively (an increase of 4.0% compared to the 2020 base salary for Mr. Herman</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an increase of 11.0% for Dr. Rajah compared to his 2020 base salary).</w:t>
      </w:r>
    </w:p>
    <w:p>
      <w:pPr>
        <w:spacing w:after="0" w:line="12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For additional information regarding the employment agreements of our named executive officers, see the subsection herein entitled “— Employment Agreements”.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Annual Bonus</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From time to time, our Board of Directors has approved discretionary annual cash bonuses to our executive officers with respect to their prior year performance. Beginning 2019 our Board of Directors began to establish certain predetermined annual cash bonus performance targets for Mr. Gad, Dr. Møller and Mr. Kruse.</w:t>
      </w:r>
    </w:p>
    <w:p>
      <w:pPr>
        <w:spacing w:after="0" w:line="107" w:lineRule="exact"/>
        <w:rPr>
          <w:sz w:val="20"/>
          <w:szCs w:val="20"/>
          <w:color w:val="auto"/>
        </w:rPr>
      </w:pPr>
    </w:p>
    <w:p>
      <w:pPr>
        <w:ind w:left="1260" w:right="659" w:firstLine="360"/>
        <w:spacing w:after="0" w:line="258" w:lineRule="auto"/>
        <w:rPr>
          <w:sz w:val="20"/>
          <w:szCs w:val="20"/>
          <w:color w:val="auto"/>
        </w:rPr>
      </w:pPr>
      <w:r>
        <w:rPr>
          <w:rFonts w:ascii="Arial" w:cs="Arial" w:eastAsia="Arial" w:hAnsi="Arial"/>
          <w:sz w:val="17"/>
          <w:szCs w:val="17"/>
          <w:color w:val="auto"/>
        </w:rPr>
        <w:t>The other named executive officers have been awarded discretionary annual cash bonuses which, for Mr. Herman was in an amount of 35% of his base salary and 25% for Dr. Rajah (prorated from his</w:t>
      </w:r>
    </w:p>
    <w:p>
      <w:pPr>
        <w:spacing w:after="0" w:line="1" w:lineRule="exact"/>
        <w:rPr>
          <w:sz w:val="20"/>
          <w:szCs w:val="20"/>
          <w:color w:val="auto"/>
        </w:rPr>
      </w:pPr>
    </w:p>
    <w:p>
      <w:pPr>
        <w:ind w:left="1260" w:right="839"/>
        <w:spacing w:after="0" w:line="243" w:lineRule="auto"/>
        <w:rPr>
          <w:sz w:val="20"/>
          <w:szCs w:val="20"/>
          <w:color w:val="auto"/>
        </w:rPr>
      </w:pPr>
      <w:r>
        <w:rPr>
          <w:rFonts w:ascii="Arial" w:cs="Arial" w:eastAsia="Arial" w:hAnsi="Arial"/>
          <w:sz w:val="18"/>
          <w:szCs w:val="18"/>
          <w:color w:val="auto"/>
        </w:rPr>
        <w:t>June 2020 start date). Beginning in 2021, cash bonuses awarded to all named executive officers will be performance-based with predetermined annual cash bonus performance targets.</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December 2018, our Board of Directors approved discretionary cash bonuses for Mr. Gad,</w:t>
      </w:r>
    </w:p>
    <w:p>
      <w:pPr>
        <w:spacing w:after="0" w:line="12" w:lineRule="exact"/>
        <w:rPr>
          <w:sz w:val="20"/>
          <w:szCs w:val="20"/>
          <w:color w:val="auto"/>
        </w:rPr>
      </w:pPr>
    </w:p>
    <w:p>
      <w:pPr>
        <w:ind w:left="1260" w:right="539"/>
        <w:spacing w:after="0" w:line="256" w:lineRule="auto"/>
        <w:rPr>
          <w:sz w:val="20"/>
          <w:szCs w:val="20"/>
          <w:color w:val="auto"/>
        </w:rPr>
      </w:pPr>
      <w:r>
        <w:rPr>
          <w:rFonts w:ascii="Arial" w:cs="Arial" w:eastAsia="Arial" w:hAnsi="Arial"/>
          <w:sz w:val="17"/>
          <w:szCs w:val="17"/>
          <w:color w:val="auto"/>
        </w:rPr>
        <w:t>Dr. Møller and Mr. Kruse in the amounts of $191,575, $227,950 and $167,325, respectively, for services performed during 2018. Such amounts were paid in March 2019. Mr. Herman received a discretionary cash bonus in the amount of $63,000 for services performed during 2018. Mr. Herman joined the Company on June 8, 2018 and, therefore, received a prorated bonus. Dr. Rajah was not employed by us in 2018.</w:t>
      </w:r>
    </w:p>
    <w:p>
      <w:pPr>
        <w:spacing w:after="0" w:line="95"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In January 2020, our Board of Directors approved discretionary cash bonuses for Mr. Gad, Dr. Møller and Mr. Kruse in the amounts of $242,000, $332,750 and $215,600, respectively, for services performed during 2019. Such amounts were paid in January 2020. The cash bonus for 2019 had a target of 50% of Mr. Gad’s and Mr. Kruse’s annual base salary whereas for Dr. Møller, it was set to 55% of his annual base salary. The cash bonuses paid reflect that each of Mr. Gad, Dr. Møller and Mr. Kruse had met 110% of their 2019 targets. Mr. Herman received a discretionary cash bonus in the amount of $128,520 for services performed during 2019. Dr. Rajah was not employed by us in 2019.</w:t>
      </w: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In December 2020, our Board of Directors approved performance based cash bonuses for Mr. Gad, Dr. Møller and Mr. Kruse in the amounts of $205,975, $301,350 and $184,056, respectively, for services performed during 2020. Such amounts were paid in December 2020. The annual incentive cash bonus for 2020 had a target of 50% of Mr. Gad’s and Mr. Kruse’s annual base salary whereas for Dr. Møller, it was set to 60% of his annual base salary. The cash bonuses paid reflect that each of Mr. Gad, Dr. Møller and</w:t>
      </w:r>
    </w:p>
    <w:p>
      <w:pPr>
        <w:spacing w:after="0" w:line="2" w:lineRule="exact"/>
        <w:rPr>
          <w:sz w:val="20"/>
          <w:szCs w:val="20"/>
          <w:color w:val="auto"/>
        </w:rPr>
      </w:pPr>
    </w:p>
    <w:p>
      <w:pPr>
        <w:jc w:val="both"/>
        <w:ind w:left="1260" w:right="439"/>
        <w:spacing w:after="0" w:line="260" w:lineRule="auto"/>
        <w:rPr>
          <w:sz w:val="20"/>
          <w:szCs w:val="20"/>
          <w:color w:val="auto"/>
        </w:rPr>
      </w:pPr>
      <w:r>
        <w:rPr>
          <w:rFonts w:ascii="Arial" w:cs="Arial" w:eastAsia="Arial" w:hAnsi="Arial"/>
          <w:sz w:val="17"/>
          <w:szCs w:val="17"/>
          <w:color w:val="auto"/>
        </w:rPr>
        <w:t>Mr. Kruse had met 87.5% of their 2020 performance based targets. The cash bonus paid to Mr. Gad amounts to 43.8% of his base salary for 2020. The cash bonus paid to Dr. Møller amounts to 52.5% of his base salary for 2020. The cash bonus paid to Mr. Kruse amounts to 43.8% of his base salary for 2020.</w:t>
      </w:r>
    </w:p>
    <w:p>
      <w:pPr>
        <w:spacing w:after="0" w:line="91"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Mr. Herman and Dr. Rajah received a discretionary cash bonus of $141,372 and $36,740, respectively, for services performed during 2020. Dr. Rajah joined the Company on June 2, 2020 and, therefore, received a prorated bonus. The cash bonus paid to Mr. Herman amounts to 35.0% of his base salary for 2020. The cash bonus paid to Dr. Rajah amounts to 21.4% of his base salary for 2020.</w:t>
      </w:r>
    </w:p>
    <w:p>
      <w:pPr>
        <w:spacing w:after="0" w:line="120"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6"/>
          <w:szCs w:val="16"/>
          <w:color w:val="auto"/>
        </w:rPr>
        <w:t>The annual incentive cash bonus for fiscal 2021 has a target of 50% of Mr. Gad’s and Mr. Kruse’s annual base salary whereas for Dr. Møller, it is set to 60% of his annual base salary. The annual incentive cash bonus may be increased if our Board of Directors determines that the named executive officer has exceeded the performance objectives that year. The annual incentive cash bonus for fiscal 2021 for</w:t>
      </w:r>
    </w:p>
    <w:p>
      <w:pPr>
        <w:spacing w:after="0" w:line="1"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color w:val="auto"/>
        </w:rPr>
        <w:t>Mr. Herman has a maximum and target of 35% of his annual base salary. For Dr. Rajah the annual incentive cash bonus for fiscal 2021 has a maximum and target of 25% of his annual base salary.</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15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named executive officers or any formal equity ownership guidelines applicable to them, we believe that equity grants provide our named executive officers with a strong link to our long-term performance, create an ownership culture and help to align the interests of our named executive officers and our stockholders. In addition, we believe that equity grants with a time-based vesting feature promote executive retention because this feature incentivizes our named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 under our 2018 Equity Incentive Plan (the “2018 Plan”), which may be granted as either incentive stock options or non-statutory stock options. Our Board of Directors may also grant other stock based awards under the 2018 Plan. Our Board of Directors generally grants annual equity awards to Mr. Gad, Dr. Møller and Mr. Kruse at its last regularly scheduled meeting of the year. Other named executive officers received a stock option grant at the first board meeting following their employment with us, and thereafter may generally receive annual follow-up stock option grants or other stock based awards in accordance with a grant schedule determined by our Board of directors.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Description of Option Awards</w:t>
      </w:r>
    </w:p>
    <w:p>
      <w:pPr>
        <w:spacing w:after="0" w:line="14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On April 24, 2018, Mr. Gad, Dr. Møller and Mr. Kruse received option grants of 100,000, 125,000 and 75,000 shares of common stock, respectively, at an exercise price of $11.16 per share. On December 11, 2018 Mr. Gad, Dr. Møller and Mr. Kruse received option grants of 107,500, 211,500 and 107,500 shares of common stock, respectively, at an exercise price of $21.97 per share. On July 10, 2018 Mr. Herman received option grants of 20,000 shares of common stock, at an exercise price of $13.11 per share. Dr. Rajah was not employed with the Company in 2018 and did not receive option awards during fiscal 2018.</w:t>
      </w:r>
    </w:p>
    <w:p>
      <w:pPr>
        <w:spacing w:after="0" w:line="10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Mr. Gad, Dr. Møller and Mr. Kruse did not receive option awards during fiscal 2019. On June 12, 2019, Mr. Herman received option grants of 20,000 shares of common stock, at an exercise price of $ 21.45 per share. On December 10, 2019, Mr. Herman received option grants of 20,000 shares of common stock, at an exercise price of $33.74 per share. Dr. Rajah was not employed with the Company in 2019 and did not receive option awards during fiscal 2019.</w:t>
      </w:r>
    </w:p>
    <w:p>
      <w:pPr>
        <w:spacing w:after="0" w:line="122"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On January 7, 2020 Mr. Gad, Dr. Møller and Mr. Kruse received option grants of 130,000, 275,000 and 130,000 shares of common stock, respectively, at an exercise price of $30.34 per share. On December 15, 2020 Mr. Gad, Dr. Møller and Mr. Kruse received option grants of 91,450, 226,800 and 72,350 shares of common stock, respectively, at an exercise price of $53.88 per share. On June 23, 2020 Mr. Herman received</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option grants of 20,000 shares of common stock, at an exercise price of $48.67 per share. On December 15, 2020, Mr. Herman received option grants of 20,000 shares of common stock, at an exercise price of $53.88 per share. On June 23, 2020 Dr. Rajah received option grants of 40,000 shares of common stock, at an exercise price of $48.67 per share. On December 15, 2020 Dr. Rajah received option grants of 20,000 shares of common stock, at an exercise price of $53.88 per share.</w:t>
      </w:r>
    </w:p>
    <w:p>
      <w:pPr>
        <w:spacing w:after="0" w:line="107"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All options were granted at an exercise price equal to the closing sale price of our common stock on the Nasdaq Global Select Market on the date of grant. The shares subject to each option will vest and become exercisable based on our “Standard Vesting Schedule” of 25% on the one-year anniversary of the date of grant, and 1/48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total shares subject to the options award vesting on the same day of the month as the grant date over the course of the next three (3) years, subject to the named executive officer’s continued employment on each vesting date.</w:t>
      </w:r>
    </w:p>
    <w:p>
      <w:pPr>
        <w:spacing w:after="0" w:line="135"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In the event of a change of control, as defined in the 2018 Plan and the preceding 2015 Equity Incentive Plan (the “2015 Plan”), each option granted to our named executive officers under the 2015 Plan and under the 2018 Plan will fully vest and become immediately exercisable.</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 the event any of our named executive officers’ employment is terminated by the Company without “cause” or by either of the named executive officers for “good reason”, or by their “retirement” or “disability”, as such terms are defined in the 2015 Plan and/or as determined for grants made under the 2018 Plan (with respect to good reason, as summarized below), or by death, the options granted to the named executive named officers will continue to vest and become exercisable in accordance with our Standard Vesting Schedule. If a named executive officer’s employment is terminated for “cause” or by the named executive officer voluntarily (other than for retirement), the vesting schedule for options granted to the named executive officer will terminate immediately and shares subject to the option which have not vested prior to such termination will not become exercisable.</w:t>
      </w:r>
    </w:p>
    <w:p>
      <w:pPr>
        <w:spacing w:after="0" w:line="1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defined in the 2015 Plan and the 2018 Plan:</w:t>
      </w:r>
    </w:p>
    <w:p>
      <w:pPr>
        <w:spacing w:after="0" w:line="117" w:lineRule="exact"/>
        <w:rPr>
          <w:sz w:val="20"/>
          <w:szCs w:val="20"/>
          <w:color w:val="auto"/>
        </w:rPr>
      </w:pPr>
    </w:p>
    <w:p>
      <w:pPr>
        <w:ind w:left="1800" w:right="419" w:hanging="180"/>
        <w:spacing w:after="0" w:line="269"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 of control” generally means (1) the acquisition by a person or entity of more than 50% of our combined voting power (except a change in ownership as a result of a private financing of us that is approved by our Board of Directors), (2) the change in effective control of us which occurs on the date that a majority of members of our Board of Directors is replaced during any twelve (12) month period by directors whose appointment of election is not endorsed by a majority of the members of our Board of Directors prior to the date of the appointment or election (if any person or entity is considered to be in effective control of us, the acquisition of additional control of us by the same person or entity will not be considered a change in control), and (3) the acquisition by a person or entity of a substantial portion of our assets with a total gross fair market value equal to or more than 50% of the total gross fair market value of all of our assets immediately prior to such acquisition.</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defined in the 2015 Plan and as determined in connection with grants made under the 2018 Plan:</w:t>
      </w:r>
    </w:p>
    <w:p>
      <w:pPr>
        <w:spacing w:after="0" w:line="129" w:lineRule="exact"/>
        <w:rPr>
          <w:sz w:val="20"/>
          <w:szCs w:val="20"/>
          <w:color w:val="auto"/>
        </w:rPr>
      </w:pPr>
    </w:p>
    <w:p>
      <w:pPr>
        <w:ind w:left="1800" w:right="659" w:hanging="180"/>
        <w:spacing w:after="0" w:line="259"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“cause” generally means abuse of alcohol or another drug while performing his or her duties as an employee of the Company, or a breach of or failure or refusal by participant to comply with any material provision of his or her employment agreement or arrangement with us if not cured within ten (10) days after written notice thereof from us; and</w:t>
      </w:r>
    </w:p>
    <w:p>
      <w:pPr>
        <w:spacing w:after="0" w:line="78" w:lineRule="exact"/>
        <w:rPr>
          <w:rFonts w:ascii="Arial" w:cs="Arial" w:eastAsia="Arial" w:hAnsi="Arial"/>
          <w:sz w:val="18"/>
          <w:szCs w:val="18"/>
          <w:color w:val="auto"/>
        </w:rPr>
      </w:pPr>
    </w:p>
    <w:p>
      <w:pPr>
        <w:ind w:left="1800" w:right="479" w:hanging="180"/>
        <w:spacing w:after="0" w:line="269" w:lineRule="auto"/>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“good reason” generally means, during the term of the participant’s employment relationship with the Company, without the participant’s written consent, we cause a material reduction in base salary or compensation and bonus opportunity, a relocation of participant’s principal place of employment by more than 50 miles, any material breach by the Company of any provision in the participant’s employment agreement or arrangement or other agreements, the Company’s failure to obtain an agreement from any successor to us to assume and agree to perform a participant’s employment agreement or arrangement in the same manner and to the same extent that we would be required to perform if no succession had taken place (except where such assumptions occurs by operation of law), a material, adverse change in the participant’s title, authority, duties, or responsibilities (except temporary change while participant is physically or mentally incapacitated or as required by applicable law), or a material change in the reporting structure applicable to the participant.</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60" w:firstLine="360"/>
        <w:spacing w:after="0" w:line="277" w:lineRule="auto"/>
        <w:rPr>
          <w:sz w:val="20"/>
          <w:szCs w:val="20"/>
          <w:color w:val="auto"/>
        </w:rPr>
      </w:pPr>
      <w:r>
        <w:rPr>
          <w:rFonts w:ascii="Arial" w:cs="Arial" w:eastAsia="Arial" w:hAnsi="Arial"/>
          <w:sz w:val="18"/>
          <w:szCs w:val="18"/>
          <w:color w:val="auto"/>
        </w:rPr>
        <w:t>All options expire 10 years from the date of grant. None of the options granted to the named executive officers provide for tax-reimbursements or tax gross-ups.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in 2020</w:t>
      </w:r>
    </w:p>
    <w:p>
      <w:pPr>
        <w:spacing w:after="0" w:line="148" w:lineRule="exact"/>
        <w:rPr>
          <w:sz w:val="20"/>
          <w:szCs w:val="20"/>
          <w:color w:val="auto"/>
        </w:rPr>
      </w:pPr>
    </w:p>
    <w:p>
      <w:pPr>
        <w:ind w:left="1260" w:right="760" w:firstLine="360"/>
        <w:spacing w:after="0" w:line="277" w:lineRule="auto"/>
        <w:rPr>
          <w:sz w:val="20"/>
          <w:szCs w:val="20"/>
          <w:color w:val="auto"/>
        </w:rPr>
      </w:pPr>
      <w:r>
        <w:rPr>
          <w:rFonts w:ascii="Arial" w:cs="Arial" w:eastAsia="Arial" w:hAnsi="Arial"/>
          <w:sz w:val="18"/>
          <w:szCs w:val="18"/>
          <w:color w:val="auto"/>
        </w:rPr>
        <w:t>The following table shows information regarding grants of plan-based awards during fiscal 2020, to our named executive officers:</w:t>
      </w:r>
    </w:p>
    <w:p>
      <w:pPr>
        <w:spacing w:after="0" w:line="18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 Option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Awards:Number</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Exercise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Non-equity</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of Securities</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 of Stock</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58"/>
        </w:trPr>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Grant Date</w:t>
            </w:r>
            <w:r>
              <w:rPr>
                <w:rFonts w:ascii="Arial" w:cs="Arial" w:eastAsia="Arial" w:hAnsi="Arial"/>
                <w:sz w:val="21"/>
                <w:szCs w:val="21"/>
                <w:b w:val="1"/>
                <w:bCs w:val="1"/>
                <w:color w:val="auto"/>
                <w:vertAlign w:val="superscript"/>
              </w:rPr>
              <w:t>(1)</w:t>
            </w:r>
          </w:p>
        </w:tc>
        <w:tc>
          <w:tcPr>
            <w:tcW w:w="180" w:type="dxa"/>
            <w:vAlign w:val="bottom"/>
            <w:vMerge w:val="restart"/>
          </w:tcPr>
          <w:p>
            <w:pPr>
              <w:spacing w:after="0"/>
              <w:rPr>
                <w:sz w:val="13"/>
                <w:szCs w:val="13"/>
                <w:color w:val="auto"/>
              </w:rPr>
            </w:pPr>
          </w:p>
        </w:tc>
        <w:tc>
          <w:tcPr>
            <w:tcW w:w="940" w:type="dxa"/>
            <w:vAlign w:val="bottom"/>
            <w:gridSpan w:val="3"/>
          </w:tcPr>
          <w:p>
            <w:pPr>
              <w:ind w:left="100"/>
              <w:spacing w:after="0" w:line="158" w:lineRule="exact"/>
              <w:rPr>
                <w:sz w:val="20"/>
                <w:szCs w:val="20"/>
                <w:color w:val="auto"/>
              </w:rPr>
            </w:pPr>
            <w:r>
              <w:rPr>
                <w:rFonts w:ascii="Arial" w:cs="Arial" w:eastAsia="Arial" w:hAnsi="Arial"/>
                <w:sz w:val="14"/>
                <w:szCs w:val="14"/>
                <w:b w:val="1"/>
                <w:bCs w:val="1"/>
                <w:color w:val="auto"/>
              </w:rPr>
              <w:t>Incentive</w:t>
            </w: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Underlying</w:t>
            </w:r>
          </w:p>
        </w:tc>
        <w:tc>
          <w:tcPr>
            <w:tcW w:w="11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Option Awards</w:t>
            </w:r>
          </w:p>
        </w:tc>
        <w:tc>
          <w:tcPr>
            <w:tcW w:w="8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1"/>
              </w:rPr>
              <w:t>Stock Option</w:t>
            </w:r>
          </w:p>
        </w:tc>
        <w:tc>
          <w:tcPr>
            <w:tcW w:w="0" w:type="dxa"/>
            <w:vAlign w:val="bottom"/>
          </w:tcPr>
          <w:p>
            <w:pPr>
              <w:spacing w:after="0"/>
              <w:rPr>
                <w:sz w:val="1"/>
                <w:szCs w:val="1"/>
                <w:color w:val="auto"/>
              </w:rPr>
            </w:pPr>
          </w:p>
        </w:tc>
      </w:tr>
      <w:tr>
        <w:trPr>
          <w:trHeight w:val="230"/>
        </w:trPr>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Award Type</w:t>
            </w:r>
          </w:p>
        </w:tc>
        <w:tc>
          <w:tcPr>
            <w:tcW w:w="2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vMerge w:val="continue"/>
          </w:tcPr>
          <w:p>
            <w:pPr>
              <w:spacing w:after="0"/>
              <w:rPr>
                <w:sz w:val="19"/>
                <w:szCs w:val="19"/>
                <w:color w:val="auto"/>
              </w:rPr>
            </w:pPr>
          </w:p>
        </w:tc>
        <w:tc>
          <w:tcPr>
            <w:tcW w:w="740" w:type="dxa"/>
            <w:vAlign w:val="bottom"/>
            <w:tcBorders>
              <w:bottom w:val="single" w:sz="8" w:color="auto"/>
            </w:tcBorders>
            <w:gridSpan w:val="2"/>
          </w:tcPr>
          <w:p>
            <w:pPr>
              <w:ind w:left="40"/>
              <w:spacing w:after="0" w:line="230" w:lineRule="exact"/>
              <w:rPr>
                <w:sz w:val="20"/>
                <w:szCs w:val="20"/>
                <w:color w:val="auto"/>
              </w:rPr>
            </w:pPr>
            <w:r>
              <w:rPr>
                <w:rFonts w:ascii="Arial" w:cs="Arial" w:eastAsia="Arial" w:hAnsi="Arial"/>
                <w:sz w:val="14"/>
                <w:szCs w:val="14"/>
                <w:b w:val="1"/>
                <w:bCs w:val="1"/>
                <w:color w:val="auto"/>
                <w:w w:val="84"/>
              </w:rPr>
              <w:t>Target ($)</w:t>
            </w:r>
            <w:r>
              <w:rPr>
                <w:rFonts w:ascii="Arial" w:cs="Arial" w:eastAsia="Arial" w:hAnsi="Arial"/>
                <w:sz w:val="21"/>
                <w:szCs w:val="21"/>
                <w:b w:val="1"/>
                <w:bCs w:val="1"/>
                <w:color w:val="auto"/>
                <w:w w:val="84"/>
                <w:vertAlign w:val="superscript"/>
              </w:rPr>
              <w:t>(2)</w:t>
            </w: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2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w:t>
            </w:r>
          </w:p>
        </w:tc>
        <w:tc>
          <w:tcPr>
            <w:tcW w:w="1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gridSpan w:val="2"/>
          </w:tcPr>
          <w:p>
            <w:pPr>
              <w:ind w:left="40"/>
              <w:spacing w:after="0" w:line="230" w:lineRule="exact"/>
              <w:rPr>
                <w:sz w:val="20"/>
                <w:szCs w:val="20"/>
                <w:color w:val="auto"/>
              </w:rPr>
            </w:pPr>
            <w:r>
              <w:rPr>
                <w:rFonts w:ascii="Arial" w:cs="Arial" w:eastAsia="Arial" w:hAnsi="Arial"/>
                <w:sz w:val="14"/>
                <w:szCs w:val="14"/>
                <w:b w:val="1"/>
                <w:bCs w:val="1"/>
                <w:color w:val="auto"/>
                <w:w w:val="87"/>
              </w:rPr>
              <w:t>Awards ($)</w:t>
            </w:r>
            <w:r>
              <w:rPr>
                <w:rFonts w:ascii="Arial" w:cs="Arial" w:eastAsia="Arial" w:hAnsi="Arial"/>
                <w:sz w:val="21"/>
                <w:szCs w:val="21"/>
                <w:b w:val="1"/>
                <w:bCs w:val="1"/>
                <w:color w:val="auto"/>
                <w:w w:val="87"/>
                <w:vertAlign w:val="superscript"/>
              </w:rPr>
              <w:t>(3)</w:t>
            </w:r>
          </w:p>
        </w:tc>
        <w:tc>
          <w:tcPr>
            <w:tcW w:w="0" w:type="dxa"/>
            <w:vAlign w:val="bottom"/>
          </w:tcPr>
          <w:p>
            <w:pPr>
              <w:spacing w:after="0"/>
              <w:rPr>
                <w:sz w:val="1"/>
                <w:szCs w:val="1"/>
                <w:color w:val="auto"/>
              </w:rPr>
            </w:pPr>
          </w:p>
        </w:tc>
      </w:tr>
      <w:tr>
        <w:trPr>
          <w:trHeight w:val="250"/>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Gad</w:t>
            </w: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7, 2020</w:t>
            </w:r>
          </w:p>
        </w:tc>
        <w:tc>
          <w:tcPr>
            <w:tcW w:w="3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130,000</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$ 30.34</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$2,295,800</w:t>
            </w:r>
          </w:p>
        </w:tc>
        <w:tc>
          <w:tcPr>
            <w:tcW w:w="0" w:type="dxa"/>
            <w:vAlign w:val="bottom"/>
          </w:tcPr>
          <w:p>
            <w:pPr>
              <w:spacing w:after="0"/>
              <w:rPr>
                <w:sz w:val="1"/>
                <w:szCs w:val="1"/>
                <w:color w:val="auto"/>
              </w:rPr>
            </w:pPr>
          </w:p>
        </w:tc>
      </w:tr>
      <w:tr>
        <w:trPr>
          <w:trHeight w:val="256"/>
        </w:trPr>
        <w:tc>
          <w:tcPr>
            <w:tcW w:w="2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December 15, 2020</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91,450</w:t>
            </w:r>
          </w:p>
        </w:tc>
        <w:tc>
          <w:tcPr>
            <w:tcW w:w="2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$ 53.58</w:t>
            </w:r>
          </w:p>
        </w:tc>
        <w:tc>
          <w:tcPr>
            <w:tcW w:w="1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$2,916,341</w:t>
            </w:r>
          </w:p>
        </w:tc>
        <w:tc>
          <w:tcPr>
            <w:tcW w:w="0" w:type="dxa"/>
            <w:vAlign w:val="bottom"/>
          </w:tcPr>
          <w:p>
            <w:pPr>
              <w:spacing w:after="0"/>
              <w:rPr>
                <w:sz w:val="1"/>
                <w:szCs w:val="1"/>
                <w:color w:val="auto"/>
              </w:rPr>
            </w:pPr>
          </w:p>
        </w:tc>
      </w:tr>
      <w:tr>
        <w:trPr>
          <w:trHeight w:val="257"/>
        </w:trPr>
        <w:tc>
          <w:tcPr>
            <w:tcW w:w="2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Bonus</w:t>
            </w:r>
          </w:p>
        </w:tc>
        <w:tc>
          <w:tcPr>
            <w:tcW w:w="1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$235,400</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240" w:type="dxa"/>
            <w:vAlign w:val="bottom"/>
            <w:gridSpan w:val="2"/>
          </w:tcPr>
          <w:p>
            <w:pPr>
              <w:spacing w:after="0"/>
              <w:rPr>
                <w:sz w:val="20"/>
                <w:szCs w:val="20"/>
                <w:color w:val="auto"/>
              </w:rPr>
            </w:pPr>
            <w:r>
              <w:rPr>
                <w:rFonts w:ascii="Arial" w:cs="Arial" w:eastAsia="Arial" w:hAnsi="Arial"/>
                <w:sz w:val="18"/>
                <w:szCs w:val="18"/>
                <w:color w:val="auto"/>
              </w:rPr>
              <w:t>Dr. Claus Juan Møller-San</w:t>
            </w:r>
          </w:p>
        </w:tc>
        <w:tc>
          <w:tcPr>
            <w:tcW w:w="1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180"/>
              <w:spacing w:after="0"/>
              <w:rPr>
                <w:sz w:val="20"/>
                <w:szCs w:val="20"/>
                <w:color w:val="auto"/>
              </w:rPr>
            </w:pPr>
            <w:r>
              <w:rPr>
                <w:rFonts w:ascii="Arial" w:cs="Arial" w:eastAsia="Arial" w:hAnsi="Arial"/>
                <w:sz w:val="18"/>
                <w:szCs w:val="18"/>
                <w:color w:val="auto"/>
              </w:rPr>
              <w:t>Pedro M.D., Ph.D.</w:t>
            </w:r>
          </w:p>
        </w:tc>
        <w:tc>
          <w:tcPr>
            <w:tcW w:w="1700" w:type="dxa"/>
            <w:vAlign w:val="bottom"/>
            <w:gridSpan w:val="2"/>
          </w:tcPr>
          <w:p>
            <w:pPr>
              <w:spacing w:after="0"/>
              <w:rPr>
                <w:sz w:val="20"/>
                <w:szCs w:val="20"/>
                <w:color w:val="auto"/>
              </w:rPr>
            </w:pPr>
            <w:r>
              <w:rPr>
                <w:rFonts w:ascii="Arial" w:cs="Arial" w:eastAsia="Arial" w:hAnsi="Arial"/>
                <w:sz w:val="18"/>
                <w:szCs w:val="18"/>
                <w:color w:val="auto"/>
              </w:rPr>
              <w:t>Stock Option</w:t>
            </w:r>
          </w:p>
        </w:tc>
        <w:tc>
          <w:tcPr>
            <w:tcW w:w="1660" w:type="dxa"/>
            <w:vAlign w:val="bottom"/>
            <w:gridSpan w:val="2"/>
          </w:tcPr>
          <w:p>
            <w:pPr>
              <w:spacing w:after="0"/>
              <w:rPr>
                <w:sz w:val="20"/>
                <w:szCs w:val="20"/>
                <w:color w:val="auto"/>
              </w:rPr>
            </w:pPr>
            <w:r>
              <w:rPr>
                <w:rFonts w:ascii="Arial" w:cs="Arial" w:eastAsia="Arial" w:hAnsi="Arial"/>
                <w:sz w:val="18"/>
                <w:szCs w:val="18"/>
                <w:color w:val="auto"/>
              </w:rPr>
              <w:t>January 7, 2020</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275,000</w:t>
            </w:r>
          </w:p>
        </w:tc>
        <w:tc>
          <w:tcPr>
            <w:tcW w:w="2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$ 30.34</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$4,856,500</w:t>
            </w:r>
          </w:p>
        </w:tc>
        <w:tc>
          <w:tcPr>
            <w:tcW w:w="0" w:type="dxa"/>
            <w:vAlign w:val="bottom"/>
          </w:tcPr>
          <w:p>
            <w:pPr>
              <w:spacing w:after="0"/>
              <w:rPr>
                <w:sz w:val="1"/>
                <w:szCs w:val="1"/>
                <w:color w:val="auto"/>
              </w:rPr>
            </w:pPr>
          </w:p>
        </w:tc>
      </w:tr>
      <w:tr>
        <w:trPr>
          <w:trHeight w:val="257"/>
        </w:trPr>
        <w:tc>
          <w:tcPr>
            <w:tcW w:w="2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15, 2020</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226,800</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$ 53.58</w:t>
            </w:r>
          </w:p>
        </w:tc>
        <w:tc>
          <w:tcPr>
            <w:tcW w:w="1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$7,232,652</w:t>
            </w:r>
          </w:p>
        </w:tc>
        <w:tc>
          <w:tcPr>
            <w:tcW w:w="0" w:type="dxa"/>
            <w:vAlign w:val="bottom"/>
          </w:tcPr>
          <w:p>
            <w:pPr>
              <w:spacing w:after="0"/>
              <w:rPr>
                <w:sz w:val="1"/>
                <w:szCs w:val="1"/>
                <w:color w:val="auto"/>
              </w:rPr>
            </w:pPr>
          </w:p>
        </w:tc>
      </w:tr>
      <w:tr>
        <w:trPr>
          <w:trHeight w:val="257"/>
        </w:trPr>
        <w:tc>
          <w:tcPr>
            <w:tcW w:w="2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Performance Bonus</w:t>
            </w: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$344,400</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 Kruse</w:t>
            </w: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7, 2020</w:t>
            </w: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130,000</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$ 30.34</w:t>
            </w:r>
          </w:p>
        </w:tc>
        <w:tc>
          <w:tcPr>
            <w:tcW w:w="1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$2,295,800</w:t>
            </w: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December 15, 2020</w:t>
            </w: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72,350</w:t>
            </w:r>
          </w:p>
        </w:tc>
        <w:tc>
          <w:tcPr>
            <w:tcW w:w="2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$ 53.58</w:t>
            </w:r>
          </w:p>
        </w:tc>
        <w:tc>
          <w:tcPr>
            <w:tcW w:w="18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$2,307,242</w:t>
            </w:r>
          </w:p>
        </w:tc>
        <w:tc>
          <w:tcPr>
            <w:tcW w:w="0" w:type="dxa"/>
            <w:vAlign w:val="bottom"/>
          </w:tcPr>
          <w:p>
            <w:pPr>
              <w:spacing w:after="0"/>
              <w:rPr>
                <w:sz w:val="1"/>
                <w:szCs w:val="1"/>
                <w:color w:val="auto"/>
              </w:rPr>
            </w:pPr>
          </w:p>
        </w:tc>
      </w:tr>
      <w:tr>
        <w:trPr>
          <w:trHeight w:val="270"/>
        </w:trPr>
        <w:tc>
          <w:tcPr>
            <w:tcW w:w="2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Bonus</w:t>
            </w:r>
          </w:p>
        </w:tc>
        <w:tc>
          <w:tcPr>
            <w:tcW w:w="1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$210,350</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40" w:type="dxa"/>
            <w:vAlign w:val="bottom"/>
            <w:gridSpan w:val="2"/>
          </w:tcPr>
          <w:p>
            <w:pPr>
              <w:spacing w:after="0"/>
              <w:rPr>
                <w:sz w:val="20"/>
                <w:szCs w:val="20"/>
                <w:color w:val="auto"/>
              </w:rPr>
            </w:pPr>
            <w:r>
              <w:rPr>
                <w:rFonts w:ascii="Arial" w:cs="Arial" w:eastAsia="Arial" w:hAnsi="Arial"/>
                <w:sz w:val="18"/>
                <w:szCs w:val="18"/>
                <w:color w:val="auto"/>
              </w:rPr>
              <w:t>Philip Herman</w:t>
            </w:r>
          </w:p>
        </w:tc>
        <w:tc>
          <w:tcPr>
            <w:tcW w:w="1700" w:type="dxa"/>
            <w:vAlign w:val="bottom"/>
            <w:gridSpan w:val="2"/>
          </w:tcPr>
          <w:p>
            <w:pPr>
              <w:spacing w:after="0"/>
              <w:rPr>
                <w:sz w:val="20"/>
                <w:szCs w:val="20"/>
                <w:color w:val="auto"/>
              </w:rPr>
            </w:pPr>
            <w:r>
              <w:rPr>
                <w:rFonts w:ascii="Arial" w:cs="Arial" w:eastAsia="Arial" w:hAnsi="Arial"/>
                <w:sz w:val="18"/>
                <w:szCs w:val="18"/>
                <w:color w:val="auto"/>
              </w:rPr>
              <w:t>Stock Option</w:t>
            </w:r>
          </w:p>
        </w:tc>
        <w:tc>
          <w:tcPr>
            <w:tcW w:w="1660" w:type="dxa"/>
            <w:vAlign w:val="bottom"/>
            <w:gridSpan w:val="2"/>
          </w:tcPr>
          <w:p>
            <w:pPr>
              <w:spacing w:after="0"/>
              <w:rPr>
                <w:sz w:val="20"/>
                <w:szCs w:val="20"/>
                <w:color w:val="auto"/>
              </w:rPr>
            </w:pPr>
            <w:r>
              <w:rPr>
                <w:rFonts w:ascii="Arial" w:cs="Arial" w:eastAsia="Arial" w:hAnsi="Arial"/>
                <w:sz w:val="18"/>
                <w:szCs w:val="18"/>
                <w:color w:val="auto"/>
              </w:rPr>
              <w:t>June 23, 2020</w:t>
            </w: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$ 48.67</w:t>
            </w:r>
          </w:p>
        </w:tc>
        <w:tc>
          <w:tcPr>
            <w:tcW w:w="18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558,400</w:t>
            </w:r>
          </w:p>
        </w:tc>
        <w:tc>
          <w:tcPr>
            <w:tcW w:w="0" w:type="dxa"/>
            <w:vAlign w:val="bottom"/>
          </w:tcPr>
          <w:p>
            <w:pPr>
              <w:spacing w:after="0"/>
              <w:rPr>
                <w:sz w:val="1"/>
                <w:szCs w:val="1"/>
                <w:color w:val="auto"/>
              </w:rPr>
            </w:pPr>
          </w:p>
        </w:tc>
      </w:tr>
      <w:tr>
        <w:trPr>
          <w:trHeight w:val="270"/>
        </w:trPr>
        <w:tc>
          <w:tcPr>
            <w:tcW w:w="2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15, 2020</w:t>
            </w:r>
          </w:p>
        </w:tc>
        <w:tc>
          <w:tcPr>
            <w:tcW w:w="3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$ 53.58</w:t>
            </w: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637,800</w:t>
            </w: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Performance Bonus</w:t>
            </w:r>
          </w:p>
        </w:tc>
        <w:tc>
          <w:tcPr>
            <w:tcW w:w="1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Vignesh Rajah</w:t>
            </w: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23, 2020</w:t>
            </w:r>
          </w:p>
        </w:tc>
        <w:tc>
          <w:tcPr>
            <w:tcW w:w="3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$ 48.67</w:t>
            </w:r>
          </w:p>
        </w:tc>
        <w:tc>
          <w:tcPr>
            <w:tcW w:w="1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$1,116,800</w:t>
            </w: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December 15, 2020</w:t>
            </w: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$ 53.58</w:t>
            </w:r>
          </w:p>
        </w:tc>
        <w:tc>
          <w:tcPr>
            <w:tcW w:w="18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637,800</w:t>
            </w:r>
          </w:p>
        </w:tc>
        <w:tc>
          <w:tcPr>
            <w:tcW w:w="0" w:type="dxa"/>
            <w:vAlign w:val="bottom"/>
          </w:tcPr>
          <w:p>
            <w:pPr>
              <w:spacing w:after="0"/>
              <w:rPr>
                <w:sz w:val="1"/>
                <w:szCs w:val="1"/>
                <w:color w:val="auto"/>
              </w:rPr>
            </w:pPr>
          </w:p>
        </w:tc>
      </w:tr>
      <w:tr>
        <w:trPr>
          <w:trHeight w:val="270"/>
        </w:trPr>
        <w:tc>
          <w:tcPr>
            <w:tcW w:w="2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Bonus</w:t>
            </w:r>
          </w:p>
        </w:tc>
        <w:tc>
          <w:tcPr>
            <w:tcW w:w="1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5840730</wp:posOffset>
            </wp:positionH>
            <wp:positionV relativeFrom="paragraph">
              <wp:posOffset>-2665095</wp:posOffset>
            </wp:positionV>
            <wp:extent cx="120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-2665095</wp:posOffset>
            </wp:positionV>
            <wp:extent cx="120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-2665095</wp:posOffset>
            </wp:positionV>
            <wp:extent cx="120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-2665095</wp:posOffset>
            </wp:positionV>
            <wp:extent cx="120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-2665095</wp:posOffset>
            </wp:positionV>
            <wp:extent cx="120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1623060</wp:posOffset>
            </wp:positionH>
            <wp:positionV relativeFrom="paragraph">
              <wp:posOffset>-2665095</wp:posOffset>
            </wp:positionV>
            <wp:extent cx="120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4" w:lineRule="exact"/>
        <w:rPr>
          <w:sz w:val="20"/>
          <w:szCs w:val="20"/>
          <w:color w:val="auto"/>
        </w:rPr>
      </w:pPr>
    </w:p>
    <w:p>
      <w:pPr>
        <w:ind w:left="1620" w:right="780" w:hanging="360"/>
        <w:spacing w:after="0" w:line="275" w:lineRule="auto"/>
        <w:tabs>
          <w:tab w:leader="none" w:pos="1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options were granted under the terms of our 2018 Plan, with an exercise price per share equal to the closing sale price of our common stock on Nasdaq Global Select Market on the grant date, and vest as to 25% of the shares on the anniversary of the grant date and thereafter as to 2.0833% of the shares in equal monthly installments through the fourth anniversary of the grant date. None of our named executive officers held or received other types of equity awards than stock options during 2020.</w:t>
      </w:r>
    </w:p>
    <w:p>
      <w:pPr>
        <w:spacing w:after="0" w:line="68" w:lineRule="exact"/>
        <w:rPr>
          <w:rFonts w:ascii="Arial" w:cs="Arial" w:eastAsia="Arial" w:hAnsi="Arial"/>
          <w:sz w:val="17"/>
          <w:szCs w:val="17"/>
          <w:color w:val="auto"/>
        </w:rPr>
      </w:pPr>
    </w:p>
    <w:p>
      <w:pPr>
        <w:ind w:left="1620" w:right="900" w:hanging="360"/>
        <w:spacing w:after="0" w:line="254"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in this column represent the performance-based bonus opportunity for Mr. Gad, Dr. Møller and Mr. Kruse were eligible to earn in 2020 if certain performance metrics were achieved whether pursuant to an employment agreement with us or otherwise. Mr. Herman was eligible for a discretionary bonus of up to 35% of his base salary for 2020. Dr. Rajah was eligible for a (prorated) discretionary bonus of up to 25% of his base salary for 2020. However, no specific bonus targets were set for Mr. Herman or Dr. Rajah. Actual amounts made for 2020 are reported in the “Summary Compensation Table”.</w:t>
      </w:r>
    </w:p>
    <w:p>
      <w:pPr>
        <w:spacing w:after="0" w:line="86" w:lineRule="exact"/>
        <w:rPr>
          <w:rFonts w:ascii="Arial" w:cs="Arial" w:eastAsia="Arial" w:hAnsi="Arial"/>
          <w:sz w:val="18"/>
          <w:szCs w:val="18"/>
          <w:color w:val="auto"/>
        </w:rPr>
      </w:pPr>
    </w:p>
    <w:p>
      <w:pPr>
        <w:ind w:left="1620" w:right="780" w:hanging="360"/>
        <w:spacing w:after="0" w:line="254"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 in this column reflects the aggregate grant date fair value of the option awards granted during 2020 computed in accordance with FASB ASC Topic 718. See the information appearing under the heading entitled “Share-Based Compensation” in footnote 8 to our consolidated financial statements included as part of our Annual Report on Form 10-K for the year ended December 31, 2020 for certain assumptions made in the valuation of such stock options and restricted stock awards.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36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Year End 2020</w:t>
      </w:r>
    </w:p>
    <w:p>
      <w:pPr>
        <w:spacing w:after="0" w:line="148"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The following table sets forth information regarding outstanding equity awards held by our five named executive officers as of December 31, 2020:</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ind w:left="900"/>
              <w:spacing w:after="0"/>
              <w:rPr>
                <w:sz w:val="20"/>
                <w:szCs w:val="20"/>
                <w:color w:val="auto"/>
              </w:rPr>
            </w:pPr>
            <w:r>
              <w:rPr>
                <w:rFonts w:ascii="Arial" w:cs="Arial" w:eastAsia="Arial" w:hAnsi="Arial"/>
                <w:sz w:val="14"/>
                <w:szCs w:val="14"/>
                <w:b w:val="1"/>
                <w:bCs w:val="1"/>
                <w:color w:val="auto"/>
              </w:rPr>
              <w:t>Option Awards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3"/>
          </w:tcPr>
          <w:p>
            <w:pPr>
              <w:jc w:val="right"/>
              <w:ind w:right="431"/>
              <w:spacing w:after="0"/>
              <w:rPr>
                <w:sz w:val="20"/>
                <w:szCs w:val="20"/>
                <w:color w:val="auto"/>
              </w:rPr>
            </w:pPr>
            <w:r>
              <w:rPr>
                <w:rFonts w:ascii="Arial" w:cs="Arial" w:eastAsia="Arial" w:hAnsi="Arial"/>
                <w:sz w:val="14"/>
                <w:szCs w:val="14"/>
                <w:b w:val="1"/>
                <w:bCs w:val="1"/>
                <w:color w:val="auto"/>
              </w:rPr>
              <w:t>Number of Securities</w:t>
            </w:r>
          </w:p>
        </w:tc>
        <w:tc>
          <w:tcPr>
            <w:tcW w:w="200" w:type="dxa"/>
            <w:vAlign w:val="bottom"/>
          </w:tcPr>
          <w:p>
            <w:pPr>
              <w:spacing w:after="0"/>
              <w:rPr>
                <w:sz w:val="15"/>
                <w:szCs w:val="15"/>
                <w:color w:val="auto"/>
              </w:rPr>
            </w:pPr>
          </w:p>
        </w:tc>
        <w:tc>
          <w:tcPr>
            <w:tcW w:w="11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Option</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81"/>
        </w:trPr>
        <w:tc>
          <w:tcPr>
            <w:tcW w:w="2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40" w:type="dxa"/>
            <w:vAlign w:val="bottom"/>
            <w:gridSpan w:val="3"/>
            <w:vMerge w:val="restart"/>
          </w:tcPr>
          <w:p>
            <w:pPr>
              <w:jc w:val="right"/>
              <w:ind w:right="71"/>
              <w:spacing w:after="0"/>
              <w:rPr>
                <w:sz w:val="20"/>
                <w:szCs w:val="20"/>
                <w:color w:val="auto"/>
              </w:rPr>
            </w:pPr>
            <w:r>
              <w:rPr>
                <w:rFonts w:ascii="Arial" w:cs="Arial" w:eastAsia="Arial" w:hAnsi="Arial"/>
                <w:sz w:val="14"/>
                <w:szCs w:val="14"/>
                <w:b w:val="1"/>
                <w:bCs w:val="1"/>
                <w:color w:val="auto"/>
                <w:w w:val="94"/>
              </w:rPr>
              <w:t>Underlying Unexercised Options</w:t>
            </w:r>
          </w:p>
        </w:tc>
        <w:tc>
          <w:tcPr>
            <w:tcW w:w="2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85"/>
              </w:rPr>
              <w:t>Exercise Price</w:t>
            </w:r>
          </w:p>
        </w:tc>
        <w:tc>
          <w:tcPr>
            <w:tcW w:w="148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26"/>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180" w:type="dxa"/>
            <w:vAlign w:val="bottom"/>
            <w:gridSpan w:val="2"/>
            <w:vMerge w:val="continue"/>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Exercisable (#)</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7"/>
              </w:rPr>
              <w:t>Unexercisable (#)</w:t>
            </w:r>
          </w:p>
        </w:tc>
        <w:tc>
          <w:tcPr>
            <w:tcW w:w="2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($/Sh)</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6"/>
        </w:trPr>
        <w:tc>
          <w:tcPr>
            <w:tcW w:w="2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98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Thomas Gad</w:t>
            </w:r>
            <w:r>
              <w:rPr>
                <w:rFonts w:ascii="Arial" w:cs="Arial" w:eastAsia="Arial" w:hAnsi="Arial"/>
                <w:sz w:val="26"/>
                <w:szCs w:val="26"/>
                <w:color w:val="auto"/>
                <w:vertAlign w:val="superscript"/>
              </w:rPr>
              <w:t>(1)</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336,000</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$ 2.00</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June 10, 2025</w:t>
            </w:r>
          </w:p>
        </w:tc>
        <w:tc>
          <w:tcPr>
            <w:tcW w:w="0" w:type="dxa"/>
            <w:vAlign w:val="bottom"/>
          </w:tcPr>
          <w:p>
            <w:pPr>
              <w:spacing w:after="0"/>
              <w:rPr>
                <w:sz w:val="1"/>
                <w:szCs w:val="1"/>
                <w:color w:val="auto"/>
              </w:rPr>
            </w:pPr>
          </w:p>
        </w:tc>
      </w:tr>
      <w:tr>
        <w:trPr>
          <w:trHeight w:val="257"/>
        </w:trPr>
        <w:tc>
          <w:tcPr>
            <w:tcW w:w="2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166,000</w:t>
            </w:r>
          </w:p>
        </w:tc>
        <w:tc>
          <w:tcPr>
            <w:tcW w:w="220" w:type="dxa"/>
            <w:vAlign w:val="bottom"/>
          </w:tcPr>
          <w:p>
            <w:pPr>
              <w:spacing w:after="0"/>
              <w:rPr>
                <w:sz w:val="22"/>
                <w:szCs w:val="22"/>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$ 4.38</w:t>
            </w:r>
          </w:p>
        </w:tc>
        <w:tc>
          <w:tcPr>
            <w:tcW w:w="220" w:type="dxa"/>
            <w:vAlign w:val="bottom"/>
          </w:tcPr>
          <w:p>
            <w:pPr>
              <w:spacing w:after="0"/>
              <w:rPr>
                <w:sz w:val="22"/>
                <w:szCs w:val="22"/>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October 21, 2026</w:t>
            </w: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16,000</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$ 8.50</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2"/>
              </w:rPr>
              <w:t>December 14, 2026</w:t>
            </w:r>
          </w:p>
        </w:tc>
        <w:tc>
          <w:tcPr>
            <w:tcW w:w="0" w:type="dxa"/>
            <w:vAlign w:val="bottom"/>
          </w:tcPr>
          <w:p>
            <w:pPr>
              <w:spacing w:after="0"/>
              <w:rPr>
                <w:sz w:val="1"/>
                <w:szCs w:val="1"/>
                <w:color w:val="auto"/>
              </w:rPr>
            </w:pPr>
          </w:p>
        </w:tc>
      </w:tr>
      <w:tr>
        <w:trPr>
          <w:trHeight w:val="257"/>
        </w:trPr>
        <w:tc>
          <w:tcPr>
            <w:tcW w:w="2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66,667</w:t>
            </w:r>
          </w:p>
        </w:tc>
        <w:tc>
          <w:tcPr>
            <w:tcW w:w="220" w:type="dxa"/>
            <w:vAlign w:val="bottom"/>
          </w:tcPr>
          <w:p>
            <w:pPr>
              <w:spacing w:after="0"/>
              <w:rPr>
                <w:sz w:val="22"/>
                <w:szCs w:val="22"/>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33,333</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$11.16</w:t>
            </w:r>
          </w:p>
        </w:tc>
        <w:tc>
          <w:tcPr>
            <w:tcW w:w="220" w:type="dxa"/>
            <w:vAlign w:val="bottom"/>
          </w:tcPr>
          <w:p>
            <w:pPr>
              <w:spacing w:after="0"/>
              <w:rPr>
                <w:sz w:val="22"/>
                <w:szCs w:val="22"/>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April 23, 2028</w:t>
            </w: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53,750</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53,750</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$21.97</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2"/>
              </w:rPr>
              <w:t>December 11, 2028</w:t>
            </w:r>
          </w:p>
        </w:tc>
        <w:tc>
          <w:tcPr>
            <w:tcW w:w="0" w:type="dxa"/>
            <w:vAlign w:val="bottom"/>
          </w:tcPr>
          <w:p>
            <w:pPr>
              <w:spacing w:after="0"/>
              <w:rPr>
                <w:sz w:val="1"/>
                <w:szCs w:val="1"/>
                <w:color w:val="auto"/>
              </w:rPr>
            </w:pPr>
          </w:p>
        </w:tc>
      </w:tr>
      <w:tr>
        <w:trPr>
          <w:trHeight w:val="256"/>
        </w:trPr>
        <w:tc>
          <w:tcPr>
            <w:tcW w:w="2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130,000</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$30.34</w:t>
            </w:r>
          </w:p>
        </w:tc>
        <w:tc>
          <w:tcPr>
            <w:tcW w:w="220" w:type="dxa"/>
            <w:vAlign w:val="bottom"/>
          </w:tcPr>
          <w:p>
            <w:pPr>
              <w:spacing w:after="0"/>
              <w:rPr>
                <w:sz w:val="22"/>
                <w:szCs w:val="22"/>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January 7, 2030</w:t>
            </w: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91,450</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$53.88</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2"/>
              </w:rPr>
              <w:t>December 15, 2030</w:t>
            </w:r>
          </w:p>
        </w:tc>
        <w:tc>
          <w:tcPr>
            <w:tcW w:w="0" w:type="dxa"/>
            <w:vAlign w:val="bottom"/>
          </w:tcPr>
          <w:p>
            <w:pPr>
              <w:spacing w:after="0"/>
              <w:rPr>
                <w:sz w:val="1"/>
                <w:szCs w:val="1"/>
                <w:color w:val="auto"/>
              </w:rPr>
            </w:pPr>
          </w:p>
        </w:tc>
      </w:tr>
      <w:tr>
        <w:trPr>
          <w:trHeight w:val="270"/>
        </w:trPr>
        <w:tc>
          <w:tcPr>
            <w:tcW w:w="3180" w:type="dxa"/>
            <w:vAlign w:val="bottom"/>
            <w:gridSpan w:val="2"/>
          </w:tcPr>
          <w:p>
            <w:pPr>
              <w:spacing w:after="0" w:line="270" w:lineRule="exact"/>
              <w:rPr>
                <w:sz w:val="20"/>
                <w:szCs w:val="20"/>
                <w:color w:val="auto"/>
              </w:rPr>
            </w:pPr>
            <w:r>
              <w:rPr>
                <w:rFonts w:ascii="Arial" w:cs="Arial" w:eastAsia="Arial" w:hAnsi="Arial"/>
                <w:sz w:val="18"/>
                <w:szCs w:val="18"/>
                <w:color w:val="auto"/>
              </w:rPr>
              <w:t>Dr. Claus Juan Møller-San Pedro</w:t>
            </w:r>
            <w:r>
              <w:rPr>
                <w:rFonts w:ascii="Arial" w:cs="Arial" w:eastAsia="Arial" w:hAnsi="Arial"/>
                <w:sz w:val="26"/>
                <w:szCs w:val="26"/>
                <w:color w:val="auto"/>
                <w:vertAlign w:val="superscript"/>
              </w:rPr>
              <w:t>(2)</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23"/>
                <w:szCs w:val="23"/>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$ 2.00</w:t>
            </w:r>
          </w:p>
        </w:tc>
        <w:tc>
          <w:tcPr>
            <w:tcW w:w="220" w:type="dxa"/>
            <w:vAlign w:val="bottom"/>
          </w:tcPr>
          <w:p>
            <w:pPr>
              <w:spacing w:after="0"/>
              <w:rPr>
                <w:sz w:val="23"/>
                <w:szCs w:val="23"/>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June 10, 2025</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$ 4.38</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October 21, 2026</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18,000</w:t>
            </w:r>
          </w:p>
        </w:tc>
        <w:tc>
          <w:tcPr>
            <w:tcW w:w="220" w:type="dxa"/>
            <w:vAlign w:val="bottom"/>
          </w:tcPr>
          <w:p>
            <w:pPr>
              <w:spacing w:after="0"/>
              <w:rPr>
                <w:sz w:val="23"/>
                <w:szCs w:val="23"/>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$ 8.50</w:t>
            </w:r>
          </w:p>
        </w:tc>
        <w:tc>
          <w:tcPr>
            <w:tcW w:w="220" w:type="dxa"/>
            <w:vAlign w:val="bottom"/>
          </w:tcPr>
          <w:p>
            <w:pPr>
              <w:spacing w:after="0"/>
              <w:rPr>
                <w:sz w:val="23"/>
                <w:szCs w:val="23"/>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2"/>
              </w:rPr>
              <w:t>December 14, 2026</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83,333</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41,667</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$11.16</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April 24, 2028</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105,750</w:t>
            </w:r>
          </w:p>
        </w:tc>
        <w:tc>
          <w:tcPr>
            <w:tcW w:w="220" w:type="dxa"/>
            <w:vAlign w:val="bottom"/>
          </w:tcPr>
          <w:p>
            <w:pPr>
              <w:spacing w:after="0"/>
              <w:rPr>
                <w:sz w:val="23"/>
                <w:szCs w:val="23"/>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105,750</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$21.97</w:t>
            </w:r>
          </w:p>
        </w:tc>
        <w:tc>
          <w:tcPr>
            <w:tcW w:w="220" w:type="dxa"/>
            <w:vAlign w:val="bottom"/>
          </w:tcPr>
          <w:p>
            <w:pPr>
              <w:spacing w:after="0"/>
              <w:rPr>
                <w:sz w:val="23"/>
                <w:szCs w:val="23"/>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2"/>
              </w:rPr>
              <w:t>December 11, 2028</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275,000</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$30.34</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January 7, 2030</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226,800</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$53.88</w:t>
            </w:r>
          </w:p>
        </w:tc>
        <w:tc>
          <w:tcPr>
            <w:tcW w:w="220" w:type="dxa"/>
            <w:vAlign w:val="bottom"/>
          </w:tcPr>
          <w:p>
            <w:pPr>
              <w:spacing w:after="0"/>
              <w:rPr>
                <w:sz w:val="23"/>
                <w:szCs w:val="23"/>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2"/>
              </w:rPr>
              <w:t>December 15, 2030</w:t>
            </w:r>
          </w:p>
        </w:tc>
        <w:tc>
          <w:tcPr>
            <w:tcW w:w="0" w:type="dxa"/>
            <w:vAlign w:val="bottom"/>
          </w:tcPr>
          <w:p>
            <w:pPr>
              <w:spacing w:after="0"/>
              <w:rPr>
                <w:sz w:val="1"/>
                <w:szCs w:val="1"/>
                <w:color w:val="auto"/>
              </w:rPr>
            </w:pPr>
          </w:p>
        </w:tc>
      </w:tr>
      <w:tr>
        <w:trPr>
          <w:trHeight w:val="283"/>
        </w:trPr>
        <w:tc>
          <w:tcPr>
            <w:tcW w:w="3180" w:type="dxa"/>
            <w:vAlign w:val="bottom"/>
            <w:gridSpan w:val="2"/>
            <w:shd w:val="clear" w:color="auto" w:fill="CCEEFF"/>
          </w:tcPr>
          <w:p>
            <w:pPr>
              <w:spacing w:after="0" w:line="283" w:lineRule="exact"/>
              <w:rPr>
                <w:sz w:val="20"/>
                <w:szCs w:val="20"/>
                <w:color w:val="auto"/>
              </w:rPr>
            </w:pPr>
            <w:r>
              <w:rPr>
                <w:rFonts w:ascii="Arial" w:cs="Arial" w:eastAsia="Arial" w:hAnsi="Arial"/>
                <w:sz w:val="18"/>
                <w:szCs w:val="18"/>
                <w:color w:val="auto"/>
              </w:rPr>
              <w:t>Bo Kruse</w:t>
            </w:r>
            <w:r>
              <w:rPr>
                <w:rFonts w:ascii="Arial" w:cs="Arial" w:eastAsia="Arial" w:hAnsi="Arial"/>
                <w:sz w:val="26"/>
                <w:szCs w:val="26"/>
                <w:color w:val="auto"/>
                <w:vertAlign w:val="superscript"/>
              </w:rPr>
              <w:t>(3)</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$ 2.00</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June 10, 2025</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133,000</w:t>
            </w:r>
          </w:p>
        </w:tc>
        <w:tc>
          <w:tcPr>
            <w:tcW w:w="220" w:type="dxa"/>
            <w:vAlign w:val="bottom"/>
          </w:tcPr>
          <w:p>
            <w:pPr>
              <w:spacing w:after="0"/>
              <w:rPr>
                <w:sz w:val="23"/>
                <w:szCs w:val="23"/>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$ 4.38</w:t>
            </w:r>
          </w:p>
        </w:tc>
        <w:tc>
          <w:tcPr>
            <w:tcW w:w="220" w:type="dxa"/>
            <w:vAlign w:val="bottom"/>
          </w:tcPr>
          <w:p>
            <w:pPr>
              <w:spacing w:after="0"/>
              <w:rPr>
                <w:sz w:val="23"/>
                <w:szCs w:val="23"/>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October 21, 2026</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14,000</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$ 8.50</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2"/>
              </w:rPr>
              <w:t>December 14, 2026</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23"/>
                <w:szCs w:val="23"/>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25,000</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$11.16</w:t>
            </w:r>
          </w:p>
        </w:tc>
        <w:tc>
          <w:tcPr>
            <w:tcW w:w="220" w:type="dxa"/>
            <w:vAlign w:val="bottom"/>
          </w:tcPr>
          <w:p>
            <w:pPr>
              <w:spacing w:after="0"/>
              <w:rPr>
                <w:sz w:val="23"/>
                <w:szCs w:val="23"/>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April 24, 2028</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53,750</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53,750</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$21.97</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2"/>
              </w:rPr>
              <w:t>December 11, 2028</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130,000</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$30.34</w:t>
            </w:r>
          </w:p>
        </w:tc>
        <w:tc>
          <w:tcPr>
            <w:tcW w:w="220" w:type="dxa"/>
            <w:vAlign w:val="bottom"/>
          </w:tcPr>
          <w:p>
            <w:pPr>
              <w:spacing w:after="0"/>
              <w:rPr>
                <w:sz w:val="23"/>
                <w:szCs w:val="23"/>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January 7, 2030</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72,350</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$53.88</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2"/>
              </w:rPr>
              <w:t>December 15, 2030</w:t>
            </w:r>
          </w:p>
        </w:tc>
        <w:tc>
          <w:tcPr>
            <w:tcW w:w="0" w:type="dxa"/>
            <w:vAlign w:val="bottom"/>
          </w:tcPr>
          <w:p>
            <w:pPr>
              <w:spacing w:after="0"/>
              <w:rPr>
                <w:sz w:val="1"/>
                <w:szCs w:val="1"/>
                <w:color w:val="auto"/>
              </w:rPr>
            </w:pPr>
          </w:p>
        </w:tc>
      </w:tr>
      <w:tr>
        <w:trPr>
          <w:trHeight w:val="283"/>
        </w:trPr>
        <w:tc>
          <w:tcPr>
            <w:tcW w:w="3180" w:type="dxa"/>
            <w:vAlign w:val="bottom"/>
            <w:gridSpan w:val="2"/>
          </w:tcPr>
          <w:p>
            <w:pPr>
              <w:spacing w:after="0" w:line="283" w:lineRule="exact"/>
              <w:rPr>
                <w:sz w:val="20"/>
                <w:szCs w:val="20"/>
                <w:color w:val="auto"/>
              </w:rPr>
            </w:pPr>
            <w:r>
              <w:rPr>
                <w:rFonts w:ascii="Arial" w:cs="Arial" w:eastAsia="Arial" w:hAnsi="Arial"/>
                <w:sz w:val="18"/>
                <w:szCs w:val="18"/>
                <w:color w:val="auto"/>
              </w:rPr>
              <w:t>Philip Herman</w:t>
            </w:r>
            <w:r>
              <w:rPr>
                <w:rFonts w:ascii="Arial" w:cs="Arial" w:eastAsia="Arial" w:hAnsi="Arial"/>
                <w:sz w:val="26"/>
                <w:szCs w:val="26"/>
                <w:color w:val="auto"/>
                <w:vertAlign w:val="superscript"/>
              </w:rPr>
              <w:t>(4)</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12,083</w:t>
            </w:r>
          </w:p>
        </w:tc>
        <w:tc>
          <w:tcPr>
            <w:tcW w:w="220" w:type="dxa"/>
            <w:vAlign w:val="bottom"/>
          </w:tcPr>
          <w:p>
            <w:pPr>
              <w:spacing w:after="0"/>
              <w:rPr>
                <w:sz w:val="24"/>
                <w:szCs w:val="24"/>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7,917</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$13.11</w:t>
            </w:r>
          </w:p>
        </w:tc>
        <w:tc>
          <w:tcPr>
            <w:tcW w:w="22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July 10, 2028</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12,500</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$21.45</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June 12, 2029</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3"/>
                <w:szCs w:val="23"/>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15,000</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$33.74</w:t>
            </w:r>
          </w:p>
        </w:tc>
        <w:tc>
          <w:tcPr>
            <w:tcW w:w="220" w:type="dxa"/>
            <w:vAlign w:val="bottom"/>
          </w:tcPr>
          <w:p>
            <w:pPr>
              <w:spacing w:after="0"/>
              <w:rPr>
                <w:sz w:val="23"/>
                <w:szCs w:val="23"/>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2"/>
              </w:rPr>
              <w:t>December 10, 2029</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20,000</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$48.67</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June 23, 2030</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20,000</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$53.88</w:t>
            </w:r>
          </w:p>
        </w:tc>
        <w:tc>
          <w:tcPr>
            <w:tcW w:w="220" w:type="dxa"/>
            <w:vAlign w:val="bottom"/>
          </w:tcPr>
          <w:p>
            <w:pPr>
              <w:spacing w:after="0"/>
              <w:rPr>
                <w:sz w:val="23"/>
                <w:szCs w:val="23"/>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2"/>
              </w:rPr>
              <w:t>December 15, 2030</w:t>
            </w:r>
          </w:p>
        </w:tc>
        <w:tc>
          <w:tcPr>
            <w:tcW w:w="0" w:type="dxa"/>
            <w:vAlign w:val="bottom"/>
          </w:tcPr>
          <w:p>
            <w:pPr>
              <w:spacing w:after="0"/>
              <w:rPr>
                <w:sz w:val="1"/>
                <w:szCs w:val="1"/>
                <w:color w:val="auto"/>
              </w:rPr>
            </w:pPr>
          </w:p>
        </w:tc>
      </w:tr>
      <w:tr>
        <w:trPr>
          <w:trHeight w:val="283"/>
        </w:trPr>
        <w:tc>
          <w:tcPr>
            <w:tcW w:w="3180" w:type="dxa"/>
            <w:vAlign w:val="bottom"/>
            <w:gridSpan w:val="2"/>
            <w:shd w:val="clear" w:color="auto" w:fill="CCEEFF"/>
          </w:tcPr>
          <w:p>
            <w:pPr>
              <w:spacing w:after="0" w:line="283" w:lineRule="exact"/>
              <w:rPr>
                <w:sz w:val="20"/>
                <w:szCs w:val="20"/>
                <w:color w:val="auto"/>
              </w:rPr>
            </w:pPr>
            <w:r>
              <w:rPr>
                <w:rFonts w:ascii="Arial" w:cs="Arial" w:eastAsia="Arial" w:hAnsi="Arial"/>
                <w:sz w:val="18"/>
                <w:szCs w:val="18"/>
                <w:color w:val="auto"/>
              </w:rPr>
              <w:t>Dr. Vignesh Rajah</w:t>
            </w:r>
            <w:r>
              <w:rPr>
                <w:rFonts w:ascii="Arial" w:cs="Arial" w:eastAsia="Arial" w:hAnsi="Arial"/>
                <w:sz w:val="26"/>
                <w:szCs w:val="26"/>
                <w:color w:val="auto"/>
                <w:vertAlign w:val="superscript"/>
              </w:rPr>
              <w:t>(5)</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40,000</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$48.67</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June 23, 2030</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20,000</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$53.88</w:t>
            </w:r>
          </w:p>
        </w:tc>
        <w:tc>
          <w:tcPr>
            <w:tcW w:w="220" w:type="dxa"/>
            <w:vAlign w:val="bottom"/>
          </w:tcPr>
          <w:p>
            <w:pPr>
              <w:spacing w:after="0"/>
              <w:rPr>
                <w:sz w:val="23"/>
                <w:szCs w:val="23"/>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2"/>
              </w:rPr>
              <w:t>December 15, 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-4782820</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-4782820</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-4782820</wp:posOffset>
            </wp:positionV>
            <wp:extent cx="137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-4782820</wp:posOffset>
            </wp:positionV>
            <wp:extent cx="120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right="519" w:hanging="360"/>
        <w:spacing w:after="0" w:line="259"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options were granted on June 10, 2015, October 21, 2016, December 14, 2016, April 24, 2018, December 11, 2018, January 7, 2020 and December 15, 2020 respectively, vest as to 25% of the shares on the anniversary of the grant date and thereafter as to 2.0833% of the shares in equal monthly installments through the fourth anniversary of the grant date.</w:t>
      </w:r>
    </w:p>
    <w:p>
      <w:pPr>
        <w:spacing w:after="0" w:line="51" w:lineRule="exact"/>
        <w:rPr>
          <w:rFonts w:ascii="Arial" w:cs="Arial" w:eastAsia="Arial" w:hAnsi="Arial"/>
          <w:sz w:val="18"/>
          <w:szCs w:val="18"/>
          <w:color w:val="auto"/>
        </w:rPr>
      </w:pPr>
    </w:p>
    <w:p>
      <w:pPr>
        <w:ind w:left="1620" w:right="439" w:hanging="360"/>
        <w:spacing w:after="0" w:line="255"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options were granted on June 10, 2015, October 21, 2016, December 14, 2016, April 24, 2018, December 11, 2018, January 7, 2020 and December 15, 2020 respectively, vest as to 25% of the shares on the anniversary of the grant date and thereafter as to 2.0833% of the shares in equal monthly installments through the fourth anniversary of the grant date. Dr. Møller transferred all shares underlying the June 10, 2015 option award upon receipt to CM Holding 2015 ApS, of which Dr. Møller is the sole owner.</w:t>
      </w:r>
    </w:p>
    <w:p>
      <w:pPr>
        <w:sectPr>
          <w:pgSz w:w="11900" w:h="16838" w:orient="portrait"/>
          <w:cols w:equalWidth="0" w:num="1">
            <w:col w:w="9879"/>
          </w:cols>
          <w:pgMar w:left="580" w:top="131"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19" w:hanging="360"/>
        <w:spacing w:after="0" w:line="259"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options were granted on June 10, 2015, October 21, 2016, December 14, 2016, April 24, 2018, December 11, 2018, January 7, 2020 and December 15, 2020 respectively, vest as to 25% of the shares on the anniversary of the grant date and thereafter as to 2.0833% of the shares in equal monthly installments through the fourth anniversary of the grant date.</w:t>
      </w:r>
    </w:p>
    <w:p>
      <w:pPr>
        <w:spacing w:after="0" w:line="24" w:lineRule="exact"/>
        <w:rPr>
          <w:rFonts w:ascii="Arial" w:cs="Arial" w:eastAsia="Arial" w:hAnsi="Arial"/>
          <w:sz w:val="18"/>
          <w:szCs w:val="18"/>
          <w:color w:val="auto"/>
        </w:rPr>
      </w:pPr>
    </w:p>
    <w:p>
      <w:pPr>
        <w:ind w:left="1620" w:right="579" w:hanging="360"/>
        <w:spacing w:after="0" w:line="259"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options were granted on July 10, 2018, June 12, 2019, December 10, 2019, June 23, 2020 and December 15, 2020 respectively, vest as to 25% of the shares on the anniversary of the grant date and thereafter as to 2.0833% of the shares in equal monthly installments through the fourth anniversary of the grant date.</w:t>
      </w:r>
    </w:p>
    <w:p>
      <w:pPr>
        <w:spacing w:after="0" w:line="24" w:lineRule="exact"/>
        <w:rPr>
          <w:rFonts w:ascii="Arial" w:cs="Arial" w:eastAsia="Arial" w:hAnsi="Arial"/>
          <w:sz w:val="18"/>
          <w:szCs w:val="18"/>
          <w:color w:val="auto"/>
        </w:rPr>
      </w:pPr>
    </w:p>
    <w:p>
      <w:pPr>
        <w:ind w:left="1620" w:right="659" w:hanging="360"/>
        <w:spacing w:after="0" w:line="263"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options were granted on June 23, 2020 and December 15, 2020 respectively, vest as to 25% of the shares on the anniversary of the grant date and thereafter as to 2.0833% of the shares in equal monthly installments through the fourth anniversary of the grant date.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2020 Option Exercises and Stock Vested Table</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The following table shows information regarding stock options exercised by Mr. Gad, the only one of our five (5) named executive officers who exercised options during fiscal 2020. None of our named executives were granted, or owned, any types of equity awards other than stock option awards during fiscal 2020.</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Shares</w:t>
            </w:r>
          </w:p>
        </w:tc>
        <w:tc>
          <w:tcPr>
            <w:tcW w:w="112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87"/>
              </w:rPr>
              <w:t>Value Realized</w:t>
            </w:r>
          </w:p>
        </w:tc>
      </w:tr>
      <w:tr>
        <w:trPr>
          <w:trHeight w:val="158"/>
        </w:trPr>
        <w:tc>
          <w:tcPr>
            <w:tcW w:w="4860" w:type="dxa"/>
            <w:vAlign w:val="bottom"/>
          </w:tcPr>
          <w:p>
            <w:pPr>
              <w:spacing w:after="0"/>
              <w:rPr>
                <w:sz w:val="13"/>
                <w:szCs w:val="13"/>
                <w:color w:val="auto"/>
              </w:rPr>
            </w:pPr>
          </w:p>
        </w:tc>
        <w:tc>
          <w:tcPr>
            <w:tcW w:w="1500" w:type="dxa"/>
            <w:vAlign w:val="bottom"/>
            <w:gridSpan w:val="2"/>
          </w:tcPr>
          <w:p>
            <w:pPr>
              <w:jc w:val="center"/>
              <w:ind w:left="79"/>
              <w:spacing w:after="0" w:line="158" w:lineRule="exact"/>
              <w:rPr>
                <w:sz w:val="20"/>
                <w:szCs w:val="20"/>
                <w:color w:val="auto"/>
              </w:rPr>
            </w:pPr>
            <w:r>
              <w:rPr>
                <w:rFonts w:ascii="Arial" w:cs="Arial" w:eastAsia="Arial" w:hAnsi="Arial"/>
                <w:sz w:val="14"/>
                <w:szCs w:val="14"/>
                <w:b w:val="1"/>
                <w:bCs w:val="1"/>
                <w:color w:val="auto"/>
                <w:w w:val="87"/>
              </w:rPr>
              <w:t>Acquired on Exercise</w:t>
            </w:r>
          </w:p>
        </w:tc>
        <w:tc>
          <w:tcPr>
            <w:tcW w:w="22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3"/>
              </w:rPr>
              <w:t>on Exercise</w:t>
            </w:r>
          </w:p>
        </w:tc>
      </w:tr>
      <w:tr>
        <w:trPr>
          <w:trHeight w:val="229"/>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ind w:right="228"/>
              <w:spacing w:after="0" w:line="230"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(1)</w:t>
            </w:r>
          </w:p>
        </w:tc>
      </w:tr>
      <w:tr>
        <w:trPr>
          <w:trHeight w:val="25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Thomas Gad</w:t>
            </w:r>
          </w:p>
        </w:tc>
        <w:tc>
          <w:tcPr>
            <w:tcW w:w="15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164,000</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7,652,274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5069205</wp:posOffset>
            </wp:positionH>
            <wp:positionV relativeFrom="paragraph">
              <wp:posOffset>-170815</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-170815</wp:posOffset>
            </wp:positionV>
            <wp:extent cx="137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619" w:hanging="360"/>
        <w:spacing w:after="0" w:line="279" w:lineRule="auto"/>
        <w:tabs>
          <w:tab w:leader="none" w:pos="1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Value realized is calculated by multiplying (i) the number of shares of common stock for which the stock options were exercised by (ii) the difference between the exercise price and the closing price of our common stock as reported on the Nasdaq Global Select Market on the date of exercise. These amounts may not correspond to the actual value that may be recognized by the officer in question.</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48"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color w:val="auto"/>
        </w:rPr>
        <w:t>None of our named executive officers participates in or has an account balance in qualified or non-qualified defined benefit plans sponsored by us.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None of our named executive officers participates in or has an account balance in non-qualified defined contribution plans or other deferred compensation plans maintained by us.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Agreements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entered into employment agreements with each of our named executive officers.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Thomas Gad</w:t>
      </w:r>
    </w:p>
    <w:p>
      <w:pPr>
        <w:spacing w:after="0" w:line="144"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In April 2016, the Company entered into a service agreement with Mr. Gad. The service agreement establishes Mr. Gad’s title, his base salary, his eligibility for an annual bonus, and his eligibility for benefits and also provides for certain benefits upon termination of his employment under specified conditions. Mr. Gad is eligible to receive an annual bonus with a target of fifty percent (50%) of his base salary.</w:t>
      </w:r>
    </w:p>
    <w:p>
      <w:pPr>
        <w:spacing w:after="0" w:line="2" w:lineRule="exact"/>
        <w:rPr>
          <w:sz w:val="20"/>
          <w:szCs w:val="20"/>
          <w:color w:val="auto"/>
        </w:rPr>
      </w:pPr>
    </w:p>
    <w:p>
      <w:pPr>
        <w:ind w:left="1260" w:right="659"/>
        <w:spacing w:after="0" w:line="239" w:lineRule="auto"/>
        <w:rPr>
          <w:sz w:val="20"/>
          <w:szCs w:val="20"/>
          <w:color w:val="auto"/>
        </w:rPr>
      </w:pPr>
      <w:r>
        <w:rPr>
          <w:rFonts w:ascii="Arial" w:cs="Arial" w:eastAsia="Arial" w:hAnsi="Arial"/>
          <w:sz w:val="18"/>
          <w:szCs w:val="18"/>
          <w:color w:val="auto"/>
        </w:rPr>
        <w:t>Mr. Gad’s employment under the service agreement continues until terminated by us or Mr. Gad. We may terminate Mr. Gad’s employment for any reason with twelve (12) months’ notice and Mr. Gad may terminate his employment with six (6) months’ notice.</w:t>
      </w:r>
    </w:p>
    <w:p>
      <w:pPr>
        <w:spacing w:after="0" w:line="12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Under the terms of the service agreement, if Mr. Gad’s employment is terminated by us without “cause”, as defined in his service agreement, and, subject to Mr. Gad’s execution of a release in form and substance satisfactory to us, we have agreed to continue to pay his then-existing base salary for a period of twelve (12) months, and all benefits set forth in the service agreement, for one (1) full year commencing with the day following the final day of the 12-month notice period such that the total amount of pay shall be twenty-four (24) months of his then-existing base salary, starting from the date of such termination notice.</w:t>
      </w:r>
    </w:p>
    <w:p>
      <w:pPr>
        <w:sectPr>
          <w:pgSz w:w="11900" w:h="16838" w:orient="portrait"/>
          <w:cols w:equalWidth="0" w:num="1">
            <w:col w:w="9879"/>
          </w:cols>
          <w:pgMar w:left="580" w:top="132"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7"/>
          <w:szCs w:val="17"/>
          <w:color w:val="auto"/>
        </w:rPr>
        <w:t xml:space="preserve">As defined in Mr. Gad’s service agreement, “cause” means (1) Mr. Gad’s fraudulent, unlawful, grossly negligent or willful misconduct in connection with his duties to us, (2) conduct by Mr. Gad which is materially injurious to the business or reputation of us or any of our affiliated entities or any of their respective partners or members, or (3) Mr. Gad’s conviction of (or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w:t>
      </w:r>
    </w:p>
    <w:p>
      <w:pPr>
        <w:spacing w:after="0" w:line="91"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Mr. Gad has also agreed pursuant to his service agreement (1) not to compete with us in the United States, Denmark, or any other territory or country where we maintain employees, own property or otherwise conduct business, during his employment and for a period of (a) one (1) year after the termination of his employment in the event that Mr. Gad terminates his employment or (b) six (6) months after the termination of his employment in the event that we terminate Mr. Gad’s employment, (2) not to solicit our employees during his employment and for a period of (a) one (1) year after the termination of his employment in the event that Mr. Gad terminates his employment or (b) six (6) months after the termination of his employment in the event that we terminate Mr. Gad’s employment, (3) not to disclose our confidential and proprietary information and (4) to assign to us related intellectual property developed during the course of his employment.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Dr. Claus Juan Møller-San Pedro</w:t>
      </w:r>
    </w:p>
    <w:p>
      <w:pPr>
        <w:spacing w:after="0" w:line="15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In March 2016, we entered into a service agreement with Dr. Møller. The service agreement establishes Dr. Møller’s title, his base salary, his eligibility for an annual bonus, and his eligibility for benefits and also provides for certain benefits upon termination of his employment under specified conditions. Dr. Møller is eligible to receive an annual bonus with a target of sixty percent (60%) of his base salary. Dr. Møller’s employment under the service agreement continues until terminated by us or Dr. Møller. We may terminate Dr. Møller’s employment for any reason with twelve 12 months’ notice and Dr. Møller may terminate his employment with six (6) months’ notice.</w:t>
      </w:r>
    </w:p>
    <w:p>
      <w:pPr>
        <w:spacing w:after="0" w:line="123"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7"/>
          <w:szCs w:val="17"/>
          <w:color w:val="auto"/>
        </w:rPr>
        <w:t>Under the terms of the service agreement, if Dr. Møller’s employment is terminated by us without “cause”, as defined in his service agreement, and subject to Dr. Møller’s execution of a release in form and substance satisfactory to us, we have agreed to continue to pay his then-existing base salary for a period of twelve (12) months, and all benefits set forth in the service agreement, for one full year commencing with the day following the final day of the 12-month notice period such that the total amount of pay shall be twenty-four (24) months of his then-existing base salary, starting from the date of such termination notice.</w:t>
      </w:r>
    </w:p>
    <w:p>
      <w:pPr>
        <w:spacing w:after="0" w:line="94"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7"/>
          <w:szCs w:val="17"/>
          <w:color w:val="auto"/>
        </w:rPr>
        <w:t xml:space="preserve">As defined in Dr. Møller’s service agreement, “cause” means (1) Dr. Møller’s fraudulent, unlawful, grossly negligent or willful misconduct in connection with his duties to us, (2) conduct by Dr. Møller which is materially injurious to the business or reputation of us or any of our affiliated entities or any of their respective partners or members, or (3) Dr. Møller’s conviction of (or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w:t>
      </w:r>
    </w:p>
    <w:p>
      <w:pPr>
        <w:spacing w:after="0" w:line="105"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Dr. Møller has also agreed pursuant to the service agreement (1) not to compete with us in the United States, Denmark, or any other territory or country where we maintain employees, own property or otherwise conduct business, during his employment and for a period of (a) one (1) year after the termination of his employment in the event that Dr. Møller terminates his employment or (b) six (6) months after the termination of his employment in the event that we terminate Dr. Møller’s employment, (2) not to solicit our employees during his employment and for a period of (a) one (1) year after the termination of his employment in the event that Dr. Møller terminates his employment or (b) six (6) months after the termination of his employment in the event that we terminate Dr. Møller’s employment, (3) not to disclose our confidential and proprietary information and (4) to assign to us related intellectual property developed during the course of his employment.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Bo Kruse</w:t>
      </w:r>
    </w:p>
    <w:p>
      <w:pPr>
        <w:spacing w:after="0" w:line="15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In January 2016, we entered into a service agreement with Mr. Kruse. The service agreement establishes Mr. Kruse’s title, his base salary, his eligibility for an annual bonus, and his eligibility for benefits and also provides for certain benefits upon termination of his employment under specified conditions. Mr. Kruse is eligible to receive an annual bonus with a target of fifty percent (50%) of his base salary. Mr. Kruse’s employment under the service agreement continues until terminated by us or Mr. Kruse. We may terminate Mr. Kruse’s employment for any reason with twelve (12) months’ notice and Mr. Kruse may terminate his employment with six (6) months’ notice.</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Under the terms of the service agreement, if Mr. Kruse’s employment is terminated by us without “cause”, as defined in his service agreement, we have agreed to continue to pay his then-existing base salary for a period of twelve (12) months, and all benefits set forth in the service agreement, for one full year commencing with the day following the final day of the 12-month notice period such that the total amount of pay shall be twenty-four (24) months of his then-existing base salary, starting from the date of such termination notice.</w:t>
      </w:r>
    </w:p>
    <w:p>
      <w:pPr>
        <w:spacing w:after="0" w:line="111" w:lineRule="exact"/>
        <w:rPr>
          <w:sz w:val="20"/>
          <w:szCs w:val="20"/>
          <w:color w:val="auto"/>
        </w:rPr>
      </w:pPr>
    </w:p>
    <w:p>
      <w:pPr>
        <w:ind w:left="1260" w:right="499" w:firstLine="360"/>
        <w:spacing w:after="0" w:line="311" w:lineRule="auto"/>
        <w:rPr>
          <w:sz w:val="20"/>
          <w:szCs w:val="20"/>
          <w:color w:val="auto"/>
        </w:rPr>
      </w:pPr>
      <w:r>
        <w:rPr>
          <w:rFonts w:ascii="Arial" w:cs="Arial" w:eastAsia="Arial" w:hAnsi="Arial"/>
          <w:sz w:val="16"/>
          <w:szCs w:val="16"/>
          <w:color w:val="auto"/>
        </w:rPr>
        <w:t>As defined in Mr. Kruse’s service agreement, “cause” means actions on the part of Mr. Kruse which constitute gross negligence or willful misconduct in performance or non-performance of his duties or material breach of the services agreement by Mr. Kruse as long as such material breach is not caused by us.</w:t>
      </w:r>
    </w:p>
    <w:p>
      <w:pPr>
        <w:spacing w:after="0" w:line="81"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Mr. Kruse has also agreed pursuant to the service agreement (1) not to disclose our confidential and proprietary information and (2) to assign to us related intellectual property developed during the course of his employment.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Phillip Herman</w:t>
      </w:r>
    </w:p>
    <w:p>
      <w:pPr>
        <w:spacing w:after="0" w:line="158"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We have entered into an employment agreement with Mr. Herman whereby Mr. Herman was employed as our Chief Commercial Officer as of June 8, 2018. The employments agreement establishes Mr. Herman’s title, his base salary, his eligibility for an annual bonus, and his eligibility for benefits and also provides for certain benefits upon termination of his employment under specified conditions. Mr. Herman is eligible to receive an annual bonus of up to thirty-five percent (35%) of his base salary.</w:t>
      </w:r>
    </w:p>
    <w:p>
      <w:pPr>
        <w:spacing w:after="0" w:line="95"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Mr. Herman’s employment with us continues for periods of one (1) year that are automatically renewed in the absence of ninety (90) days written advance notice by either party. Mr. Herman may also terminate his employment with us at any time with ninety (90) days prior notice.</w:t>
      </w:r>
    </w:p>
    <w:p>
      <w:pPr>
        <w:spacing w:after="0" w:line="116"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We may terminate Mr. Herman’s employment “for cause” by a notice of thirty (30) days. “Cause” under Mr. Herman’s employment agreement exist in the following situations: if Mr. Herman (1) is convicted of (or pleads guilty or no contest to) any felony or any crime involving moral turpitude or participates in any fraud, act of dishonesty, or act of intentional and willful misconduct against the Company; (2) intentionally damages or willfully misappropriates any of our property that has a material adverse effect on us;</w:t>
      </w:r>
    </w:p>
    <w:p>
      <w:pPr>
        <w:spacing w:after="0" w:line="3" w:lineRule="exact"/>
        <w:rPr>
          <w:sz w:val="20"/>
          <w:szCs w:val="20"/>
          <w:color w:val="auto"/>
        </w:rPr>
      </w:pPr>
    </w:p>
    <w:p>
      <w:pPr>
        <w:ind w:left="1260" w:right="419"/>
        <w:spacing w:after="0" w:line="252" w:lineRule="auto"/>
        <w:tabs>
          <w:tab w:leader="none" w:pos="15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materially breaches any fiduciary, statutory, or contractual duty owed to us or if he regularly and willfully fails to diligently and successfully perform his assigned duties; (4) fails to cooperate with us in any investigation or proceeding by any governmental or similar authority or as otherwise authorized by the Board of Directors or a committee thereof; or (5) is found liable in an action instituted by the SEC, or FDA or EMA or other regulatory agency, from serving in his capacity as the Company’s Chief Commercial Officer.</w:t>
      </w:r>
    </w:p>
    <w:p>
      <w:pPr>
        <w:spacing w:after="0" w:line="126"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may terminate Mr. Herman’s employment for any reason with ninety (90) days prior notice at any time and Mr. Herman may terminate his employment with thirty (30) days notice for “good reason”. Good reason is defined in Mr. Herma’s employment contract and comprises a list of actions taken by the Company without the consent of Mr. Herman relating to changes to his duties, certain relocations or material breach by the Company. In these situations, or if we have provided notice of non-renewal, we have agreed to continue to pay Mr. Herman his then-existing base salary and also continue life and medical insurance coverage for a period of twelve (12) months from the effective date of termination.</w:t>
      </w:r>
    </w:p>
    <w:p>
      <w:pPr>
        <w:spacing w:after="0" w:line="11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Mr. Herman has also agreed pursuant to the employment agreement (1) not to compete with us during his employment and for a period of one (1) year after the termination of his employment (2) not to solicit our employees or certain orders certain licensees, collaborators or customers during his employment and for a period of twelve (12) months after the termination of his employment (3) not to disclose our confidential and proprietary information and (4) to assign to us related intellectual property developed during the course of his employment.</w:t>
      </w:r>
    </w:p>
    <w:p>
      <w:pPr>
        <w:spacing w:after="0" w:line="125"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color w:val="auto"/>
        </w:rPr>
        <w:t>Pursuant to his employment agreement Mr. Herman may terminate his employment with us for any reason, on thirty (30) days’ written notice within twelve (12) months following a “change of control”. Any termination by the Company within twelve (12) months following a change of control shall also be deemed a termination by Mr. Herman due to a change of control. In these situations, we have agreed to pay to</w:t>
      </w:r>
    </w:p>
    <w:p>
      <w:pPr>
        <w:sectPr>
          <w:pgSz w:w="11900" w:h="16838" w:orient="portrait"/>
          <w:cols w:equalWidth="0" w:num="1">
            <w:col w:w="9879"/>
          </w:cols>
          <w:pgMar w:left="580" w:top="132"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3" w:lineRule="auto"/>
        <w:rPr>
          <w:sz w:val="20"/>
          <w:szCs w:val="20"/>
          <w:color w:val="auto"/>
        </w:rPr>
      </w:pPr>
      <w:r>
        <w:rPr>
          <w:rFonts w:ascii="Arial" w:cs="Arial" w:eastAsia="Arial" w:hAnsi="Arial"/>
          <w:sz w:val="17"/>
          <w:szCs w:val="17"/>
          <w:color w:val="auto"/>
        </w:rPr>
        <w:t>Mr. Herman, in addition to his usual prorated annual base salary up to the date of termination, a single lump-sum payment in an amount equal to six (6) times Mr. Herman’s highest monthly base salary paid hereunder during the preceding twelve (12) month period, plus Mr. Herman’s average annual bonus received by him during the preceding year. Additionally, we have agreed to continue to provide to Mr. Herman all life and medical insurance benefits for a period of six (6) months after termination. Further, in the event of a change of control all of Mr. Herman’s outstanding stock options shall become fully and immediately vested.</w:t>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“change of control” generally means (1) the acquisition by a person or entity of more than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fifty percent (50%) of our combined voting power (except a change in ownership as a result of a private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financing of us that is approved by our Board of Directors), (2) the change in effective control of us which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occurs on the date that a majority of members of our Board of Directors is replaced during any twelve (12)</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month period by directors whose appointment of election is not endorsed by a majority of the members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Board of Directors prior to the date of the appointment or election (if any person or entity is considered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be in effective control of us, the acquisition of additional control of us by the same person or entity will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not be considered a change of control), and (3) the acquisition by a person or entity of a substantial portion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our assets with a total gross fair market value equal to or more than fifty percent (50%) of the total gross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fair market value of all of our assets immediately prior to such acquisition.</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Dr. Vignesh Rajah</w:t>
      </w:r>
    </w:p>
    <w:p>
      <w:pPr>
        <w:spacing w:after="0" w:line="158" w:lineRule="exact"/>
        <w:rPr>
          <w:sz w:val="20"/>
          <w:szCs w:val="20"/>
          <w:color w:val="auto"/>
        </w:rPr>
      </w:pPr>
    </w:p>
    <w:p>
      <w:pPr>
        <w:jc w:val="both"/>
        <w:ind w:left="1260" w:right="559" w:firstLine="360"/>
        <w:spacing w:after="0" w:line="257" w:lineRule="auto"/>
        <w:rPr>
          <w:sz w:val="20"/>
          <w:szCs w:val="20"/>
          <w:color w:val="auto"/>
        </w:rPr>
      </w:pPr>
      <w:r>
        <w:rPr>
          <w:rFonts w:ascii="Arial" w:cs="Arial" w:eastAsia="Arial" w:hAnsi="Arial"/>
          <w:sz w:val="18"/>
          <w:szCs w:val="18"/>
          <w:color w:val="auto"/>
        </w:rPr>
        <w:t>We have entered into an employment agreement with Dr. Rajah whereby Dr. Rajah was employed as our Chief Medical Officer as of June 2, 2020. The employment agreement establishes Dr. Rajah’s title, his base salary, his eligibility for an annual bonus, and his eligibility for benefits and also provides for certain benefits upon termination of his employment under specified conditions. Dr. Rajah is eligible to receive an annual bonus of up to twenty-five percent (25%) of his base salary.</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Dr. Rajah’s employment under the employment agreement continues until terminated by us or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Dr. Rajah. We may terminate Dr. Rajah’s employment for any reason on twelve (12) months’ notice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Dr. Rajah may terminate his employment on three (3) months’ notice.</w:t>
      </w:r>
    </w:p>
    <w:p>
      <w:pPr>
        <w:spacing w:after="0" w:line="130"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Dr. Vignesh has agreed pursuant to the employment agreement not to disclose our confidential and proprietary information and to assign to us related intellectual property developed during the course of his employment. Dr. Rajah is employed by our Danish subsidiary.</w:t>
      </w:r>
    </w:p>
    <w:p>
      <w:pPr>
        <w:spacing w:after="0" w:line="116"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Pursuant to his employment agreement Dr. Rajah may terminate his employment with us for any reason, on one (1) month’s written notice within twelve (12) months following a “change of control”. Further, any termination by the Company unless caused by material breach by Dr. Rajah within twelve (12) months following a change of control shall also be deemed a termination by Dr. Rajah due to a change of control. In these situations, we have agreed to pay to Dr. Rajah, in addition to his usual salary up to the date of termination, and any other claims for compensation that may exist a single lump-sum payment in an amount equal to six (6) times Dr. Rajah’s highest monthly base salary paid during the preceding twelve (12) month period, plus Dr. Rajah’s annual bonus received during the preceding year (for 2021 the bonus amount shall be determined as the unprorated amount that Dr. Rajah would have received had he been employed for the entire year 2020). Further, in the event of a change of control all of Dr. Rajah’s outstanding stock options shall become fully and immediately vested.</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“change of control” generally means (1) the acquisition by a person or entity of more than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fifty percent (50%) of our combined voting power (except a change in ownership as a result of a private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financing of us that is approved by our Board of Directors), (2) the change in effective control of us which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occurs on the date that a majority of members of our Board of Directors is replaced during any twelve (12)</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month period by directors whose appointment of election is not endorsed by a majority of the members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Board of Directors prior to the date of the appointment or election (if any person or entity is considered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be in effective control of us, the acquisition of additional control of us by the same person or entity will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not be considered a change of control), and (3) the acquisition by a person or entity of a substantial portion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our assets with a total gross fair market value equal to or more than fifty percent (50%) of the total gross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fair market value of all of our assets immediately prior to such acquisition.</w:t>
      </w: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Estimated Payments and Benefits Upon Termination or Change of Control</w:t>
      </w:r>
    </w:p>
    <w:p>
      <w:pPr>
        <w:spacing w:after="0" w:line="148" w:lineRule="exact"/>
        <w:rPr>
          <w:sz w:val="20"/>
          <w:szCs w:val="20"/>
          <w:color w:val="auto"/>
        </w:rPr>
      </w:pPr>
    </w:p>
    <w:p>
      <w:pPr>
        <w:ind w:left="1260" w:right="1320" w:firstLine="360"/>
        <w:spacing w:after="0" w:line="254" w:lineRule="auto"/>
        <w:rPr>
          <w:sz w:val="20"/>
          <w:szCs w:val="20"/>
          <w:color w:val="auto"/>
        </w:rPr>
      </w:pPr>
      <w:r>
        <w:rPr>
          <w:rFonts w:ascii="Arial" w:cs="Arial" w:eastAsia="Arial" w:hAnsi="Arial"/>
          <w:sz w:val="18"/>
          <w:szCs w:val="18"/>
          <w:color w:val="auto"/>
        </w:rPr>
        <w:t>The amount of compensation and benefits payable to each of our named executive officers in various termination of employment and change of control situations, assuming that the triggering event occurred on December 31, 2020, has been estimated in the table below. The closing price of the Company’s common stock on the Nasdaq Global Select Stock Market as of December 31, 2020, the last trading day of 2020, was $50.01 per share. The value of the unvested stock options was calculated by multiplying the number of unvested option shares subject to vesting acceleration as of December 31, 2020, by the difference between the closing price of the Company’s common stock as of December 31, 2020, and the exercise price for such unvested option shares.</w:t>
      </w:r>
    </w:p>
    <w:p>
      <w:pPr>
        <w:spacing w:after="0" w:line="124" w:lineRule="exact"/>
        <w:rPr>
          <w:sz w:val="20"/>
          <w:szCs w:val="20"/>
          <w:color w:val="auto"/>
        </w:rPr>
      </w:pPr>
    </w:p>
    <w:p>
      <w:pPr>
        <w:ind w:left="1260" w:right="1480" w:firstLine="360"/>
        <w:spacing w:after="0" w:line="308" w:lineRule="auto"/>
        <w:rPr>
          <w:sz w:val="20"/>
          <w:szCs w:val="20"/>
          <w:color w:val="auto"/>
        </w:rPr>
      </w:pPr>
      <w:r>
        <w:rPr>
          <w:rFonts w:ascii="Arial" w:cs="Arial" w:eastAsia="Arial" w:hAnsi="Arial"/>
          <w:sz w:val="17"/>
          <w:szCs w:val="17"/>
          <w:color w:val="auto"/>
        </w:rPr>
        <w:t>The following table sets forth the potential payments and benefits upon employment termination or a change of control for our executive members as if the triggering event occurred on December 31,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Termination by</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Company without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cause or voluntary</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Voluntary</w:t>
            </w: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Voluntary</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Termination</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resignation for</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resignation</w:t>
            </w: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resignation</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by Company</w:t>
            </w:r>
          </w:p>
        </w:tc>
        <w:tc>
          <w:tcPr>
            <w:tcW w:w="12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Termination</w:t>
            </w: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3"/>
              </w:rPr>
              <w:t>Upon a change</w:t>
            </w: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good reason within</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not for good</w:t>
            </w: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for good</w:t>
            </w:r>
          </w:p>
        </w:tc>
        <w:tc>
          <w:tcPr>
            <w:tcW w:w="1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without</w:t>
            </w:r>
          </w:p>
        </w:tc>
        <w:tc>
          <w:tcPr>
            <w:tcW w:w="12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by Company for</w:t>
            </w: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of control</w:t>
            </w: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12 months following a</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0" w:type="dxa"/>
            <w:vAlign w:val="bottom"/>
          </w:tcPr>
          <w:p>
            <w:pPr>
              <w:spacing w:after="0"/>
              <w:rPr>
                <w:sz w:val="16"/>
                <w:szCs w:val="16"/>
                <w:color w:val="auto"/>
              </w:rPr>
            </w:pPr>
          </w:p>
        </w:tc>
        <w:tc>
          <w:tcPr>
            <w:tcW w:w="2940" w:type="dxa"/>
            <w:vAlign w:val="bottom"/>
          </w:tcPr>
          <w:p>
            <w:pPr>
              <w:spacing w:after="0"/>
              <w:rPr>
                <w:sz w:val="20"/>
                <w:szCs w:val="20"/>
                <w:color w:val="auto"/>
              </w:rPr>
            </w:pPr>
            <w:r>
              <w:rPr>
                <w:rFonts w:ascii="Arial" w:cs="Arial" w:eastAsia="Arial" w:hAnsi="Arial"/>
                <w:sz w:val="14"/>
                <w:szCs w:val="14"/>
                <w:b w:val="1"/>
                <w:bCs w:val="1"/>
                <w:color w:val="auto"/>
                <w:w w:val="88"/>
              </w:rPr>
              <w:t>Executive benefits and payment upon termination</w:t>
            </w:r>
          </w:p>
        </w:tc>
        <w:tc>
          <w:tcPr>
            <w:tcW w:w="160" w:type="dxa"/>
            <w:vAlign w:val="bottom"/>
          </w:tcPr>
          <w:p>
            <w:pPr>
              <w:spacing w:after="0"/>
              <w:rPr>
                <w:sz w:val="16"/>
                <w:szCs w:val="16"/>
                <w:color w:val="auto"/>
              </w:rPr>
            </w:pPr>
          </w:p>
        </w:tc>
        <w:tc>
          <w:tcPr>
            <w:tcW w:w="9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reason ($)</w:t>
            </w:r>
          </w:p>
        </w:tc>
        <w:tc>
          <w:tcPr>
            <w:tcW w:w="10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reason ($)</w:t>
            </w:r>
          </w:p>
        </w:tc>
        <w:tc>
          <w:tcPr>
            <w:tcW w:w="100" w:type="dxa"/>
            <w:vAlign w:val="bottom"/>
          </w:tcPr>
          <w:p>
            <w:pPr>
              <w:spacing w:after="0"/>
              <w:rPr>
                <w:sz w:val="16"/>
                <w:szCs w:val="16"/>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cause ($)</w:t>
            </w:r>
          </w:p>
        </w:tc>
        <w:tc>
          <w:tcPr>
            <w:tcW w:w="12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cause ($)</w:t>
            </w:r>
          </w:p>
        </w:tc>
        <w:tc>
          <w:tcPr>
            <w:tcW w:w="10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event ($)</w:t>
            </w: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change of control ($)</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Thomas Gad</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29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Base salary</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941,600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941,600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941,600</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2940" w:type="dxa"/>
            <w:vAlign w:val="bottom"/>
          </w:tcPr>
          <w:p>
            <w:pPr>
              <w:ind w:left="180"/>
              <w:spacing w:after="0"/>
              <w:rPr>
                <w:sz w:val="20"/>
                <w:szCs w:val="20"/>
                <w:color w:val="auto"/>
              </w:rPr>
            </w:pPr>
            <w:r>
              <w:rPr>
                <w:rFonts w:ascii="Arial" w:cs="Arial" w:eastAsia="Arial" w:hAnsi="Arial"/>
                <w:sz w:val="18"/>
                <w:szCs w:val="18"/>
                <w:i w:val="1"/>
                <w:iCs w:val="1"/>
                <w:color w:val="auto"/>
              </w:rPr>
              <w:t>Cash incentive bonus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29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Equity awards unvested and</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3"/>
            <w:vMerge w:val="restart"/>
            <w:shd w:val="clear" w:color="auto" w:fill="CCEEFF"/>
          </w:tcPr>
          <w:p>
            <w:pPr>
              <w:ind w:left="10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(1)</w:t>
            </w:r>
          </w:p>
        </w:tc>
        <w:tc>
          <w:tcPr>
            <w:tcW w:w="10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(2)</w:t>
            </w:r>
          </w:p>
        </w:tc>
        <w:tc>
          <w:tcPr>
            <w:tcW w:w="1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(2)</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3"/>
            <w:vMerge w:val="restart"/>
            <w:shd w:val="clear" w:color="auto" w:fill="CCEEFF"/>
          </w:tcPr>
          <w:p>
            <w:pPr>
              <w:ind w:left="10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(1)</w:t>
            </w:r>
          </w:p>
        </w:tc>
        <w:tc>
          <w:tcPr>
            <w:tcW w:w="100" w:type="dxa"/>
            <w:vAlign w:val="bottom"/>
            <w:shd w:val="clear" w:color="auto" w:fill="CCEEFF"/>
          </w:tcPr>
          <w:p>
            <w:pPr>
              <w:spacing w:after="0"/>
              <w:rPr>
                <w:sz w:val="19"/>
                <w:szCs w:val="19"/>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84"/>
              </w:rPr>
              <w:t>5,359,250</w:t>
            </w:r>
            <w:r>
              <w:rPr>
                <w:rFonts w:ascii="Arial" w:cs="Arial" w:eastAsia="Arial" w:hAnsi="Arial"/>
                <w:sz w:val="26"/>
                <w:szCs w:val="26"/>
                <w:color w:val="auto"/>
                <w:w w:val="84"/>
                <w:vertAlign w:val="superscript"/>
              </w:rPr>
              <w:t>(3)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9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accelerated</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Benefits and Perquisites: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29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Health care continuation</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74,260</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74,260</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74,260</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2940" w:type="dxa"/>
            <w:vAlign w:val="bottom"/>
          </w:tcPr>
          <w:p>
            <w:pPr>
              <w:ind w:left="180"/>
              <w:spacing w:after="0"/>
              <w:rPr>
                <w:sz w:val="20"/>
                <w:szCs w:val="20"/>
                <w:color w:val="auto"/>
              </w:rPr>
            </w:pPr>
            <w:r>
              <w:rPr>
                <w:rFonts w:ascii="Arial" w:cs="Arial" w:eastAsia="Arial" w:hAnsi="Arial"/>
                <w:sz w:val="18"/>
                <w:szCs w:val="18"/>
                <w:i w:val="1"/>
                <w:iCs w:val="1"/>
                <w:color w:val="auto"/>
              </w:rPr>
              <w:t>Housing allowance</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168,000</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168,000</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168,000</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1,183,860</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1,183,860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5,359,250</w:t>
            </w:r>
          </w:p>
        </w:tc>
        <w:tc>
          <w:tcPr>
            <w:tcW w:w="18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1,183,860</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Dr. Claus Juan Møller-San Pedro</w:t>
            </w: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0" w:type="dxa"/>
            <w:vAlign w:val="bottom"/>
          </w:tcPr>
          <w:p>
            <w:pPr>
              <w:spacing w:after="0"/>
              <w:rPr>
                <w:sz w:val="15"/>
                <w:szCs w:val="15"/>
                <w:color w:val="auto"/>
              </w:rPr>
            </w:pPr>
          </w:p>
        </w:tc>
        <w:tc>
          <w:tcPr>
            <w:tcW w:w="2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2940" w:type="dxa"/>
            <w:vAlign w:val="bottom"/>
          </w:tcPr>
          <w:p>
            <w:pPr>
              <w:ind w:left="180"/>
              <w:spacing w:after="0"/>
              <w:rPr>
                <w:sz w:val="20"/>
                <w:szCs w:val="20"/>
                <w:color w:val="auto"/>
              </w:rPr>
            </w:pPr>
            <w:r>
              <w:rPr>
                <w:rFonts w:ascii="Arial" w:cs="Arial" w:eastAsia="Arial" w:hAnsi="Arial"/>
                <w:sz w:val="18"/>
                <w:szCs w:val="18"/>
                <w:i w:val="1"/>
                <w:iCs w:val="1"/>
                <w:color w:val="auto"/>
              </w:rPr>
              <w:t>Base salary</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1,148,000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1,148,000</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240"/>
              <w:spacing w:after="0"/>
              <w:rPr>
                <w:sz w:val="20"/>
                <w:szCs w:val="20"/>
                <w:color w:val="auto"/>
              </w:rPr>
            </w:pPr>
            <w:r>
              <w:rPr>
                <w:rFonts w:ascii="Arial" w:cs="Arial" w:eastAsia="Arial" w:hAnsi="Arial"/>
                <w:sz w:val="18"/>
                <w:szCs w:val="18"/>
                <w:color w:val="auto"/>
              </w:rPr>
              <w:t>$1,148,000</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29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Cash incentive bonus</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2940" w:type="dxa"/>
            <w:vAlign w:val="bottom"/>
          </w:tcPr>
          <w:p>
            <w:pPr>
              <w:ind w:left="180"/>
              <w:spacing w:after="0"/>
              <w:rPr>
                <w:sz w:val="20"/>
                <w:szCs w:val="20"/>
                <w:color w:val="auto"/>
              </w:rPr>
            </w:pPr>
            <w:r>
              <w:rPr>
                <w:rFonts w:ascii="Arial" w:cs="Arial" w:eastAsia="Arial" w:hAnsi="Arial"/>
                <w:sz w:val="18"/>
                <w:szCs w:val="18"/>
                <w:i w:val="1"/>
                <w:iCs w:val="1"/>
                <w:color w:val="auto"/>
              </w:rPr>
              <w:t>Equity awards unvested and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vMerge w:val="restart"/>
          </w:tcPr>
          <w:p>
            <w:pPr>
              <w:ind w:left="10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(1)</w:t>
            </w:r>
          </w:p>
        </w:tc>
        <w:tc>
          <w:tcPr>
            <w:tcW w:w="100" w:type="dxa"/>
            <w:vAlign w:val="bottom"/>
          </w:tcPr>
          <w:p>
            <w:pPr>
              <w:spacing w:after="0"/>
              <w:rPr>
                <w:sz w:val="19"/>
                <w:szCs w:val="19"/>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(2)</w:t>
            </w:r>
          </w:p>
        </w:tc>
        <w:tc>
          <w:tcPr>
            <w:tcW w:w="100" w:type="dxa"/>
            <w:vAlign w:val="bottom"/>
          </w:tcPr>
          <w:p>
            <w:pPr>
              <w:spacing w:after="0"/>
              <w:rPr>
                <w:sz w:val="19"/>
                <w:szCs w:val="19"/>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vMerge w:val="restart"/>
          </w:tcPr>
          <w:p>
            <w:pPr>
              <w:ind w:left="10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(1)</w:t>
            </w:r>
          </w:p>
        </w:tc>
        <w:tc>
          <w:tcPr>
            <w:tcW w:w="100" w:type="dxa"/>
            <w:vAlign w:val="bottom"/>
          </w:tcPr>
          <w:p>
            <w:pPr>
              <w:spacing w:after="0"/>
              <w:rPr>
                <w:sz w:val="19"/>
                <w:szCs w:val="19"/>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84"/>
              </w:rPr>
              <w:t>9,993,230</w:t>
            </w:r>
            <w:r>
              <w:rPr>
                <w:rFonts w:ascii="Arial" w:cs="Arial" w:eastAsia="Arial" w:hAnsi="Arial"/>
                <w:sz w:val="26"/>
                <w:szCs w:val="26"/>
                <w:color w:val="auto"/>
                <w:w w:val="84"/>
                <w:vertAlign w:val="superscript"/>
              </w:rPr>
              <w:t>(3)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940" w:type="dxa"/>
            <w:vAlign w:val="bottom"/>
          </w:tcPr>
          <w:p>
            <w:pPr>
              <w:ind w:left="360"/>
              <w:spacing w:after="0"/>
              <w:rPr>
                <w:sz w:val="20"/>
                <w:szCs w:val="20"/>
                <w:color w:val="auto"/>
              </w:rPr>
            </w:pPr>
            <w:r>
              <w:rPr>
                <w:rFonts w:ascii="Arial" w:cs="Arial" w:eastAsia="Arial" w:hAnsi="Arial"/>
                <w:sz w:val="18"/>
                <w:szCs w:val="18"/>
                <w:i w:val="1"/>
                <w:iCs w:val="1"/>
                <w:color w:val="auto"/>
              </w:rPr>
              <w:t>accelerated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Benefits and Perquisites:</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2940" w:type="dxa"/>
            <w:vAlign w:val="bottom"/>
          </w:tcPr>
          <w:p>
            <w:pPr>
              <w:ind w:left="180"/>
              <w:spacing w:after="0"/>
              <w:rPr>
                <w:sz w:val="20"/>
                <w:szCs w:val="20"/>
                <w:color w:val="auto"/>
              </w:rPr>
            </w:pPr>
            <w:r>
              <w:rPr>
                <w:rFonts w:ascii="Arial" w:cs="Arial" w:eastAsia="Arial" w:hAnsi="Arial"/>
                <w:sz w:val="18"/>
                <w:szCs w:val="18"/>
                <w:i w:val="1"/>
                <w:iCs w:val="1"/>
                <w:color w:val="auto"/>
              </w:rPr>
              <w:t>Health care continuation</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29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Housing allowance</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168,000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168,000</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168,000</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1,316,000</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1,316,000</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9,993,230</w:t>
            </w:r>
          </w:p>
        </w:tc>
        <w:tc>
          <w:tcPr>
            <w:tcW w:w="180" w:type="dxa"/>
            <w:vAlign w:val="bottom"/>
          </w:tcPr>
          <w:p>
            <w:pPr>
              <w:spacing w:after="0"/>
              <w:rPr>
                <w:sz w:val="21"/>
                <w:szCs w:val="21"/>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1,316,000</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 Kruse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sz w:val="22"/>
                <w:szCs w:val="22"/>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29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Base salary</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841,400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841,400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841,400</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sz w:val="22"/>
                <w:szCs w:val="22"/>
                <w:color w:val="auto"/>
              </w:rPr>
            </w:pPr>
          </w:p>
        </w:tc>
        <w:tc>
          <w:tcPr>
            <w:tcW w:w="2940" w:type="dxa"/>
            <w:vAlign w:val="bottom"/>
          </w:tcPr>
          <w:p>
            <w:pPr>
              <w:ind w:left="180"/>
              <w:spacing w:after="0"/>
              <w:rPr>
                <w:sz w:val="20"/>
                <w:szCs w:val="20"/>
                <w:color w:val="auto"/>
              </w:rPr>
            </w:pPr>
            <w:r>
              <w:rPr>
                <w:rFonts w:ascii="Arial" w:cs="Arial" w:eastAsia="Arial" w:hAnsi="Arial"/>
                <w:sz w:val="18"/>
                <w:szCs w:val="18"/>
                <w:i w:val="1"/>
                <w:iCs w:val="1"/>
                <w:color w:val="auto"/>
              </w:rPr>
              <w:t>Cash incentive bonus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00" w:type="dxa"/>
            <w:vAlign w:val="bottom"/>
          </w:tcPr>
          <w:p>
            <w:pPr>
              <w:spacing w:after="0"/>
              <w:rPr>
                <w:sz w:val="21"/>
                <w:szCs w:val="21"/>
                <w:color w:val="auto"/>
              </w:rPr>
            </w:pPr>
          </w:p>
        </w:tc>
        <w:tc>
          <w:tcPr>
            <w:tcW w:w="29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Equity awards unvested and</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tcBorders>
              <w:right w:val="single" w:sz="8" w:color="CCEEFF"/>
            </w:tcBorders>
            <w:gridSpan w:val="3"/>
            <w:vMerge w:val="restart"/>
            <w:shd w:val="clear" w:color="auto" w:fill="CCEEFF"/>
          </w:tcPr>
          <w:p>
            <w:pPr>
              <w:ind w:left="10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(1)</w:t>
            </w: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(2)</w:t>
            </w:r>
          </w:p>
        </w:tc>
        <w:tc>
          <w:tcPr>
            <w:tcW w:w="100" w:type="dxa"/>
            <w:vAlign w:val="bottom"/>
            <w:shd w:val="clear" w:color="auto" w:fill="CCEEFF"/>
          </w:tcPr>
          <w:p>
            <w:pPr>
              <w:spacing w:after="0"/>
              <w:rPr>
                <w:sz w:val="21"/>
                <w:szCs w:val="21"/>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(2)</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3"/>
            <w:vMerge w:val="restart"/>
            <w:shd w:val="clear" w:color="auto" w:fill="CCEEFF"/>
          </w:tcPr>
          <w:p>
            <w:pPr>
              <w:ind w:left="10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(1)</w:t>
            </w:r>
          </w:p>
        </w:tc>
        <w:tc>
          <w:tcPr>
            <w:tcW w:w="100" w:type="dxa"/>
            <w:vAlign w:val="bottom"/>
            <w:shd w:val="clear" w:color="auto" w:fill="CCEEFF"/>
          </w:tcPr>
          <w:p>
            <w:pPr>
              <w:spacing w:after="0"/>
              <w:rPr>
                <w:sz w:val="21"/>
                <w:szCs w:val="21"/>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84"/>
              </w:rPr>
              <w:t>5,035,500</w:t>
            </w:r>
            <w:r>
              <w:rPr>
                <w:rFonts w:ascii="Arial" w:cs="Arial" w:eastAsia="Arial" w:hAnsi="Arial"/>
                <w:sz w:val="26"/>
                <w:szCs w:val="26"/>
                <w:color w:val="auto"/>
                <w:w w:val="84"/>
                <w:vertAlign w:val="superscript"/>
              </w:rPr>
              <w:t>(3)</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9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accelerated</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sz w:val="22"/>
                <w:szCs w:val="22"/>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Benefits and Perquisites: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29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Health care continuation</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940" w:type="dxa"/>
            <w:vAlign w:val="bottom"/>
          </w:tcPr>
          <w:p>
            <w:pPr>
              <w:ind w:left="180"/>
              <w:spacing w:after="0"/>
              <w:rPr>
                <w:sz w:val="20"/>
                <w:szCs w:val="20"/>
                <w:color w:val="auto"/>
              </w:rPr>
            </w:pPr>
            <w:r>
              <w:rPr>
                <w:rFonts w:ascii="Arial" w:cs="Arial" w:eastAsia="Arial" w:hAnsi="Arial"/>
                <w:sz w:val="18"/>
                <w:szCs w:val="18"/>
                <w:i w:val="1"/>
                <w:iCs w:val="1"/>
                <w:color w:val="auto"/>
              </w:rPr>
              <w:t>Housing allowance</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Pr>
          <w:p>
            <w:pPr>
              <w:spacing w:after="0"/>
              <w:rPr>
                <w:sz w:val="23"/>
                <w:szCs w:val="2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841,400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841,400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5,035,500</w:t>
            </w:r>
          </w:p>
        </w:tc>
        <w:tc>
          <w:tcPr>
            <w:tcW w:w="18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841,400</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6329045</wp:posOffset>
            </wp:positionH>
            <wp:positionV relativeFrom="paragraph">
              <wp:posOffset>-856615</wp:posOffset>
            </wp:positionV>
            <wp:extent cx="1631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-856615</wp:posOffset>
            </wp:positionV>
            <wp:extent cx="30861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-856615</wp:posOffset>
            </wp:positionV>
            <wp:extent cx="3340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4010" cy="88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-856615</wp:posOffset>
            </wp:positionV>
            <wp:extent cx="2914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-856615</wp:posOffset>
            </wp:positionV>
            <wp:extent cx="1289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-856615</wp:posOffset>
            </wp:positionV>
            <wp:extent cx="25800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80005" cy="8890"/>
                    </a:xfrm>
                    <a:prstGeom prst="rect">
                      <a:avLst/>
                    </a:prstGeom>
                    <a:noFill/>
                  </pic:spPr>
                </pic:pic>
              </a:graphicData>
            </a:graphic>
          </wp:anchor>
        </w:drawing>
        <w:drawing>
          <wp:anchor simplePos="0" relativeHeight="251657728" behindDoc="1" locked="0" layoutInCell="0" allowOverlap="1">
            <wp:simplePos x="0" y="0"/>
            <wp:positionH relativeFrom="column">
              <wp:posOffset>6329045</wp:posOffset>
            </wp:positionH>
            <wp:positionV relativeFrom="paragraph">
              <wp:posOffset>-4036695</wp:posOffset>
            </wp:positionV>
            <wp:extent cx="1631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-4036695</wp:posOffset>
            </wp:positionV>
            <wp:extent cx="3086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-4036695</wp:posOffset>
            </wp:positionV>
            <wp:extent cx="3340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-4036695</wp:posOffset>
            </wp:positionV>
            <wp:extent cx="2914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-4036695</wp:posOffset>
            </wp:positionV>
            <wp:extent cx="1289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-4036695</wp:posOffset>
            </wp:positionV>
            <wp:extent cx="25800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-5417185</wp:posOffset>
            </wp:positionV>
            <wp:extent cx="1200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-5417185</wp:posOffset>
            </wp:positionV>
            <wp:extent cx="1200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-5417185</wp:posOffset>
            </wp:positionV>
            <wp:extent cx="1200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-5417185</wp:posOffset>
            </wp:positionV>
            <wp:extent cx="1200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-5417185</wp:posOffset>
            </wp:positionV>
            <wp:extent cx="1200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-5417185</wp:posOffset>
            </wp:positionV>
            <wp:extent cx="1028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 by</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Company without</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cause or voluntary</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Voluntary</w:t>
            </w: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Voluntary</w:t>
            </w:r>
          </w:p>
        </w:tc>
        <w:tc>
          <w:tcPr>
            <w:tcW w:w="10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Termination</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resignation for</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resignation</w:t>
            </w: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resignation</w:t>
            </w: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by Company</w:t>
            </w: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Termination</w:t>
            </w: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Upon a change</w:t>
            </w: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good reason within</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7"/>
              </w:rPr>
              <w:t>not for good</w:t>
            </w: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for good</w:t>
            </w:r>
          </w:p>
        </w:tc>
        <w:tc>
          <w:tcPr>
            <w:tcW w:w="8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without</w:t>
            </w: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by Company for</w:t>
            </w:r>
          </w:p>
        </w:tc>
        <w:tc>
          <w:tcPr>
            <w:tcW w:w="100" w:type="dxa"/>
            <w:vAlign w:val="bottom"/>
          </w:tcPr>
          <w:p>
            <w:pPr>
              <w:spacing w:after="0"/>
              <w:rPr>
                <w:sz w:val="14"/>
                <w:szCs w:val="14"/>
                <w:color w:val="auto"/>
              </w:rPr>
            </w:pPr>
          </w:p>
        </w:tc>
        <w:tc>
          <w:tcPr>
            <w:tcW w:w="1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of control</w:t>
            </w: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12 months following a</w:t>
            </w:r>
          </w:p>
        </w:tc>
        <w:tc>
          <w:tcPr>
            <w:tcW w:w="0" w:type="dxa"/>
            <w:vAlign w:val="bottom"/>
          </w:tcPr>
          <w:p>
            <w:pPr>
              <w:spacing w:after="0"/>
              <w:rPr>
                <w:sz w:val="1"/>
                <w:szCs w:val="1"/>
                <w:color w:val="auto"/>
              </w:rPr>
            </w:pPr>
          </w:p>
        </w:tc>
      </w:tr>
      <w:tr>
        <w:trPr>
          <w:trHeight w:val="186"/>
        </w:trPr>
        <w:tc>
          <w:tcPr>
            <w:tcW w:w="2940" w:type="dxa"/>
            <w:vAlign w:val="bottom"/>
          </w:tcPr>
          <w:p>
            <w:pPr>
              <w:spacing w:after="0"/>
              <w:rPr>
                <w:sz w:val="20"/>
                <w:szCs w:val="20"/>
                <w:color w:val="auto"/>
              </w:rPr>
            </w:pPr>
            <w:r>
              <w:rPr>
                <w:rFonts w:ascii="Arial" w:cs="Arial" w:eastAsia="Arial" w:hAnsi="Arial"/>
                <w:sz w:val="14"/>
                <w:szCs w:val="14"/>
                <w:b w:val="1"/>
                <w:bCs w:val="1"/>
                <w:color w:val="auto"/>
                <w:w w:val="88"/>
              </w:rPr>
              <w:t>Executive benefits and payment upon termination</w:t>
            </w:r>
          </w:p>
        </w:tc>
        <w:tc>
          <w:tcPr>
            <w:tcW w:w="160" w:type="dxa"/>
            <w:vAlign w:val="bottom"/>
          </w:tcPr>
          <w:p>
            <w:pPr>
              <w:spacing w:after="0"/>
              <w:rPr>
                <w:sz w:val="16"/>
                <w:szCs w:val="16"/>
                <w:color w:val="auto"/>
              </w:rPr>
            </w:pPr>
          </w:p>
        </w:tc>
        <w:tc>
          <w:tcPr>
            <w:tcW w:w="10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reason ($)</w:t>
            </w: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reason ($)</w:t>
            </w:r>
          </w:p>
        </w:tc>
        <w:tc>
          <w:tcPr>
            <w:tcW w:w="80" w:type="dxa"/>
            <w:vAlign w:val="bottom"/>
          </w:tcPr>
          <w:p>
            <w:pPr>
              <w:spacing w:after="0"/>
              <w:rPr>
                <w:sz w:val="16"/>
                <w:szCs w:val="16"/>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cause ($)</w:t>
            </w:r>
          </w:p>
        </w:tc>
        <w:tc>
          <w:tcPr>
            <w:tcW w:w="12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cause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event ($)</w:t>
            </w: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change of control ($)</w:t>
            </w:r>
          </w:p>
        </w:tc>
        <w:tc>
          <w:tcPr>
            <w:tcW w:w="0" w:type="dxa"/>
            <w:vAlign w:val="bottom"/>
          </w:tcPr>
          <w:p>
            <w:pPr>
              <w:spacing w:after="0"/>
              <w:rPr>
                <w:sz w:val="1"/>
                <w:szCs w:val="1"/>
                <w:color w:val="auto"/>
              </w:rPr>
            </w:pPr>
          </w:p>
        </w:tc>
      </w:tr>
      <w:tr>
        <w:trPr>
          <w:trHeight w:val="26"/>
        </w:trPr>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Philip Herman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Base salary</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$403,920</w:t>
            </w:r>
          </w:p>
        </w:tc>
        <w:tc>
          <w:tcPr>
            <w:tcW w:w="2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$403,920</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9"/>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$201,960</w:t>
            </w: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180"/>
              <w:spacing w:after="0"/>
              <w:rPr>
                <w:sz w:val="20"/>
                <w:szCs w:val="20"/>
                <w:color w:val="auto"/>
              </w:rPr>
            </w:pPr>
            <w:r>
              <w:rPr>
                <w:rFonts w:ascii="Arial" w:cs="Arial" w:eastAsia="Arial" w:hAnsi="Arial"/>
                <w:sz w:val="18"/>
                <w:szCs w:val="18"/>
                <w:i w:val="1"/>
                <w:iCs w:val="1"/>
                <w:color w:val="auto"/>
              </w:rPr>
              <w:t>Cash incentive bonus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4"/>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141,372</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Equity awards unvested and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4"/>
            <w:vMerge w:val="restart"/>
            <w:shd w:val="clear" w:color="auto" w:fill="CCEEFF"/>
          </w:tcPr>
          <w:p>
            <w:pPr>
              <w:ind w:left="12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(1)</w:t>
            </w:r>
          </w:p>
        </w:tc>
        <w:tc>
          <w:tcPr>
            <w:tcW w:w="960" w:type="dxa"/>
            <w:vAlign w:val="bottom"/>
            <w:gridSpan w:val="3"/>
            <w:vMerge w:val="restart"/>
            <w:shd w:val="clear" w:color="auto" w:fill="CCEEFF"/>
          </w:tcPr>
          <w:p>
            <w:pPr>
              <w:ind w:left="50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(2)</w:t>
            </w:r>
          </w:p>
        </w:tc>
        <w:tc>
          <w:tcPr>
            <w:tcW w:w="80" w:type="dxa"/>
            <w:vAlign w:val="bottom"/>
            <w:shd w:val="clear" w:color="auto" w:fill="CCEEFF"/>
          </w:tcPr>
          <w:p>
            <w:pPr>
              <w:spacing w:after="0"/>
              <w:rPr>
                <w:sz w:val="18"/>
                <w:szCs w:val="18"/>
                <w:color w:val="auto"/>
              </w:rPr>
            </w:pPr>
          </w:p>
        </w:tc>
        <w:tc>
          <w:tcPr>
            <w:tcW w:w="960" w:type="dxa"/>
            <w:vAlign w:val="bottom"/>
            <w:gridSpan w:val="3"/>
            <w:vMerge w:val="restart"/>
            <w:shd w:val="clear" w:color="auto" w:fill="CCEEFF"/>
          </w:tcPr>
          <w:p>
            <w:pPr>
              <w:ind w:left="50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(2)</w:t>
            </w:r>
          </w:p>
        </w:tc>
        <w:tc>
          <w:tcPr>
            <w:tcW w:w="340" w:type="dxa"/>
            <w:vAlign w:val="bottom"/>
            <w:shd w:val="clear" w:color="auto" w:fill="CCEEFF"/>
          </w:tcPr>
          <w:p>
            <w:pPr>
              <w:spacing w:after="0"/>
              <w:rPr>
                <w:sz w:val="18"/>
                <w:szCs w:val="18"/>
                <w:color w:val="auto"/>
              </w:rPr>
            </w:pPr>
          </w:p>
        </w:tc>
        <w:tc>
          <w:tcPr>
            <w:tcW w:w="860" w:type="dxa"/>
            <w:vAlign w:val="bottom"/>
            <w:gridSpan w:val="3"/>
            <w:vMerge w:val="restart"/>
            <w:shd w:val="clear" w:color="auto" w:fill="CCEEFF"/>
          </w:tcPr>
          <w:p>
            <w:pPr>
              <w:ind w:left="12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85"/>
              </w:rPr>
              <w:t>919,975</w:t>
            </w:r>
            <w:r>
              <w:rPr>
                <w:rFonts w:ascii="Arial" w:cs="Arial" w:eastAsia="Arial" w:hAnsi="Arial"/>
                <w:sz w:val="26"/>
                <w:szCs w:val="26"/>
                <w:color w:val="auto"/>
                <w:w w:val="85"/>
                <w:vertAlign w:val="superscript"/>
              </w:rPr>
              <w:t>(3)</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accelerated</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4"/>
            <w:vMerge w:val="continue"/>
            <w:shd w:val="clear" w:color="auto" w:fill="CCEEFF"/>
          </w:tcPr>
          <w:p>
            <w:pPr>
              <w:spacing w:after="0"/>
              <w:rPr>
                <w:sz w:val="20"/>
                <w:szCs w:val="20"/>
                <w:color w:val="auto"/>
              </w:rPr>
            </w:pPr>
          </w:p>
        </w:tc>
        <w:tc>
          <w:tcPr>
            <w:tcW w:w="960" w:type="dxa"/>
            <w:vAlign w:val="bottom"/>
            <w:gridSpan w:val="3"/>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3"/>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Arial" w:cs="Arial" w:eastAsia="Arial" w:hAnsi="Arial"/>
                <w:sz w:val="18"/>
                <w:szCs w:val="18"/>
                <w:color w:val="auto"/>
              </w:rPr>
              <w:t>Benefits and Perquisites: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Health care continuation</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37,130</w:t>
            </w:r>
          </w:p>
        </w:tc>
        <w:tc>
          <w:tcPr>
            <w:tcW w:w="2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37,130</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18,565</w:t>
            </w: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40" w:type="dxa"/>
            <w:vAlign w:val="bottom"/>
          </w:tcPr>
          <w:p>
            <w:pPr>
              <w:ind w:left="180"/>
              <w:spacing w:after="0"/>
              <w:rPr>
                <w:sz w:val="20"/>
                <w:szCs w:val="20"/>
                <w:color w:val="auto"/>
              </w:rPr>
            </w:pPr>
            <w:r>
              <w:rPr>
                <w:rFonts w:ascii="Arial" w:cs="Arial" w:eastAsia="Arial" w:hAnsi="Arial"/>
                <w:sz w:val="18"/>
                <w:szCs w:val="18"/>
                <w:i w:val="1"/>
                <w:iCs w:val="1"/>
                <w:color w:val="auto"/>
              </w:rPr>
              <w:t>Housing allowance</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4"/>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441,050</w:t>
            </w:r>
          </w:p>
        </w:tc>
        <w:tc>
          <w:tcPr>
            <w:tcW w:w="20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441,050</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9"/>
              </w:rPr>
              <w:t>$—</w:t>
            </w:r>
          </w:p>
        </w:tc>
        <w:tc>
          <w:tcPr>
            <w:tcW w:w="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919,975</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361,897</w:t>
            </w:r>
          </w:p>
        </w:tc>
        <w:tc>
          <w:tcPr>
            <w:tcW w:w="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Dr. Vignesh Rajah</w:t>
            </w: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180"/>
              <w:spacing w:after="0"/>
              <w:rPr>
                <w:sz w:val="20"/>
                <w:szCs w:val="20"/>
                <w:color w:val="auto"/>
              </w:rPr>
            </w:pPr>
            <w:r>
              <w:rPr>
                <w:rFonts w:ascii="Arial" w:cs="Arial" w:eastAsia="Arial" w:hAnsi="Arial"/>
                <w:sz w:val="18"/>
                <w:szCs w:val="18"/>
                <w:i w:val="1"/>
                <w:iCs w:val="1"/>
                <w:color w:val="auto"/>
              </w:rPr>
              <w:t>Base salary</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4"/>
          </w:tcPr>
          <w:p>
            <w:pPr>
              <w:jc w:val="right"/>
              <w:ind w:right="4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$316,957</w:t>
            </w:r>
          </w:p>
        </w:tc>
        <w:tc>
          <w:tcPr>
            <w:tcW w:w="20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$316,957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$158,479</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Cash incentive bonus</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79,239</w:t>
            </w: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940" w:type="dxa"/>
            <w:vAlign w:val="bottom"/>
          </w:tcPr>
          <w:p>
            <w:pPr>
              <w:ind w:left="180"/>
              <w:spacing w:after="0"/>
              <w:rPr>
                <w:sz w:val="20"/>
                <w:szCs w:val="20"/>
                <w:color w:val="auto"/>
              </w:rPr>
            </w:pPr>
            <w:r>
              <w:rPr>
                <w:rFonts w:ascii="Arial" w:cs="Arial" w:eastAsia="Arial" w:hAnsi="Arial"/>
                <w:sz w:val="18"/>
                <w:szCs w:val="18"/>
                <w:i w:val="1"/>
                <w:iCs w:val="1"/>
                <w:color w:val="auto"/>
              </w:rPr>
              <w:t>Equity awards unvested and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4"/>
            <w:vMerge w:val="restart"/>
          </w:tcPr>
          <w:p>
            <w:pPr>
              <w:ind w:left="12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(1)</w:t>
            </w:r>
          </w:p>
        </w:tc>
        <w:tc>
          <w:tcPr>
            <w:tcW w:w="960" w:type="dxa"/>
            <w:vAlign w:val="bottom"/>
            <w:gridSpan w:val="3"/>
            <w:vMerge w:val="restart"/>
          </w:tcPr>
          <w:p>
            <w:pPr>
              <w:ind w:left="50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(2)</w:t>
            </w:r>
          </w:p>
        </w:tc>
        <w:tc>
          <w:tcPr>
            <w:tcW w:w="80" w:type="dxa"/>
            <w:vAlign w:val="bottom"/>
          </w:tcPr>
          <w:p>
            <w:pPr>
              <w:spacing w:after="0"/>
              <w:rPr>
                <w:sz w:val="18"/>
                <w:szCs w:val="18"/>
                <w:color w:val="auto"/>
              </w:rPr>
            </w:pPr>
          </w:p>
        </w:tc>
        <w:tc>
          <w:tcPr>
            <w:tcW w:w="960" w:type="dxa"/>
            <w:vAlign w:val="bottom"/>
            <w:gridSpan w:val="3"/>
            <w:vMerge w:val="restart"/>
          </w:tcPr>
          <w:p>
            <w:pPr>
              <w:ind w:left="50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(2)</w:t>
            </w:r>
          </w:p>
        </w:tc>
        <w:tc>
          <w:tcPr>
            <w:tcW w:w="340" w:type="dxa"/>
            <w:vAlign w:val="bottom"/>
          </w:tcPr>
          <w:p>
            <w:pPr>
              <w:spacing w:after="0"/>
              <w:rPr>
                <w:sz w:val="18"/>
                <w:szCs w:val="18"/>
                <w:color w:val="auto"/>
              </w:rPr>
            </w:pPr>
          </w:p>
        </w:tc>
        <w:tc>
          <w:tcPr>
            <w:tcW w:w="860" w:type="dxa"/>
            <w:vAlign w:val="bottom"/>
            <w:gridSpan w:val="3"/>
            <w:vMerge w:val="restart"/>
          </w:tcPr>
          <w:p>
            <w:pPr>
              <w:ind w:left="12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w w:val="97"/>
              </w:rPr>
              <w:t>53,600</w:t>
            </w:r>
            <w:r>
              <w:rPr>
                <w:rFonts w:ascii="Arial" w:cs="Arial" w:eastAsia="Arial" w:hAnsi="Arial"/>
                <w:sz w:val="26"/>
                <w:szCs w:val="26"/>
                <w:color w:val="auto"/>
                <w:w w:val="97"/>
                <w:vertAlign w:val="superscript"/>
              </w:rPr>
              <w:t>(3)</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360"/>
              <w:spacing w:after="0"/>
              <w:rPr>
                <w:sz w:val="20"/>
                <w:szCs w:val="20"/>
                <w:color w:val="auto"/>
              </w:rPr>
            </w:pPr>
            <w:r>
              <w:rPr>
                <w:rFonts w:ascii="Arial" w:cs="Arial" w:eastAsia="Arial" w:hAnsi="Arial"/>
                <w:sz w:val="18"/>
                <w:szCs w:val="18"/>
                <w:i w:val="1"/>
                <w:iCs w:val="1"/>
                <w:color w:val="auto"/>
              </w:rPr>
              <w:t>accelerated</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4"/>
            <w:vMerge w:val="continue"/>
          </w:tcPr>
          <w:p>
            <w:pPr>
              <w:spacing w:after="0"/>
              <w:rPr>
                <w:sz w:val="20"/>
                <w:szCs w:val="20"/>
                <w:color w:val="auto"/>
              </w:rPr>
            </w:pPr>
          </w:p>
        </w:tc>
        <w:tc>
          <w:tcPr>
            <w:tcW w:w="96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Benefits and Perquisites:</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180"/>
              <w:spacing w:after="0"/>
              <w:rPr>
                <w:sz w:val="20"/>
                <w:szCs w:val="20"/>
                <w:color w:val="auto"/>
              </w:rPr>
            </w:pPr>
            <w:r>
              <w:rPr>
                <w:rFonts w:ascii="Arial" w:cs="Arial" w:eastAsia="Arial" w:hAnsi="Arial"/>
                <w:sz w:val="18"/>
                <w:szCs w:val="18"/>
                <w:i w:val="1"/>
                <w:iCs w:val="1"/>
                <w:color w:val="auto"/>
              </w:rPr>
              <w:t>Health care continuation</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4"/>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Housing allowance</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29,717</w:t>
            </w:r>
          </w:p>
        </w:tc>
        <w:tc>
          <w:tcPr>
            <w:tcW w:w="20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29,717</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$ 0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346,674</w:t>
            </w:r>
          </w:p>
        </w:tc>
        <w:tc>
          <w:tcPr>
            <w:tcW w:w="20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346,674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53,600</w:t>
            </w:r>
          </w:p>
        </w:tc>
        <w:tc>
          <w:tcPr>
            <w:tcW w:w="1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237,718</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6286500</wp:posOffset>
            </wp:positionH>
            <wp:positionV relativeFrom="paragraph">
              <wp:posOffset>-1765300</wp:posOffset>
            </wp:positionV>
            <wp:extent cx="2057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-1765300</wp:posOffset>
            </wp:positionV>
            <wp:extent cx="3943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-1765300</wp:posOffset>
            </wp:positionV>
            <wp:extent cx="10026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-1765300</wp:posOffset>
            </wp:positionV>
            <wp:extent cx="2228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-1765300</wp:posOffset>
            </wp:positionV>
            <wp:extent cx="26060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-3128010</wp:posOffset>
            </wp:positionV>
            <wp:extent cx="120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-3128010</wp:posOffset>
            </wp:positionV>
            <wp:extent cx="120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-3128010</wp:posOffset>
            </wp:positionV>
            <wp:extent cx="120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-3128010</wp:posOffset>
            </wp:positionV>
            <wp:extent cx="120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-3128010</wp:posOffset>
            </wp:positionV>
            <wp:extent cx="1028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-3128010</wp:posOffset>
            </wp:positionV>
            <wp:extent cx="1028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8" w:lineRule="exact"/>
        <w:rPr>
          <w:sz w:val="20"/>
          <w:szCs w:val="20"/>
          <w:color w:val="auto"/>
        </w:rPr>
      </w:pPr>
    </w:p>
    <w:p>
      <w:pPr>
        <w:ind w:left="1620" w:right="780" w:hanging="360"/>
        <w:spacing w:after="0" w:line="263"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vesting schedule for options granted to the named executive officer will terminate immediately and shares subject to the option which have not vested prior to such termination will not become exercisable see the section entitled “Description of Option Awards”.</w:t>
      </w:r>
    </w:p>
    <w:p>
      <w:pPr>
        <w:spacing w:after="0" w:line="35" w:lineRule="exact"/>
        <w:rPr>
          <w:rFonts w:ascii="Arial" w:cs="Arial" w:eastAsia="Arial" w:hAnsi="Arial"/>
          <w:sz w:val="18"/>
          <w:szCs w:val="18"/>
          <w:color w:val="auto"/>
        </w:rPr>
      </w:pPr>
    </w:p>
    <w:p>
      <w:pPr>
        <w:ind w:left="1620" w:right="1180" w:hanging="360"/>
        <w:spacing w:after="0" w:line="263"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options granted to the named executive officer will continue to vest and become exercisable in accordance with our Standard Vesting Schedule, see the section entitled “Description of Option Awards”.</w:t>
      </w:r>
    </w:p>
    <w:p>
      <w:pPr>
        <w:spacing w:after="0" w:line="48" w:lineRule="exact"/>
        <w:rPr>
          <w:rFonts w:ascii="Arial" w:cs="Arial" w:eastAsia="Arial" w:hAnsi="Arial"/>
          <w:sz w:val="18"/>
          <w:szCs w:val="18"/>
          <w:color w:val="auto"/>
        </w:rPr>
      </w:pPr>
    </w:p>
    <w:p>
      <w:pPr>
        <w:ind w:left="1620" w:right="1160" w:hanging="360"/>
        <w:spacing w:after="0" w:line="263"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of a change of control, as defined in the 2018 Plan and the preceding 2015 Plan, each option will fully vest and become immediately exercisable, see the section entitled “Description of Option Awards”.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Chief Executive Officer Pay Ratio</w:t>
      </w:r>
    </w:p>
    <w:p>
      <w:pPr>
        <w:spacing w:after="0" w:line="148" w:lineRule="exact"/>
        <w:rPr>
          <w:sz w:val="20"/>
          <w:szCs w:val="20"/>
          <w:color w:val="auto"/>
        </w:rPr>
      </w:pPr>
    </w:p>
    <w:p>
      <w:pPr>
        <w:ind w:left="1260" w:right="900" w:firstLine="360"/>
        <w:spacing w:after="0" w:line="257" w:lineRule="auto"/>
        <w:rPr>
          <w:sz w:val="20"/>
          <w:szCs w:val="20"/>
          <w:color w:val="auto"/>
        </w:rPr>
      </w:pPr>
      <w:r>
        <w:rPr>
          <w:rFonts w:ascii="Arial" w:cs="Arial" w:eastAsia="Arial" w:hAnsi="Arial"/>
          <w:sz w:val="18"/>
          <w:szCs w:val="18"/>
          <w:color w:val="auto"/>
        </w:rPr>
        <w:t>Pursuant to a mandate of the Dodd-Frank Act, the SEC has adopted a rule requiring annual disclosure of the ratio of the median employee’s total annual compensation to the total annual compensation of our Chief Executive Officer. We believe our compensation philosophy to be consistent and internally equitable to motivate our employees to create stockholder value. The purpose of this disclosure is to provide a measure of pay equity within the organization.</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illustrated in the table below, our 2020 CEO to median employee pay ratio was 17.2:1.</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Chief Executive Officer 2020 Annual Total Compensation ……….. $8,192,780</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Median Employee 2020 Annual Total Compensation …………… $ 476,233</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Ratio of CEO to Median Employee Compensation ……………. 17.2</w:t>
      </w: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We identified our median employee by using 2020 annual total compensation, based on our consistently applied compensation measure, for all individuals, excluding our CEO, who were employed by us as of December 31, 2020 (annualized in the case of permanent full-time and part-time employees who joined the Company during 2020). After identifying the median employee, we calculated the annual total compensation for that employee using the same methodology used for our CEO’s annual total compensation as disclosed in the Summary Compensation Table, including base salary, bonus, stock awards, option awards, non-equity plan compensation, and all other compensation.</w:t>
      </w:r>
    </w:p>
    <w:p>
      <w:pPr>
        <w:spacing w:after="0" w:line="96"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The pay ratio reported above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Benefit Plans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Health Insurance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currently provide broad-based health and welfare benefits that are available to all of our U.S.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employees, including our named executive officers, including health, life and disability insurance.</w:t>
      </w:r>
    </w:p>
    <w:p>
      <w:pPr>
        <w:spacing w:after="0" w:line="143" w:lineRule="exact"/>
        <w:rPr>
          <w:sz w:val="20"/>
          <w:szCs w:val="20"/>
          <w:color w:val="auto"/>
        </w:rPr>
      </w:pPr>
    </w:p>
    <w:p>
      <w:pPr>
        <w:ind w:left="1260" w:right="1079" w:firstLine="360"/>
        <w:spacing w:after="0" w:line="308" w:lineRule="auto"/>
        <w:rPr>
          <w:sz w:val="20"/>
          <w:szCs w:val="20"/>
          <w:color w:val="auto"/>
        </w:rPr>
      </w:pPr>
      <w:r>
        <w:rPr>
          <w:rFonts w:ascii="Arial" w:cs="Arial" w:eastAsia="Arial" w:hAnsi="Arial"/>
          <w:sz w:val="17"/>
          <w:szCs w:val="17"/>
          <w:color w:val="auto"/>
        </w:rPr>
        <w:t>Health insurance benefits for the employees of our Danish subsidiary are fully paid for by such employees. Our Danish subsidiary does not incur any costs for these health insurance benefits.</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401(k) Retirement Plan</w:t>
      </w:r>
    </w:p>
    <w:p>
      <w:pPr>
        <w:spacing w:after="0" w:line="144"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We maintain a defined contribution employee retirement plan for our US employees, including our named executive officers except Dr. Rajah who is employed by our Danish subsidiary.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Employee contributions are held and invested by the plan’s trustee as directed by participants. The 401(k) plan provides us with the discretion to match employee contributions, but to date we have not provided any employer matching contributions.</w:t>
      </w:r>
    </w:p>
    <w:p>
      <w:pPr>
        <w:spacing w:after="0" w:line="129"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We have established a retirement program for the employees of our Danish subsidiary pursuant to which all such employees can contribute an amount at their election from their base compensation and may receive contributions from our Danish subsidiary. We have not provided any employer matching contributions during the year ended December 31, 2020. In addition, health insurance benefits for our Danish employees are fully paid for by such employees. Our Danish subsidiary does not incur any costs for these health insurance benefits.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162"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As permitted by the General Corporation Law of the State of Delaware (“DGCL”), our Board of Directors and our stockholders have adopted provisions in our amended and restated certificate of incorporation that limit or eliminate the personal liability of our directors. Our amended and restated certificate of incorporation limits the personal liability of directors for breach of fiduciary duty to the maximum extent permitted by the DGCL and provides that no director will have personal liability to us or to our stockholders for monetary damages for breach of fiduciary duty. However, these provisions do not eliminate or limit the liability of any of our directors:</w:t>
      </w:r>
    </w:p>
    <w:p>
      <w:pPr>
        <w:spacing w:after="0" w:line="87" w:lineRule="exact"/>
        <w:rPr>
          <w:sz w:val="20"/>
          <w:szCs w:val="20"/>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35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voting for or assenting to unlawful payments of dividends, stock repurchases or other distributions; or</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5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08" w:lineRule="exact"/>
        <w:rPr>
          <w:sz w:val="20"/>
          <w:szCs w:val="20"/>
          <w:color w:val="auto"/>
        </w:rPr>
      </w:pPr>
    </w:p>
    <w:p>
      <w:pPr>
        <w:jc w:val="both"/>
        <w:ind w:left="1260" w:right="459" w:firstLine="360"/>
        <w:spacing w:after="0" w:line="248" w:lineRule="auto"/>
        <w:rPr>
          <w:sz w:val="20"/>
          <w:szCs w:val="20"/>
          <w:color w:val="auto"/>
        </w:rPr>
      </w:pPr>
      <w:r>
        <w:rPr>
          <w:rFonts w:ascii="Arial" w:cs="Arial" w:eastAsia="Arial" w:hAnsi="Arial"/>
          <w:sz w:val="18"/>
          <w:szCs w:val="18"/>
          <w:color w:val="auto"/>
        </w:rPr>
        <w:t>In addition, our amended and restated certificate of incorporation provides that we must indemnify our directors and officers and we must advance expenses, including attorneys’ fees, to our directors and officers in connection with legal proceedings, subject to very limited exceptions.</w:t>
      </w:r>
    </w:p>
    <w:p>
      <w:pPr>
        <w:spacing w:after="0" w:line="114"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maintain a general liability insurance policy that covers specified liabilities of our directors and officers arising out of claims based on acts or omissions in their capacities as directors or officers. In addition, we have entered into indemnification agreements with each of our executive officers and directors. These indemnification agreements require us, among other things, to indemnify each such director (and their affiliated funds) or executive officer for certain expenses, including attorneys’ fees, judgments, fines and settlement amounts, incurred by him or her in any action or proceeding arising out of his or her service as one of our directors or officers. Some of our non-employee directors may, through their relationships with their employers, be insured or indemnified against specified liabilities incurred in their capacities as members of our Board of Directors.</w:t>
      </w:r>
    </w:p>
    <w:p>
      <w:pPr>
        <w:spacing w:after="0" w:line="110"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executive officers or persons controlling us, in the opinion of the SEC, such indemnification is against public policy as expressed in the Securities Act and is therefore unenforceable.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Considerations</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Compensation Committee considers the potential future effects of Section 162(m) of the Internal Revenue Code of 1986, as amended (the “Code”) on compensation paid to our named executive officers. Section 162(m) of the Code generally disallows a tax deduction to public companies for compensation in excess of $1 million paid to each of the company’s chief executive officer and the three most highly compensated executive officers (other than the chief executive officer and chief financial officer). Pursuant to tax legislation signed into law on December 22, 2017 (the “Tax Act”), for taxable years beginning after December 31, 2017, the Section 162(m) deduction limitation is expanded so that it also applies compensation in excess of $ 1 million paid to a public company’s chief financial officer. Historically, compensation that qualified under Section 162(m) as performance-based compensation was exempt from the deduction limitation. However, subject to certain transition rules, the Tax Act eliminated the qualified performance-based compensation exception. As a result, for taxable years beginning after December 31, 2017, all compensation in excess of $1 million paid to each of the executives described above (other than certain grandfathered compensation or compensation paid pursuant to certain equity awards granted before or during a transition period following our initial public offering) will not be deductible by us.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Accounting Considerations</w:t>
      </w:r>
    </w:p>
    <w:p>
      <w:pPr>
        <w:spacing w:after="0" w:line="162"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We account for equity compensation paid to our employees under the Financial Accounting Standards Board Accounting Standards Codification Topic 718 (“ASC 718”), which requires us to estimate and record an expense over the service period of the equity award. Our cash compensation is recorded as an expense over the period the bonus is earned. The accounting impact of our compensation programs are one of many factors that the Compensation Committee considers in determining the structure and size of our executive compensation programs.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 Analysis of the Compensation Programs</w:t>
      </w:r>
    </w:p>
    <w:p>
      <w:pPr>
        <w:spacing w:after="0" w:line="148" w:lineRule="exact"/>
        <w:rPr>
          <w:sz w:val="20"/>
          <w:szCs w:val="20"/>
          <w:color w:val="auto"/>
        </w:rPr>
      </w:pPr>
    </w:p>
    <w:p>
      <w:pPr>
        <w:ind w:left="1260" w:right="619" w:firstLine="360"/>
        <w:spacing w:after="0" w:line="324" w:lineRule="auto"/>
        <w:rPr>
          <w:sz w:val="20"/>
          <w:szCs w:val="20"/>
          <w:color w:val="auto"/>
        </w:rPr>
      </w:pPr>
      <w:r>
        <w:rPr>
          <w:rFonts w:ascii="Arial" w:cs="Arial" w:eastAsia="Arial" w:hAnsi="Arial"/>
          <w:sz w:val="16"/>
          <w:szCs w:val="16"/>
          <w:color w:val="auto"/>
        </w:rPr>
        <w:t>The Compensation Committee has reviewed our compensation policies as generally applicable to our employees and believes that our policies do not encourage excessive and unnecessary risk-taking and that</w:t>
      </w: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the level of risk that they do encourage is not reasonably likely to have a material adverse effect on us. The design of our compensation policies and programs is intended to encourage our employees to remain focused on both our short- and long-term goals. For example, while our cash bonus plans measure corporate and individual performance on an annual basis, the stock options typically vest over a number of years, which the Compensation Committee believes encourages employees to focus on sustained stock price appreciation, thus limiting the potential value of excessive risk-taking.</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44"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Our Board of Directors and stockholders have approved and adopted a policy with respect to the compensation payable to our non-employee directors.</w:t>
      </w:r>
    </w:p>
    <w:p>
      <w:pPr>
        <w:spacing w:after="0" w:line="103" w:lineRule="exact"/>
        <w:rPr>
          <w:sz w:val="20"/>
          <w:szCs w:val="20"/>
          <w:color w:val="auto"/>
        </w:rPr>
      </w:pPr>
    </w:p>
    <w:p>
      <w:pPr>
        <w:jc w:val="both"/>
        <w:ind w:left="1260" w:right="479" w:firstLine="360"/>
        <w:spacing w:after="0" w:line="263" w:lineRule="auto"/>
        <w:rPr>
          <w:sz w:val="20"/>
          <w:szCs w:val="20"/>
          <w:color w:val="auto"/>
        </w:rPr>
      </w:pPr>
      <w:r>
        <w:rPr>
          <w:rFonts w:ascii="Arial" w:cs="Arial" w:eastAsia="Arial" w:hAnsi="Arial"/>
          <w:sz w:val="18"/>
          <w:szCs w:val="18"/>
          <w:color w:val="auto"/>
        </w:rPr>
        <w:t>Under this policy, each non-employee director is eligible to receive compensation for his or her service on our Board of Directors and for service on each committee on which the director is a member, which will consist of annual cash retainers and equity awards.</w:t>
      </w:r>
    </w:p>
    <w:p>
      <w:pPr>
        <w:spacing w:after="0" w:line="116"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In 2020, our Board of Directors engaged a third party independent consultant to review its compensation policies relative to our peer group. Based on this review, in December 2020 our Board of Directors resolved to amend the cash retainers payable to our non-employee directors for their service in 2021 and later to the following:</w:t>
      </w:r>
    </w:p>
    <w:p>
      <w:pPr>
        <w:spacing w:after="0" w:line="124"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Retainer</w:t>
            </w:r>
          </w:p>
        </w:tc>
      </w:tr>
      <w:tr>
        <w:trPr>
          <w:trHeight w:val="26"/>
        </w:trPr>
        <w:tc>
          <w:tcPr>
            <w:tcW w:w="6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Member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w:t>
            </w:r>
          </w:p>
        </w:tc>
      </w:tr>
      <w:tr>
        <w:trPr>
          <w:trHeight w:val="257"/>
        </w:trPr>
        <w:tc>
          <w:tcPr>
            <w:tcW w:w="6880" w:type="dxa"/>
            <w:vAlign w:val="bottom"/>
            <w:gridSpan w:val="2"/>
          </w:tcPr>
          <w:p>
            <w:pPr>
              <w:spacing w:after="0"/>
              <w:rPr>
                <w:sz w:val="20"/>
                <w:szCs w:val="20"/>
                <w:color w:val="auto"/>
              </w:rPr>
            </w:pPr>
            <w:r>
              <w:rPr>
                <w:rFonts w:ascii="Arial" w:cs="Arial" w:eastAsia="Arial" w:hAnsi="Arial"/>
                <w:sz w:val="18"/>
                <w:szCs w:val="18"/>
                <w:color w:val="auto"/>
              </w:rPr>
              <w:t>Audit Committee Chair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20,000</w:t>
            </w:r>
          </w:p>
        </w:tc>
      </w:tr>
      <w:tr>
        <w:trPr>
          <w:trHeight w:val="25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w:t>
            </w:r>
          </w:p>
        </w:tc>
      </w:tr>
      <w:tr>
        <w:trPr>
          <w:trHeight w:val="270"/>
        </w:trPr>
        <w:tc>
          <w:tcPr>
            <w:tcW w:w="688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Chair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r>
      <w:tr>
        <w:trPr>
          <w:trHeight w:val="270"/>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r>
      <w:tr>
        <w:trPr>
          <w:trHeight w:val="270"/>
        </w:trPr>
        <w:tc>
          <w:tcPr>
            <w:tcW w:w="6880" w:type="dxa"/>
            <w:vAlign w:val="bottom"/>
            <w:gridSpan w:val="2"/>
          </w:tcPr>
          <w:p>
            <w:pPr>
              <w:spacing w:after="0"/>
              <w:rPr>
                <w:sz w:val="20"/>
                <w:szCs w:val="20"/>
                <w:color w:val="auto"/>
              </w:rPr>
            </w:pPr>
            <w:r>
              <w:rPr>
                <w:rFonts w:ascii="Arial" w:cs="Arial" w:eastAsia="Arial" w:hAnsi="Arial"/>
                <w:sz w:val="18"/>
                <w:szCs w:val="18"/>
                <w:color w:val="auto"/>
              </w:rPr>
              <w:t>Compensation Committee Member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70"/>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-1182370</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Our non-employee directors received the following annual cash retainers for their service in 2020 under the Non-Employee Director Compensation Policy in effect prior to the amendment:</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Retainer</w:t>
            </w:r>
          </w:p>
        </w:tc>
      </w:tr>
      <w:tr>
        <w:trPr>
          <w:trHeight w:val="25"/>
        </w:trPr>
        <w:tc>
          <w:tcPr>
            <w:tcW w:w="6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Member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35,000</w:t>
            </w:r>
          </w:p>
        </w:tc>
      </w:tr>
      <w:tr>
        <w:trPr>
          <w:trHeight w:val="256"/>
        </w:trPr>
        <w:tc>
          <w:tcPr>
            <w:tcW w:w="6880" w:type="dxa"/>
            <w:vAlign w:val="bottom"/>
            <w:gridSpan w:val="2"/>
          </w:tcPr>
          <w:p>
            <w:pPr>
              <w:spacing w:after="0"/>
              <w:rPr>
                <w:sz w:val="20"/>
                <w:szCs w:val="20"/>
                <w:color w:val="auto"/>
              </w:rPr>
            </w:pPr>
            <w:r>
              <w:rPr>
                <w:rFonts w:ascii="Arial" w:cs="Arial" w:eastAsia="Arial" w:hAnsi="Arial"/>
                <w:sz w:val="18"/>
                <w:szCs w:val="18"/>
                <w:color w:val="auto"/>
              </w:rPr>
              <w:t>Audit Committee Chair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15,000</w:t>
            </w:r>
          </w:p>
        </w:tc>
      </w:tr>
      <w:tr>
        <w:trPr>
          <w:trHeight w:val="257"/>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r>
      <w:tr>
        <w:trPr>
          <w:trHeight w:val="270"/>
        </w:trPr>
        <w:tc>
          <w:tcPr>
            <w:tcW w:w="688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Chair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70"/>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70"/>
        </w:trPr>
        <w:tc>
          <w:tcPr>
            <w:tcW w:w="6880" w:type="dxa"/>
            <w:vAlign w:val="bottom"/>
            <w:gridSpan w:val="2"/>
          </w:tcPr>
          <w:p>
            <w:pPr>
              <w:spacing w:after="0"/>
              <w:rPr>
                <w:sz w:val="20"/>
                <w:szCs w:val="20"/>
                <w:color w:val="auto"/>
              </w:rPr>
            </w:pPr>
            <w:r>
              <w:rPr>
                <w:rFonts w:ascii="Arial" w:cs="Arial" w:eastAsia="Arial" w:hAnsi="Arial"/>
                <w:sz w:val="18"/>
                <w:szCs w:val="18"/>
                <w:color w:val="auto"/>
              </w:rPr>
              <w:t>Compensation Committee Member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0"/>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-1182370</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Stock option grants for non-employee directors are unchanged under the policy and continue to consist of (i) an initial stock option award with respect to 32,000 shares granted at the first regularly scheduled board meeting held on or after a director’s first appointment or election to our Board of Directors and vesting in equal monthly installments until the third anniversary of the date of grant, and (ii) an annual stock option award with respect to 16,000 shares granted on the date of the first meeting of our Board of Directors held following our annual stockholders meeting in each year commencing in 2018 and vesting in equal monthly installments until the first anniversary of the date of grant. The vesting of the initial and annual stock option grants is subject to the non-employee director’s continued service on our Board of Directors.</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The following table sets forth information regarding compensation paid to our non-employee directors during the fiscal year ended December 31, 2020.</w:t>
      </w:r>
    </w:p>
    <w:p>
      <w:pPr>
        <w:spacing w:after="0" w:line="11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Fees Earned or</w:t>
            </w: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9"/>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Paid in Cash ($)</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gridSpan w:val="2"/>
          </w:tcPr>
          <w:p>
            <w:pPr>
              <w:ind w:left="40"/>
              <w:spacing w:after="0" w:line="230" w:lineRule="exact"/>
              <w:rPr>
                <w:sz w:val="20"/>
                <w:szCs w:val="20"/>
                <w:color w:val="auto"/>
              </w:rPr>
            </w:pPr>
            <w:r>
              <w:rPr>
                <w:rFonts w:ascii="Arial" w:cs="Arial" w:eastAsia="Arial" w:hAnsi="Arial"/>
                <w:sz w:val="14"/>
                <w:szCs w:val="14"/>
                <w:b w:val="1"/>
                <w:bCs w:val="1"/>
                <w:color w:val="auto"/>
                <w:w w:val="87"/>
              </w:rPr>
              <w:t>Awards ($)</w:t>
            </w:r>
            <w:r>
              <w:rPr>
                <w:rFonts w:ascii="Arial" w:cs="Arial" w:eastAsia="Arial" w:hAnsi="Arial"/>
                <w:sz w:val="21"/>
                <w:szCs w:val="21"/>
                <w:b w:val="1"/>
                <w:bCs w:val="1"/>
                <w:color w:val="auto"/>
                <w:w w:val="87"/>
                <w:vertAlign w:val="superscript"/>
              </w:rPr>
              <w:t>(1)</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9"/>
              </w:rPr>
              <w:t>Total ($)</w:t>
            </w:r>
          </w:p>
        </w:tc>
      </w:tr>
      <w:tr>
        <w:trPr>
          <w:trHeight w:val="25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Johan Wedell-Wedellsborg</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$42,500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423,720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466,220</w:t>
            </w:r>
          </w:p>
        </w:tc>
      </w:tr>
      <w:tr>
        <w:trPr>
          <w:trHeight w:val="257"/>
        </w:trPr>
        <w:tc>
          <w:tcPr>
            <w:tcW w:w="5120" w:type="dxa"/>
            <w:vAlign w:val="bottom"/>
            <w:gridSpan w:val="2"/>
          </w:tcPr>
          <w:p>
            <w:pPr>
              <w:spacing w:after="0"/>
              <w:rPr>
                <w:sz w:val="20"/>
                <w:szCs w:val="20"/>
                <w:color w:val="auto"/>
              </w:rPr>
            </w:pPr>
            <w:r>
              <w:rPr>
                <w:rFonts w:ascii="Arial" w:cs="Arial" w:eastAsia="Arial" w:hAnsi="Arial"/>
                <w:sz w:val="18"/>
                <w:szCs w:val="18"/>
                <w:color w:val="auto"/>
              </w:rPr>
              <w:t>Dr. Gérard Ber</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$44,000</w:t>
            </w:r>
          </w:p>
        </w:tc>
        <w:tc>
          <w:tcPr>
            <w:tcW w:w="2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423,720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467,720</w:t>
            </w:r>
          </w:p>
        </w:tc>
      </w:tr>
      <w:tr>
        <w:trPr>
          <w:trHeight w:val="257"/>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Ashutosh Tyagi</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$43,000</w:t>
            </w:r>
          </w:p>
        </w:tc>
        <w:tc>
          <w:tcPr>
            <w:tcW w:w="22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0"/>
              </w:rPr>
              <w:t>$1,271,161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1,314,161</w:t>
            </w:r>
          </w:p>
        </w:tc>
      </w:tr>
      <w:tr>
        <w:trPr>
          <w:trHeight w:val="257"/>
        </w:trPr>
        <w:tc>
          <w:tcPr>
            <w:tcW w:w="5120" w:type="dxa"/>
            <w:vAlign w:val="bottom"/>
            <w:gridSpan w:val="2"/>
          </w:tcPr>
          <w:p>
            <w:pPr>
              <w:spacing w:after="0"/>
              <w:rPr>
                <w:sz w:val="20"/>
                <w:szCs w:val="20"/>
                <w:color w:val="auto"/>
              </w:rPr>
            </w:pPr>
            <w:r>
              <w:rPr>
                <w:rFonts w:ascii="Arial" w:cs="Arial" w:eastAsia="Arial" w:hAnsi="Arial"/>
                <w:sz w:val="18"/>
                <w:szCs w:val="18"/>
                <w:color w:val="auto"/>
              </w:rPr>
              <w:t>Dr. James I. Healy</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$52,500</w:t>
            </w:r>
          </w:p>
        </w:tc>
        <w:tc>
          <w:tcPr>
            <w:tcW w:w="2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423,720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476,220</w:t>
            </w:r>
          </w:p>
        </w:tc>
      </w:tr>
      <w:tr>
        <w:trPr>
          <w:trHeight w:val="257"/>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N. Gill</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$59,000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847,441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906,441</w:t>
            </w:r>
          </w:p>
        </w:tc>
      </w:tr>
      <w:tr>
        <w:trPr>
          <w:trHeight w:val="270"/>
        </w:trPr>
        <w:tc>
          <w:tcPr>
            <w:tcW w:w="5120" w:type="dxa"/>
            <w:vAlign w:val="bottom"/>
            <w:gridSpan w:val="2"/>
          </w:tcPr>
          <w:p>
            <w:pPr>
              <w:spacing w:after="0"/>
              <w:rPr>
                <w:sz w:val="20"/>
                <w:szCs w:val="20"/>
                <w:color w:val="auto"/>
              </w:rPr>
            </w:pPr>
            <w:r>
              <w:rPr>
                <w:rFonts w:ascii="Arial" w:cs="Arial" w:eastAsia="Arial" w:hAnsi="Arial"/>
                <w:sz w:val="18"/>
                <w:szCs w:val="18"/>
                <w:color w:val="auto"/>
              </w:rPr>
              <w:t>Laura J. Hamill</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$19,423</w:t>
            </w:r>
          </w:p>
        </w:tc>
        <w:tc>
          <w:tcPr>
            <w:tcW w:w="22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847,441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866,864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-993775</wp:posOffset>
            </wp:positionV>
            <wp:extent cx="137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-993775</wp:posOffset>
            </wp:positionV>
            <wp:extent cx="137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-993775</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620" w:right="539" w:hanging="360"/>
        <w:spacing w:after="0" w:line="255"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accordance with SEC regulations this column reflects the aggregate grant date fair value of the option awards granted during fiscal 2020 computed in accordance with FASB ASC Topic 718. See the information appearing under the heading entitled “Stock-Based Compensation” in footnote 8 to our consolidated financial statements included as part of our Annual Report on Form 10-K for the year ended December 31, 2020 for certain assumptions made in the valuation of such stock options and restricted stock awards.</w:t>
      </w:r>
    </w:p>
    <w:p>
      <w:pPr>
        <w:spacing w:after="0" w:line="111"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The following table sets forth the aggregate number of shares subject to outstanding stock options held by our non-employee directors as of December 31, 2020. As of December 31, 2020, there were no other option awards outstanding and held by our non-employee directors.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Option Awards</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Number of Securities</w:t>
            </w:r>
          </w:p>
        </w:tc>
        <w:tc>
          <w:tcPr>
            <w:tcW w:w="200" w:type="dxa"/>
            <w:vAlign w:val="bottom"/>
          </w:tcPr>
          <w:p>
            <w:pPr>
              <w:spacing w:after="0"/>
              <w:rPr>
                <w:sz w:val="15"/>
                <w:szCs w:val="15"/>
                <w:color w:val="auto"/>
              </w:rPr>
            </w:pPr>
          </w:p>
        </w:tc>
        <w:tc>
          <w:tcPr>
            <w:tcW w:w="11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Option</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160" w:type="dxa"/>
            <w:vAlign w:val="bottom"/>
            <w:gridSpan w:val="3"/>
            <w:vMerge w:val="restart"/>
          </w:tcPr>
          <w:p>
            <w:pPr>
              <w:jc w:val="right"/>
              <w:ind w:right="32"/>
              <w:spacing w:after="0"/>
              <w:rPr>
                <w:sz w:val="20"/>
                <w:szCs w:val="20"/>
                <w:color w:val="auto"/>
              </w:rPr>
            </w:pPr>
            <w:r>
              <w:rPr>
                <w:rFonts w:ascii="Arial" w:cs="Arial" w:eastAsia="Arial" w:hAnsi="Arial"/>
                <w:sz w:val="14"/>
                <w:szCs w:val="14"/>
                <w:b w:val="1"/>
                <w:bCs w:val="1"/>
                <w:color w:val="auto"/>
                <w:w w:val="93"/>
              </w:rPr>
              <w:t>Underlying Unexercised Options</w:t>
            </w:r>
          </w:p>
        </w:tc>
        <w:tc>
          <w:tcPr>
            <w:tcW w:w="2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6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85"/>
              </w:rPr>
              <w:t>Exercise Price</w:t>
            </w:r>
          </w:p>
        </w:tc>
        <w:tc>
          <w:tcPr>
            <w:tcW w:w="164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25"/>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100" w:type="dxa"/>
            <w:vAlign w:val="bottom"/>
            <w:gridSpan w:val="3"/>
            <w:vMerge w:val="continue"/>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Exercisable(#)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7"/>
              </w:rPr>
              <w:t>Unexercisable(#)</w:t>
            </w:r>
          </w:p>
        </w:tc>
        <w:tc>
          <w:tcPr>
            <w:tcW w:w="2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($/Sh)</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5"/>
        </w:trPr>
        <w:tc>
          <w:tcPr>
            <w:tcW w:w="1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Johan Wedell-Wedellsborg</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36,000</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$ 4.38</w:t>
            </w:r>
          </w:p>
        </w:tc>
        <w:tc>
          <w:tcPr>
            <w:tcW w:w="2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October 21, 2026</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28,444</w:t>
            </w:r>
          </w:p>
        </w:tc>
        <w:tc>
          <w:tcPr>
            <w:tcW w:w="220" w:type="dxa"/>
            <w:vAlign w:val="bottom"/>
          </w:tcPr>
          <w:p>
            <w:pPr>
              <w:spacing w:after="0"/>
              <w:rPr>
                <w:sz w:val="23"/>
                <w:szCs w:val="23"/>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3,556</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$11.16</w:t>
            </w:r>
          </w:p>
        </w:tc>
        <w:tc>
          <w:tcPr>
            <w:tcW w:w="220" w:type="dxa"/>
            <w:vAlign w:val="bottom"/>
          </w:tcPr>
          <w:p>
            <w:pPr>
              <w:spacing w:after="0"/>
              <w:rPr>
                <w:sz w:val="23"/>
                <w:szCs w:val="23"/>
                <w:color w:val="auto"/>
              </w:rPr>
            </w:pPr>
          </w:p>
        </w:tc>
        <w:tc>
          <w:tcPr>
            <w:tcW w:w="1640" w:type="dxa"/>
            <w:vAlign w:val="bottom"/>
          </w:tcPr>
          <w:p>
            <w:pPr>
              <w:spacing w:after="0" w:line="270" w:lineRule="exact"/>
              <w:rPr>
                <w:sz w:val="20"/>
                <w:szCs w:val="20"/>
                <w:color w:val="auto"/>
              </w:rPr>
            </w:pPr>
            <w:r>
              <w:rPr>
                <w:rFonts w:ascii="Arial" w:cs="Arial" w:eastAsia="Arial" w:hAnsi="Arial"/>
                <w:sz w:val="18"/>
                <w:szCs w:val="18"/>
                <w:color w:val="auto"/>
              </w:rPr>
              <w:t>April 24, 2028</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16,000</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$21.45</w:t>
            </w: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June 12, 2029</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8,000</w:t>
            </w:r>
          </w:p>
        </w:tc>
        <w:tc>
          <w:tcPr>
            <w:tcW w:w="220" w:type="dxa"/>
            <w:vAlign w:val="bottom"/>
          </w:tcPr>
          <w:p>
            <w:pPr>
              <w:spacing w:after="0"/>
              <w:rPr>
                <w:sz w:val="23"/>
                <w:szCs w:val="23"/>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8,000</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$48.67</w:t>
            </w:r>
          </w:p>
        </w:tc>
        <w:tc>
          <w:tcPr>
            <w:tcW w:w="220" w:type="dxa"/>
            <w:vAlign w:val="bottom"/>
          </w:tcPr>
          <w:p>
            <w:pPr>
              <w:spacing w:after="0"/>
              <w:rPr>
                <w:sz w:val="23"/>
                <w:szCs w:val="23"/>
                <w:color w:val="auto"/>
              </w:rPr>
            </w:pPr>
          </w:p>
        </w:tc>
        <w:tc>
          <w:tcPr>
            <w:tcW w:w="1640" w:type="dxa"/>
            <w:vAlign w:val="bottom"/>
          </w:tcPr>
          <w:p>
            <w:pPr>
              <w:spacing w:after="0" w:line="270" w:lineRule="exact"/>
              <w:rPr>
                <w:sz w:val="20"/>
                <w:szCs w:val="20"/>
                <w:color w:val="auto"/>
              </w:rPr>
            </w:pPr>
            <w:r>
              <w:rPr>
                <w:rFonts w:ascii="Arial" w:cs="Arial" w:eastAsia="Arial" w:hAnsi="Arial"/>
                <w:sz w:val="18"/>
                <w:szCs w:val="18"/>
                <w:color w:val="auto"/>
              </w:rPr>
              <w:t>June 24, 2030</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70"/>
        </w:trPr>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Gérard Ber</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21,333</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10,667</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$21.97</w:t>
            </w: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w w:val="90"/>
              </w:rPr>
              <w:t>December 12, 2028</w:t>
            </w:r>
            <w:r>
              <w:rPr>
                <w:rFonts w:ascii="Arial" w:cs="Arial" w:eastAsia="Arial" w:hAnsi="Arial"/>
                <w:sz w:val="26"/>
                <w:szCs w:val="26"/>
                <w:color w:val="auto"/>
                <w:w w:val="90"/>
                <w:vertAlign w:val="superscript"/>
              </w:rPr>
              <w:t>(2)</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16,000</w:t>
            </w:r>
          </w:p>
        </w:tc>
        <w:tc>
          <w:tcPr>
            <w:tcW w:w="220" w:type="dxa"/>
            <w:vAlign w:val="bottom"/>
          </w:tcPr>
          <w:p>
            <w:pPr>
              <w:spacing w:after="0"/>
              <w:rPr>
                <w:sz w:val="23"/>
                <w:szCs w:val="23"/>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$21.45</w:t>
            </w:r>
          </w:p>
        </w:tc>
        <w:tc>
          <w:tcPr>
            <w:tcW w:w="220" w:type="dxa"/>
            <w:vAlign w:val="bottom"/>
          </w:tcPr>
          <w:p>
            <w:pPr>
              <w:spacing w:after="0"/>
              <w:rPr>
                <w:sz w:val="23"/>
                <w:szCs w:val="23"/>
                <w:color w:val="auto"/>
              </w:rPr>
            </w:pPr>
          </w:p>
        </w:tc>
        <w:tc>
          <w:tcPr>
            <w:tcW w:w="1640" w:type="dxa"/>
            <w:vAlign w:val="bottom"/>
          </w:tcPr>
          <w:p>
            <w:pPr>
              <w:spacing w:after="0" w:line="270" w:lineRule="exact"/>
              <w:rPr>
                <w:sz w:val="20"/>
                <w:szCs w:val="20"/>
                <w:color w:val="auto"/>
              </w:rPr>
            </w:pPr>
            <w:r>
              <w:rPr>
                <w:rFonts w:ascii="Arial" w:cs="Arial" w:eastAsia="Arial" w:hAnsi="Arial"/>
                <w:sz w:val="18"/>
                <w:szCs w:val="18"/>
                <w:color w:val="auto"/>
              </w:rPr>
              <w:t>June 12, 2029</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8,000</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8,000</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$48.67</w:t>
            </w: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June 23, 2030</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70"/>
        </w:trPr>
        <w:tc>
          <w:tcPr>
            <w:tcW w:w="3100" w:type="dxa"/>
            <w:vAlign w:val="bottom"/>
            <w:gridSpan w:val="3"/>
          </w:tcPr>
          <w:p>
            <w:pPr>
              <w:spacing w:after="0"/>
              <w:rPr>
                <w:sz w:val="20"/>
                <w:szCs w:val="20"/>
                <w:color w:val="auto"/>
              </w:rPr>
            </w:pPr>
            <w:r>
              <w:rPr>
                <w:rFonts w:ascii="Arial" w:cs="Arial" w:eastAsia="Arial" w:hAnsi="Arial"/>
                <w:sz w:val="18"/>
                <w:szCs w:val="18"/>
                <w:color w:val="auto"/>
              </w:rPr>
              <w:t>Dr. Ashutosh Tyagi</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16,000</w:t>
            </w:r>
          </w:p>
        </w:tc>
        <w:tc>
          <w:tcPr>
            <w:tcW w:w="220" w:type="dxa"/>
            <w:vAlign w:val="bottom"/>
          </w:tcPr>
          <w:p>
            <w:pPr>
              <w:spacing w:after="0"/>
              <w:rPr>
                <w:sz w:val="23"/>
                <w:szCs w:val="23"/>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$21.45</w:t>
            </w:r>
          </w:p>
        </w:tc>
        <w:tc>
          <w:tcPr>
            <w:tcW w:w="220" w:type="dxa"/>
            <w:vAlign w:val="bottom"/>
          </w:tcPr>
          <w:p>
            <w:pPr>
              <w:spacing w:after="0"/>
              <w:rPr>
                <w:sz w:val="23"/>
                <w:szCs w:val="23"/>
                <w:color w:val="auto"/>
              </w:rPr>
            </w:pPr>
          </w:p>
        </w:tc>
        <w:tc>
          <w:tcPr>
            <w:tcW w:w="1640" w:type="dxa"/>
            <w:vAlign w:val="bottom"/>
          </w:tcPr>
          <w:p>
            <w:pPr>
              <w:spacing w:after="0" w:line="270" w:lineRule="exact"/>
              <w:rPr>
                <w:sz w:val="20"/>
                <w:szCs w:val="20"/>
                <w:color w:val="auto"/>
              </w:rPr>
            </w:pPr>
            <w:r>
              <w:rPr>
                <w:rFonts w:ascii="Arial" w:cs="Arial" w:eastAsia="Arial" w:hAnsi="Arial"/>
                <w:sz w:val="18"/>
                <w:szCs w:val="18"/>
                <w:color w:val="auto"/>
              </w:rPr>
              <w:t>June 12, 2029</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5,333</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26,667</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$48.67</w:t>
            </w: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June 23, 2030</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8,000</w:t>
            </w:r>
          </w:p>
        </w:tc>
        <w:tc>
          <w:tcPr>
            <w:tcW w:w="220" w:type="dxa"/>
            <w:vAlign w:val="bottom"/>
          </w:tcPr>
          <w:p>
            <w:pPr>
              <w:spacing w:after="0"/>
              <w:rPr>
                <w:sz w:val="23"/>
                <w:szCs w:val="23"/>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8,000</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$48.67</w:t>
            </w:r>
          </w:p>
        </w:tc>
        <w:tc>
          <w:tcPr>
            <w:tcW w:w="220" w:type="dxa"/>
            <w:vAlign w:val="bottom"/>
          </w:tcPr>
          <w:p>
            <w:pPr>
              <w:spacing w:after="0"/>
              <w:rPr>
                <w:sz w:val="23"/>
                <w:szCs w:val="23"/>
                <w:color w:val="auto"/>
              </w:rPr>
            </w:pPr>
          </w:p>
        </w:tc>
        <w:tc>
          <w:tcPr>
            <w:tcW w:w="1640" w:type="dxa"/>
            <w:vAlign w:val="bottom"/>
          </w:tcPr>
          <w:p>
            <w:pPr>
              <w:spacing w:after="0" w:line="270" w:lineRule="exact"/>
              <w:rPr>
                <w:sz w:val="20"/>
                <w:szCs w:val="20"/>
                <w:color w:val="auto"/>
              </w:rPr>
            </w:pPr>
            <w:r>
              <w:rPr>
                <w:rFonts w:ascii="Arial" w:cs="Arial" w:eastAsia="Arial" w:hAnsi="Arial"/>
                <w:sz w:val="18"/>
                <w:szCs w:val="18"/>
                <w:color w:val="auto"/>
              </w:rPr>
              <w:t>June 23, 2030</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70"/>
        </w:trPr>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James I. Healy</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10,666</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3,556</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$11.16</w:t>
            </w: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April 24, 2028</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8,000</w:t>
            </w:r>
          </w:p>
        </w:tc>
        <w:tc>
          <w:tcPr>
            <w:tcW w:w="220" w:type="dxa"/>
            <w:vAlign w:val="bottom"/>
          </w:tcPr>
          <w:p>
            <w:pPr>
              <w:spacing w:after="0"/>
              <w:rPr>
                <w:sz w:val="23"/>
                <w:szCs w:val="23"/>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$21.45</w:t>
            </w:r>
          </w:p>
        </w:tc>
        <w:tc>
          <w:tcPr>
            <w:tcW w:w="220" w:type="dxa"/>
            <w:vAlign w:val="bottom"/>
          </w:tcPr>
          <w:p>
            <w:pPr>
              <w:spacing w:after="0"/>
              <w:rPr>
                <w:sz w:val="23"/>
                <w:szCs w:val="23"/>
                <w:color w:val="auto"/>
              </w:rPr>
            </w:pPr>
          </w:p>
        </w:tc>
        <w:tc>
          <w:tcPr>
            <w:tcW w:w="1640" w:type="dxa"/>
            <w:vAlign w:val="bottom"/>
          </w:tcPr>
          <w:p>
            <w:pPr>
              <w:spacing w:after="0" w:line="270" w:lineRule="exact"/>
              <w:rPr>
                <w:sz w:val="20"/>
                <w:szCs w:val="20"/>
                <w:color w:val="auto"/>
              </w:rPr>
            </w:pPr>
            <w:r>
              <w:rPr>
                <w:rFonts w:ascii="Arial" w:cs="Arial" w:eastAsia="Arial" w:hAnsi="Arial"/>
                <w:sz w:val="18"/>
                <w:szCs w:val="18"/>
                <w:color w:val="auto"/>
              </w:rPr>
              <w:t>June 12, 2029</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8,000</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8,000</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$48.67</w:t>
            </w: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June 23, 2030</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70"/>
        </w:trPr>
        <w:tc>
          <w:tcPr>
            <w:tcW w:w="3100" w:type="dxa"/>
            <w:vAlign w:val="bottom"/>
            <w:gridSpan w:val="3"/>
          </w:tcPr>
          <w:p>
            <w:pPr>
              <w:spacing w:after="0"/>
              <w:rPr>
                <w:sz w:val="20"/>
                <w:szCs w:val="20"/>
                <w:color w:val="auto"/>
              </w:rPr>
            </w:pPr>
            <w:r>
              <w:rPr>
                <w:rFonts w:ascii="Arial" w:cs="Arial" w:eastAsia="Arial" w:hAnsi="Arial"/>
                <w:sz w:val="18"/>
                <w:szCs w:val="18"/>
                <w:color w:val="auto"/>
              </w:rPr>
              <w:t>David N. Gill</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22,444</w:t>
            </w:r>
          </w:p>
        </w:tc>
        <w:tc>
          <w:tcPr>
            <w:tcW w:w="220" w:type="dxa"/>
            <w:vAlign w:val="bottom"/>
          </w:tcPr>
          <w:p>
            <w:pPr>
              <w:spacing w:after="0"/>
              <w:rPr>
                <w:sz w:val="23"/>
                <w:szCs w:val="23"/>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3,556</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$11.16</w:t>
            </w:r>
          </w:p>
        </w:tc>
        <w:tc>
          <w:tcPr>
            <w:tcW w:w="220" w:type="dxa"/>
            <w:vAlign w:val="bottom"/>
          </w:tcPr>
          <w:p>
            <w:pPr>
              <w:spacing w:after="0"/>
              <w:rPr>
                <w:sz w:val="23"/>
                <w:szCs w:val="23"/>
                <w:color w:val="auto"/>
              </w:rPr>
            </w:pPr>
          </w:p>
        </w:tc>
        <w:tc>
          <w:tcPr>
            <w:tcW w:w="1640" w:type="dxa"/>
            <w:vAlign w:val="bottom"/>
          </w:tcPr>
          <w:p>
            <w:pPr>
              <w:spacing w:after="0" w:line="270" w:lineRule="exact"/>
              <w:rPr>
                <w:sz w:val="20"/>
                <w:szCs w:val="20"/>
                <w:color w:val="auto"/>
              </w:rPr>
            </w:pPr>
            <w:r>
              <w:rPr>
                <w:rFonts w:ascii="Arial" w:cs="Arial" w:eastAsia="Arial" w:hAnsi="Arial"/>
                <w:sz w:val="18"/>
                <w:szCs w:val="18"/>
                <w:color w:val="auto"/>
              </w:rPr>
              <w:t>April 24, 2028</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16,000</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$21.45</w:t>
            </w: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June 12, 2029</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8,000</w:t>
            </w:r>
          </w:p>
        </w:tc>
        <w:tc>
          <w:tcPr>
            <w:tcW w:w="220" w:type="dxa"/>
            <w:vAlign w:val="bottom"/>
          </w:tcPr>
          <w:p>
            <w:pPr>
              <w:spacing w:after="0"/>
              <w:rPr>
                <w:sz w:val="23"/>
                <w:szCs w:val="23"/>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8,000</w:t>
            </w: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$48.67</w:t>
            </w:r>
          </w:p>
        </w:tc>
        <w:tc>
          <w:tcPr>
            <w:tcW w:w="220" w:type="dxa"/>
            <w:vAlign w:val="bottom"/>
          </w:tcPr>
          <w:p>
            <w:pPr>
              <w:spacing w:after="0"/>
              <w:rPr>
                <w:sz w:val="23"/>
                <w:szCs w:val="23"/>
                <w:color w:val="auto"/>
              </w:rPr>
            </w:pPr>
          </w:p>
        </w:tc>
        <w:tc>
          <w:tcPr>
            <w:tcW w:w="1640" w:type="dxa"/>
            <w:vAlign w:val="bottom"/>
          </w:tcPr>
          <w:p>
            <w:pPr>
              <w:spacing w:after="0" w:line="270" w:lineRule="exact"/>
              <w:rPr>
                <w:sz w:val="20"/>
                <w:szCs w:val="20"/>
                <w:color w:val="auto"/>
              </w:rPr>
            </w:pPr>
            <w:r>
              <w:rPr>
                <w:rFonts w:ascii="Arial" w:cs="Arial" w:eastAsia="Arial" w:hAnsi="Arial"/>
                <w:sz w:val="18"/>
                <w:szCs w:val="18"/>
                <w:color w:val="auto"/>
              </w:rPr>
              <w:t>June 23, 2030</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70"/>
        </w:trPr>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Laura J. Hamill</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5,333</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26,667</w:t>
            </w: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$48.67</w:t>
            </w: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June 23, 2030</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29"/>
        </w:trPr>
        <w:tc>
          <w:tcPr>
            <w:tcW w:w="194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-3076575</wp:posOffset>
            </wp:positionV>
            <wp:extent cx="137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-3076575</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-3076575</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-3076575</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1" w:lineRule="exact"/>
        <w:rPr>
          <w:sz w:val="20"/>
          <w:szCs w:val="20"/>
          <w:color w:val="auto"/>
        </w:rPr>
      </w:pPr>
    </w:p>
    <w:p>
      <w:pPr>
        <w:ind w:left="1620" w:right="439" w:hanging="360"/>
        <w:spacing w:after="0" w:line="259"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options vest with one-third of the shares of common stock underlying each option vesting at grant, and the remaining two-thirds vesting one thirty-sixth each month over the three (3) years, subject to continued service through such dates and unless vesting is accelerated pursuant to the terms of the grant.</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79" w:hanging="360"/>
        <w:spacing w:after="0" w:line="263"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options vest in equal monthly installments until the third anniversary of the date of grant subject to continued service through such dates and unless vesting is accelerated pursuant to the terms of the grant.</w:t>
      </w:r>
    </w:p>
    <w:p>
      <w:pPr>
        <w:spacing w:after="0" w:line="35" w:lineRule="exact"/>
        <w:rPr>
          <w:rFonts w:ascii="Arial" w:cs="Arial" w:eastAsia="Arial" w:hAnsi="Arial"/>
          <w:sz w:val="18"/>
          <w:szCs w:val="18"/>
          <w:color w:val="auto"/>
        </w:rPr>
      </w:pPr>
    </w:p>
    <w:p>
      <w:pPr>
        <w:ind w:left="1620" w:right="539" w:hanging="360"/>
        <w:spacing w:after="0" w:line="263"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options vest in equal monthly installments until the first anniversary of the date of grant subject to continued service through such dates and unless vesting is accelerated pursuant to the terms of the grant.</w:t>
      </w:r>
    </w:p>
    <w:p>
      <w:pPr>
        <w:spacing w:after="0" w:line="116"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We reimburse our non-employee directors for reasonable travel, food, lodging, and other out-of-pocket expenses incurred in connection with attending Board of Directors and committee meetings. The compensation that we pay to our named executive officers of whom two — Dr. Møller and Mr. Gad are employee directors, is discussed earlier in this “Executive and Director Compensation” section.</w:t>
      </w:r>
    </w:p>
    <w:p>
      <w:pPr>
        <w:spacing w:after="0" w:line="90"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Except for fees and stock options, we do not provide our independent directors with any other form of compensation.</w:t>
      </w:r>
    </w:p>
    <w:p>
      <w:pPr>
        <w:spacing w:after="0" w:line="103" w:lineRule="exact"/>
        <w:rPr>
          <w:sz w:val="20"/>
          <w:szCs w:val="20"/>
          <w:color w:val="auto"/>
        </w:rPr>
      </w:pPr>
    </w:p>
    <w:p>
      <w:pPr>
        <w:jc w:val="both"/>
        <w:ind w:left="1260" w:right="939" w:firstLine="360"/>
        <w:spacing w:after="0" w:line="263" w:lineRule="auto"/>
        <w:rPr>
          <w:sz w:val="20"/>
          <w:szCs w:val="20"/>
          <w:color w:val="auto"/>
        </w:rPr>
      </w:pPr>
      <w:r>
        <w:rPr>
          <w:rFonts w:ascii="Arial" w:cs="Arial" w:eastAsia="Arial" w:hAnsi="Arial"/>
          <w:sz w:val="18"/>
          <w:szCs w:val="18"/>
          <w:color w:val="auto"/>
        </w:rPr>
        <w:t>Directors are also entitled to the protection provided by their indemnification agreements and the indemnification provisions in our amended and restated certificate of incorporation and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4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following table contains information about our equity compensation plans as of December 31, 2020. As of December 31, 2020, we had three (3) equity compensation plans, each of which was approved by our stockholders: the 2015 Plan, the 2018 Plan, and our 2018 Employee Stock Purchase Plan (the “2018 ESPP”).</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securities</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remaining available</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7"/>
              </w:rPr>
              <w:t>for future issuance</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Number of securities</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 average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under equity</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to be issued upon</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exercise price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exercise of</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of outstanding</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(excluding securities</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outstanding options,</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options, warrants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86"/>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warrants and rights</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and rights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column (a))</w:t>
            </w:r>
          </w:p>
        </w:tc>
        <w:tc>
          <w:tcPr>
            <w:tcW w:w="0" w:type="dxa"/>
            <w:vAlign w:val="bottom"/>
          </w:tcPr>
          <w:p>
            <w:pPr>
              <w:spacing w:after="0"/>
              <w:rPr>
                <w:sz w:val="1"/>
                <w:szCs w:val="1"/>
                <w:color w:val="auto"/>
              </w:rPr>
            </w:pPr>
          </w:p>
        </w:tc>
      </w:tr>
      <w:tr>
        <w:trPr>
          <w:trHeight w:val="26"/>
        </w:trPr>
        <w:tc>
          <w:tcPr>
            <w:tcW w:w="4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6"/>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26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5,704,246</w:t>
            </w:r>
            <w:r>
              <w:rPr>
                <w:rFonts w:ascii="Arial" w:cs="Arial" w:eastAsia="Arial" w:hAnsi="Arial"/>
                <w:sz w:val="26"/>
                <w:szCs w:val="26"/>
                <w:color w:val="auto"/>
                <w:vertAlign w:val="superscript"/>
              </w:rPr>
              <w:t>(1)</w:t>
            </w:r>
          </w:p>
        </w:tc>
        <w:tc>
          <w:tcPr>
            <w:tcW w:w="20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$22.55</w:t>
            </w:r>
            <w:r>
              <w:rPr>
                <w:rFonts w:ascii="Arial" w:cs="Arial" w:eastAsia="Arial" w:hAnsi="Arial"/>
                <w:sz w:val="26"/>
                <w:szCs w:val="26"/>
                <w:color w:val="auto"/>
                <w:vertAlign w:val="superscript"/>
              </w:rPr>
              <w:t>(2)</w:t>
            </w:r>
          </w:p>
        </w:tc>
        <w:tc>
          <w:tcPr>
            <w:tcW w:w="22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24"/>
              <w:spacing w:after="0"/>
              <w:rPr>
                <w:sz w:val="20"/>
                <w:szCs w:val="20"/>
                <w:color w:val="auto"/>
              </w:rPr>
            </w:pPr>
            <w:r>
              <w:rPr>
                <w:rFonts w:ascii="Arial" w:cs="Arial" w:eastAsia="Arial" w:hAnsi="Arial"/>
                <w:sz w:val="18"/>
                <w:szCs w:val="18"/>
                <w:color w:val="auto"/>
              </w:rPr>
              <w:t>3,139,206</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44"/>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2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holders</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5,704,246</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$22.55</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4"/>
              <w:spacing w:after="0" w:line="263" w:lineRule="exact"/>
              <w:rPr>
                <w:sz w:val="20"/>
                <w:szCs w:val="20"/>
                <w:color w:val="auto"/>
              </w:rPr>
            </w:pPr>
            <w:r>
              <w:rPr>
                <w:rFonts w:ascii="Arial" w:cs="Arial" w:eastAsia="Arial" w:hAnsi="Arial"/>
                <w:sz w:val="18"/>
                <w:szCs w:val="18"/>
                <w:color w:val="auto"/>
              </w:rPr>
              <w:t>3,139,206</w:t>
            </w:r>
            <w:r>
              <w:rPr>
                <w:rFonts w:ascii="Arial" w:cs="Arial" w:eastAsia="Arial" w:hAnsi="Arial"/>
                <w:sz w:val="26"/>
                <w:szCs w:val="26"/>
                <w:color w:val="auto"/>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479" w:hanging="360"/>
        <w:spacing w:after="0" w:line="279"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Consists of (i) 2,531,496 shares to be issued upon exercise of outstanding options under the 2015 Plan as of December 31, 2020, (ii) 3,142,604 shares to be issued upon exercise of outstanding options under the 2018 Plan as of December 31, 2020, and (iii) 30,146 shares to be issued upon vesting of outstanding restricted stock units under the 2018 Plan as of December 31, 2020.</w:t>
      </w:r>
    </w:p>
    <w:p>
      <w:pPr>
        <w:spacing w:after="0" w:line="36" w:lineRule="exact"/>
        <w:rPr>
          <w:rFonts w:ascii="Arial" w:cs="Arial" w:eastAsia="Arial" w:hAnsi="Arial"/>
          <w:sz w:val="17"/>
          <w:szCs w:val="17"/>
          <w:color w:val="auto"/>
        </w:rPr>
      </w:pPr>
    </w:p>
    <w:p>
      <w:pPr>
        <w:ind w:left="1620" w:right="1179" w:hanging="360"/>
        <w:spacing w:after="0" w:line="277"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the weighted average exercise price of the 5,674,100 stock options outstanding on December 31, 2020.</w:t>
      </w:r>
    </w:p>
    <w:p>
      <w:pPr>
        <w:spacing w:after="0" w:line="21" w:lineRule="exact"/>
        <w:rPr>
          <w:rFonts w:ascii="Arial" w:cs="Arial" w:eastAsia="Arial" w:hAnsi="Arial"/>
          <w:sz w:val="18"/>
          <w:szCs w:val="18"/>
          <w:color w:val="auto"/>
        </w:rPr>
      </w:pPr>
    </w:p>
    <w:p>
      <w:pPr>
        <w:ind w:left="1620" w:right="519" w:hanging="360"/>
        <w:spacing w:after="0" w:line="259"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Consists of (i) 2,438,806 shares that remained available for future issuance under the 2018 Plan as of December 31, 2020, and (ii) 700,000 shares that remained available for future issuance under the 2018 ESPP as of December 31, 2020. No shares remained available for future issuance under the 2015 Plan as of December 31, 2019.</w:t>
      </w:r>
    </w:p>
    <w:p>
      <w:pPr>
        <w:spacing w:after="0" w:line="38" w:lineRule="exact"/>
        <w:rPr>
          <w:rFonts w:ascii="Arial" w:cs="Arial" w:eastAsia="Arial" w:hAnsi="Arial"/>
          <w:sz w:val="18"/>
          <w:szCs w:val="18"/>
          <w:color w:val="auto"/>
        </w:rPr>
      </w:pPr>
    </w:p>
    <w:p>
      <w:pPr>
        <w:ind w:left="1620" w:right="499" w:hanging="360"/>
        <w:spacing w:after="0" w:line="268"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2018 Plan has an evergreen provision that allows for an annual increase in the number of shares available for issuance under the 2018 Plan to be added on the first day of each fiscal year, beginning with the fiscal year ending December 31, 2019 and continuing for each fiscal year until, and including, the fiscal year ending December 31, 2028, equal to the lesser of (A) 4.0% of the shares of stock outstanding (on an as converted basis) on the last day of the immediately preceding fiscal year and</w:t>
      </w:r>
    </w:p>
    <w:p>
      <w:pPr>
        <w:spacing w:after="0" w:line="2" w:lineRule="exact"/>
        <w:rPr>
          <w:rFonts w:ascii="Arial" w:cs="Arial" w:eastAsia="Arial" w:hAnsi="Arial"/>
          <w:sz w:val="17"/>
          <w:szCs w:val="17"/>
          <w:color w:val="auto"/>
        </w:rPr>
      </w:pPr>
    </w:p>
    <w:p>
      <w:pPr>
        <w:ind w:left="1620" w:right="519"/>
        <w:spacing w:after="0" w:line="281" w:lineRule="auto"/>
        <w:rPr>
          <w:rFonts w:ascii="Arial" w:cs="Arial" w:eastAsia="Arial" w:hAnsi="Arial"/>
          <w:sz w:val="17"/>
          <w:szCs w:val="17"/>
          <w:color w:val="auto"/>
        </w:rPr>
      </w:pPr>
      <w:r>
        <w:rPr>
          <w:rFonts w:ascii="Arial" w:cs="Arial" w:eastAsia="Arial" w:hAnsi="Arial"/>
          <w:sz w:val="16"/>
          <w:szCs w:val="16"/>
          <w:color w:val="auto"/>
        </w:rPr>
        <w:t>(B) such smaller number of shares of stock as determined by our board of directors. On January 1, 2020, 1,588,737 additional shares were reserved for issuance under the 2018 Plan pursuant to this provision. The 2018 ESPP has an evergreen provision that allows for an annual increase in the number of shares available for issuance under the 2018 ESPP to be added on the first day of each fiscal year, beginning on January 1, 2019 and ending on December 31, 2038, in an amount equal to the lesser of</w:t>
      </w:r>
    </w:p>
    <w:p>
      <w:pPr>
        <w:spacing w:after="0" w:line="2" w:lineRule="exact"/>
        <w:rPr>
          <w:rFonts w:ascii="Arial" w:cs="Arial" w:eastAsia="Arial" w:hAnsi="Arial"/>
          <w:sz w:val="17"/>
          <w:szCs w:val="17"/>
          <w:color w:val="auto"/>
        </w:rPr>
      </w:pPr>
    </w:p>
    <w:p>
      <w:pPr>
        <w:ind w:left="1620" w:right="579"/>
        <w:spacing w:after="0" w:line="253" w:lineRule="auto"/>
        <w:rPr>
          <w:rFonts w:ascii="Arial" w:cs="Arial" w:eastAsia="Arial" w:hAnsi="Arial"/>
          <w:sz w:val="17"/>
          <w:szCs w:val="17"/>
          <w:color w:val="auto"/>
        </w:rPr>
      </w:pPr>
      <w:r>
        <w:rPr>
          <w:rFonts w:ascii="Arial" w:cs="Arial" w:eastAsia="Arial" w:hAnsi="Arial"/>
          <w:sz w:val="18"/>
          <w:szCs w:val="18"/>
          <w:color w:val="auto"/>
        </w:rPr>
        <w:t>(i) 1,000,000 shares of our common stock, (ii) 1% of the total number of shares of our common stock outstanding on the last day of the immediately preceding fiscal year, or (iii) such lesser number of shares as determined by the administrator. On January 1, 2020, no additional shares were reserved for issuance under the 2018 ESPP pursuant to this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COMPENSATION COMMITTEE REPORT</w:t>
      </w:r>
    </w:p>
    <w:p>
      <w:pPr>
        <w:spacing w:after="0" w:line="14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Based on such review and discussions, the Compensation Committee recommended to our Board of Directors that such section be included in this Proxy Statement and incorporated by reference in our Annual Report on Form 10-K for the year ended December 31, 2020, which was filed with the SEC on March 1, 2021.</w:t>
      </w:r>
    </w:p>
    <w:p>
      <w:pPr>
        <w:spacing w:after="0" w:line="1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Members of the Compensation Committee</w:t>
      </w:r>
    </w:p>
    <w:p>
      <w:pPr>
        <w:spacing w:after="0" w:line="30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James I. Healy, M.D. (Chair)</w:t>
      </w:r>
    </w:p>
    <w:p>
      <w:pPr>
        <w:spacing w:after="0" w:line="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David N. Gill</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Gérard 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AUDIT COMMITTEE REPORT</w:t>
      </w:r>
      <w:r>
        <w:rPr>
          <w:rFonts w:ascii="Arial" w:cs="Arial" w:eastAsia="Arial" w:hAnsi="Arial"/>
          <w:sz w:val="26"/>
          <w:szCs w:val="26"/>
          <w:b w:val="1"/>
          <w:bCs w:val="1"/>
          <w:color w:val="auto"/>
          <w:vertAlign w:val="superscript"/>
        </w:rPr>
        <w:t>1</w:t>
      </w:r>
    </w:p>
    <w:p>
      <w:pPr>
        <w:spacing w:after="0" w:line="104"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The Audit Committee oversees our financial reporting process on behalf of our Board of Directors. Management is responsible for our financial statements and the financial reporting process, including the system of internal controls. The independent auditors are responsible for expressing an opinion on the conformity of those audited financial statements with generally accepted accounting principles. In fulfilling its oversight responsibilities, the Audit Committee has reviewed and discussed with management and the independent auditors the audited financial statements that have been included in our most recent Annual Report on Form 10-K.</w:t>
      </w:r>
    </w:p>
    <w:p>
      <w:pPr>
        <w:spacing w:after="0" w:line="127"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 Audit Committee has discussed with the independent auditors the matters required to be discussed by the applicable requirements of the Public Company Accounting Oversight Board (the “PCAOB”) and the SEC. In addition, the Audit Committee has received from the independent auditors the written disclosures and the letter required by applicable requirements of the PCAOB regarding the independent auditors’ communications with the Audit Committee concerning independence, and discussed with the auditors their independence.</w:t>
      </w:r>
    </w:p>
    <w:p>
      <w:pPr>
        <w:spacing w:after="0" w:line="125" w:lineRule="exact"/>
        <w:rPr>
          <w:sz w:val="20"/>
          <w:szCs w:val="20"/>
          <w:color w:val="auto"/>
        </w:rPr>
      </w:pPr>
    </w:p>
    <w:p>
      <w:pPr>
        <w:ind w:left="1260" w:right="1059" w:firstLine="360"/>
        <w:spacing w:after="0" w:line="263" w:lineRule="auto"/>
        <w:rPr>
          <w:sz w:val="20"/>
          <w:szCs w:val="20"/>
          <w:color w:val="auto"/>
        </w:rPr>
      </w:pPr>
      <w:r>
        <w:rPr>
          <w:rFonts w:ascii="Arial" w:cs="Arial" w:eastAsia="Arial" w:hAnsi="Arial"/>
          <w:sz w:val="18"/>
          <w:szCs w:val="18"/>
          <w:color w:val="auto"/>
        </w:rPr>
        <w:t>In addition, the Audit Committee has regularly met separately with management and with the independent auditors, and further to the matters specified above, has discussed with the independent auditors the overall scope, plans, and estimated costs of their audit.</w:t>
      </w:r>
    </w:p>
    <w:p>
      <w:pPr>
        <w:spacing w:after="0" w:line="10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Based on the foregoing, the Audit Committee recommended to our Board of Directors, and our Board of Directors approved, the inclusion of the audited financial statements in our most recent Annual Report on Form 10-K for filing with the SEC. The Audit Committee has also recommended the selection of the Company’s independent auditors for the fiscal year ending December 31, 2021.</w:t>
      </w:r>
    </w:p>
    <w:p>
      <w:pPr>
        <w:spacing w:after="0" w:line="14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Members of the Audit Committee</w:t>
      </w:r>
    </w:p>
    <w:p>
      <w:pPr>
        <w:spacing w:after="0" w:line="33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David N. Gill (Chair)</w:t>
      </w:r>
    </w:p>
    <w:p>
      <w:pPr>
        <w:spacing w:after="0" w:line="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James I. Healy, M.D.</w:t>
      </w:r>
    </w:p>
    <w:p>
      <w:pPr>
        <w:spacing w:after="0" w:line="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Johan Wedell-Wedellsborg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2029460</wp:posOffset>
            </wp:positionV>
            <wp:extent cx="12344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620" w:right="799" w:hanging="360"/>
        <w:spacing w:after="0" w:line="216" w:lineRule="auto"/>
        <w:tabs>
          <w:tab w:leader="none" w:pos="1620" w:val="left"/>
        </w:tabs>
        <w:numPr>
          <w:ilvl w:val="0"/>
          <w:numId w:val="41"/>
        </w:numPr>
        <w:rPr>
          <w:rFonts w:ascii="Arial" w:cs="Arial" w:eastAsia="Arial" w:hAnsi="Arial"/>
          <w:sz w:val="26"/>
          <w:szCs w:val="26"/>
          <w:color w:val="auto"/>
          <w:vertAlign w:val="superscript"/>
        </w:rPr>
      </w:pPr>
      <w:r>
        <w:rPr>
          <w:rFonts w:ascii="Arial" w:cs="Arial" w:eastAsia="Arial" w:hAnsi="Arial"/>
          <w:sz w:val="17"/>
          <w:szCs w:val="17"/>
          <w:color w:val="auto"/>
        </w:rPr>
        <w:t>The information contained in this audit committee report shall not be deemed to be (1) “soliciting material,” (2) “filed” with the SEC, (3) subject to Regulations 14A or 14C of the Exchange Act, or</w:t>
      </w:r>
    </w:p>
    <w:p>
      <w:pPr>
        <w:spacing w:after="0" w:line="1" w:lineRule="exact"/>
        <w:rPr>
          <w:rFonts w:ascii="Arial" w:cs="Arial" w:eastAsia="Arial" w:hAnsi="Arial"/>
          <w:sz w:val="26"/>
          <w:szCs w:val="26"/>
          <w:color w:val="auto"/>
          <w:vertAlign w:val="superscript"/>
        </w:rPr>
      </w:pPr>
    </w:p>
    <w:p>
      <w:pPr>
        <w:ind w:left="1620" w:right="459"/>
        <w:spacing w:after="0" w:line="270" w:lineRule="auto"/>
        <w:rPr>
          <w:rFonts w:ascii="Arial" w:cs="Arial" w:eastAsia="Arial" w:hAnsi="Arial"/>
          <w:sz w:val="26"/>
          <w:szCs w:val="26"/>
          <w:color w:val="auto"/>
          <w:vertAlign w:val="superscript"/>
        </w:rPr>
      </w:pPr>
      <w:r>
        <w:rPr>
          <w:rFonts w:ascii="Arial" w:cs="Arial" w:eastAsia="Arial" w:hAnsi="Arial"/>
          <w:sz w:val="17"/>
          <w:szCs w:val="17"/>
          <w:color w:val="auto"/>
        </w:rPr>
        <w:t>(4) subject to the liabilities of Section 18 of the Exchange Act. No portion of this audit committee report shall be deemed to be incorporated by reference into any filing under the Securities Act of 1933, as amended (the “Securities Act”), or the Exchange Act, through any general statement incorporating by reference in its entirety the proxy statement in which this report appears, except to the extent that the Company specifically incorporates this report or a portion of it by reference. In addition, this report shall not be deemed filed under either the Securities Act or the Exchange Act</w:t>
      </w:r>
      <w:r>
        <w:rPr>
          <w:rFonts w:ascii="Arial" w:cs="Arial" w:eastAsia="Arial" w:hAnsi="Arial"/>
          <w:sz w:val="17"/>
          <w:szCs w:val="17"/>
          <w:b w:val="1"/>
          <w:bCs w:val="1"/>
          <w:color w:val="auto"/>
        </w:rPr>
        <w:t>.</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PROPOSALS TO BE VOTED UPON AT THE ANNUAL MEETING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Proposal 1: Election of Three (3) Class III Directors</w:t>
      </w:r>
    </w:p>
    <w:p>
      <w:pPr>
        <w:spacing w:after="0" w:line="135" w:lineRule="exact"/>
        <w:rPr>
          <w:sz w:val="20"/>
          <w:szCs w:val="20"/>
          <w:color w:val="auto"/>
        </w:rPr>
      </w:pPr>
    </w:p>
    <w:p>
      <w:pPr>
        <w:ind w:left="1260" w:right="519" w:firstLine="360"/>
        <w:spacing w:after="0" w:line="231" w:lineRule="auto"/>
        <w:rPr>
          <w:sz w:val="20"/>
          <w:szCs w:val="20"/>
          <w:color w:val="auto"/>
        </w:rPr>
      </w:pPr>
      <w:r>
        <w:rPr>
          <w:rFonts w:ascii="Arial" w:cs="Arial" w:eastAsia="Arial" w:hAnsi="Arial"/>
          <w:sz w:val="18"/>
          <w:szCs w:val="18"/>
          <w:color w:val="auto"/>
        </w:rPr>
        <w:t>Our Amended and Restated Certificate of Incorporation provides for a classified board of directors. This means our Board of Directors is divided into three (3) classes, with each class having as nearly as possible an equal number of directors. The term of service of each class of directors is staggered so that the term of one (1) class expires at each annual meeting of the stockholders.</w:t>
      </w:r>
    </w:p>
    <w:p>
      <w:pPr>
        <w:spacing w:after="0" w:line="108" w:lineRule="exact"/>
        <w:rPr>
          <w:sz w:val="20"/>
          <w:szCs w:val="20"/>
          <w:color w:val="auto"/>
        </w:rPr>
      </w:pPr>
    </w:p>
    <w:p>
      <w:pPr>
        <w:ind w:left="1260" w:right="1019" w:firstLine="360"/>
        <w:spacing w:after="0" w:line="246" w:lineRule="auto"/>
        <w:rPr>
          <w:sz w:val="20"/>
          <w:szCs w:val="20"/>
          <w:color w:val="auto"/>
        </w:rPr>
      </w:pPr>
      <w:r>
        <w:rPr>
          <w:rFonts w:ascii="Arial" w:cs="Arial" w:eastAsia="Arial" w:hAnsi="Arial"/>
          <w:sz w:val="18"/>
          <w:szCs w:val="18"/>
          <w:color w:val="auto"/>
        </w:rPr>
        <w:t>Our Board of Directors currently consists of eight (8) members, divided into three (3) classes as follows:</w:t>
      </w:r>
    </w:p>
    <w:p>
      <w:pPr>
        <w:spacing w:after="0" w:line="62" w:lineRule="exact"/>
        <w:rPr>
          <w:sz w:val="20"/>
          <w:szCs w:val="20"/>
          <w:color w:val="auto"/>
        </w:rPr>
      </w:pPr>
    </w:p>
    <w:p>
      <w:pPr>
        <w:ind w:left="1800" w:right="67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Class I is currently comprised of Dr. Gérard Ber and David. N. Gill each with a term ending at the 2022 annual meeting of stockholders;</w:t>
      </w:r>
    </w:p>
    <w:p>
      <w:pPr>
        <w:spacing w:after="0" w:line="48"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Class II is currently comprised of James I. Healy, M.D., Ashutosh Tyagi, M.D. and Ms. Laura J. Hamill each with a term ending at the 2023 annual meeting of stockholders; and</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Class III is currently comprised of Thomas Gad, Claus Juan Møller-San Pedro, M.D., Ph.D., and Johan Wedell-Wedellsborg, each with a term ending at the Annual Meeting.</w:t>
      </w:r>
    </w:p>
    <w:p>
      <w:pPr>
        <w:spacing w:after="0" w:line="76" w:lineRule="exact"/>
        <w:rPr>
          <w:sz w:val="20"/>
          <w:szCs w:val="20"/>
          <w:color w:val="auto"/>
        </w:rPr>
      </w:pPr>
    </w:p>
    <w:p>
      <w:pPr>
        <w:ind w:left="1260" w:right="779" w:firstLine="360"/>
        <w:spacing w:after="0" w:line="231" w:lineRule="auto"/>
        <w:rPr>
          <w:sz w:val="20"/>
          <w:szCs w:val="20"/>
          <w:color w:val="auto"/>
        </w:rPr>
      </w:pPr>
      <w:r>
        <w:rPr>
          <w:rFonts w:ascii="Arial" w:cs="Arial" w:eastAsia="Arial" w:hAnsi="Arial"/>
          <w:sz w:val="18"/>
          <w:szCs w:val="18"/>
          <w:color w:val="auto"/>
        </w:rPr>
        <w:t>Our Board of Directors, on the recommendation of our Nominating and Corporate Governance Committee, has nominated Thomas Gad, Claus Juan Møller- San Pedro, M.D., Ph.D., and Johan Wedell-Wedellsborg for election as Class III directors at the Annual Meeting, each with a three (3) year term to expire at the 2024 annual meeting of stockholders.</w:t>
      </w:r>
    </w:p>
    <w:p>
      <w:pPr>
        <w:spacing w:after="0" w:line="104" w:lineRule="exact"/>
        <w:rPr>
          <w:sz w:val="20"/>
          <w:szCs w:val="20"/>
          <w:color w:val="auto"/>
        </w:rPr>
      </w:pPr>
    </w:p>
    <w:p>
      <w:pPr>
        <w:ind w:left="1260" w:right="439" w:firstLine="360"/>
        <w:spacing w:after="0" w:line="232" w:lineRule="auto"/>
        <w:rPr>
          <w:sz w:val="20"/>
          <w:szCs w:val="20"/>
          <w:color w:val="auto"/>
        </w:rPr>
      </w:pPr>
      <w:r>
        <w:rPr>
          <w:rFonts w:ascii="Arial" w:cs="Arial" w:eastAsia="Arial" w:hAnsi="Arial"/>
          <w:sz w:val="18"/>
          <w:szCs w:val="18"/>
          <w:color w:val="auto"/>
        </w:rPr>
        <w:t>Unless otherwise instructed in the proxy, all proxies will be voted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Class III nominees identified above to a three (3) year term to expire at the 2024 annual meeting of stockholders, each such nominee to hold office until his or her successor has been duly elected and qualified or until his or her earlier death, resignation or removal.</w:t>
      </w:r>
    </w:p>
    <w:p>
      <w:pPr>
        <w:spacing w:after="0" w:line="122" w:lineRule="exact"/>
        <w:rPr>
          <w:sz w:val="20"/>
          <w:szCs w:val="20"/>
          <w:color w:val="auto"/>
        </w:rPr>
      </w:pPr>
    </w:p>
    <w:p>
      <w:pPr>
        <w:jc w:val="both"/>
        <w:ind w:left="1260" w:right="619" w:firstLine="360"/>
        <w:spacing w:after="0" w:line="243" w:lineRule="auto"/>
        <w:rPr>
          <w:sz w:val="20"/>
          <w:szCs w:val="20"/>
          <w:color w:val="auto"/>
        </w:rPr>
      </w:pPr>
      <w:r>
        <w:rPr>
          <w:rFonts w:ascii="Arial" w:cs="Arial" w:eastAsia="Arial" w:hAnsi="Arial"/>
          <w:sz w:val="18"/>
          <w:szCs w:val="18"/>
          <w:color w:val="auto"/>
        </w:rPr>
        <w:t>Each of the nominees has indicated his willingness to serve as a director, if elected. In the event that any nominee should be unable to serve, discretionary authority is reserved for the named proxy holders to vote for a substitute, or to reduce the number of directors to be elected, or both. We do not expect that any of the nominees will be unable to serve if elected.</w:t>
      </w:r>
    </w:p>
    <w:p>
      <w:pPr>
        <w:spacing w:after="0" w:line="107" w:lineRule="exact"/>
        <w:rPr>
          <w:sz w:val="20"/>
          <w:szCs w:val="20"/>
          <w:color w:val="auto"/>
        </w:rPr>
      </w:pPr>
    </w:p>
    <w:p>
      <w:pPr>
        <w:ind w:left="1260" w:right="919" w:firstLine="360"/>
        <w:spacing w:after="0" w:line="248" w:lineRule="auto"/>
        <w:rPr>
          <w:sz w:val="20"/>
          <w:szCs w:val="20"/>
          <w:color w:val="auto"/>
        </w:rPr>
      </w:pPr>
      <w:r>
        <w:rPr>
          <w:rFonts w:ascii="Arial" w:cs="Arial" w:eastAsia="Arial" w:hAnsi="Arial"/>
          <w:sz w:val="18"/>
          <w:szCs w:val="18"/>
          <w:color w:val="auto"/>
        </w:rPr>
        <w:t>A plurality of the combined voting power of the shares of common stock present in person or represented by proxy at the Annual Meeting and entitled to vote is required to elect each nominee as a director.</w:t>
      </w:r>
    </w:p>
    <w:p>
      <w:pPr>
        <w:spacing w:after="0" w:line="110" w:lineRule="exact"/>
        <w:rPr>
          <w:sz w:val="20"/>
          <w:szCs w:val="20"/>
          <w:color w:val="auto"/>
        </w:rPr>
      </w:pPr>
    </w:p>
    <w:p>
      <w:pPr>
        <w:jc w:val="both"/>
        <w:ind w:left="1260" w:right="939" w:firstLine="360"/>
        <w:spacing w:after="0" w:line="250" w:lineRule="auto"/>
        <w:rPr>
          <w:sz w:val="20"/>
          <w:szCs w:val="20"/>
          <w:color w:val="auto"/>
        </w:rPr>
      </w:pPr>
      <w:r>
        <w:rPr>
          <w:rFonts w:ascii="Arial" w:cs="Arial" w:eastAsia="Arial" w:hAnsi="Arial"/>
          <w:sz w:val="18"/>
          <w:szCs w:val="18"/>
          <w:b w:val="1"/>
          <w:bCs w:val="1"/>
          <w:color w:val="auto"/>
        </w:rPr>
        <w:t>OUR BOARD OF DIRECTORS RECOMMENDS THAT STOCKHOLDERS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THE ELECTION OF THOMAS GAD, CLAUS JUAN MØLLER-SAN PEDRO, M.D., PH.D., AND JOHAN WEDELL-WEDELLSBORG, EACH TO SERVE AS CLASS III DIRECTORS.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Proposal 2: Ratification of the Appointment of Independent Registered Public Accounting Firm</w:t>
      </w:r>
    </w:p>
    <w:p>
      <w:pPr>
        <w:spacing w:after="0" w:line="14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Our Audit Committee has appointed the firm of PricewaterhouseCoopers LLP (“PwC”), an independent registered public accounting firm, as independent auditors for the fiscal year ending December 31, 2021. Although stockholder approval of our Audit Committee’s appointment of PwC is not required by law, our Board of Directors believes that it is advisable to give stockholders an opportunity to ratify this appointment. If this proposal is not approved at the Annual Meeting, our Audit Committee will reconsider its appointment of PwC. PwC has no direct or indirect material financial interest in our Company or our subsidiaries. Representatives of PwC are expected to be present at the Annual Meeting and will have the opportunity to make a statement, if they desire to do so, and will be available to respond to appropriate questions from our stockholders.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Fees and Services</w:t>
      </w:r>
    </w:p>
    <w:p>
      <w:pPr>
        <w:spacing w:after="0" w:line="15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following table sets forth fees billed for professional audit services and other services rendered to us by PwC for the fiscal years ended December 31, 2019 and 2020. All such services and fees were pre-approved by our Audit Committee in accordance with the “Pre-Approval Policies and Procedures” described below.</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220" w:type="dxa"/>
            <w:vAlign w:val="bottom"/>
            <w:gridSpan w:val="4"/>
          </w:tcPr>
          <w:p>
            <w:pPr>
              <w:ind w:left="360"/>
              <w:spacing w:after="0"/>
              <w:rPr>
                <w:sz w:val="20"/>
                <w:szCs w:val="20"/>
                <w:color w:val="auto"/>
              </w:rPr>
            </w:pPr>
            <w:r>
              <w:rPr>
                <w:rFonts w:ascii="Arial" w:cs="Arial" w:eastAsia="Arial" w:hAnsi="Arial"/>
                <w:sz w:val="14"/>
                <w:szCs w:val="14"/>
                <w:b w:val="1"/>
                <w:bCs w:val="1"/>
                <w:color w:val="auto"/>
              </w:rPr>
              <w:t>Fee Category</w:t>
            </w:r>
          </w:p>
        </w:tc>
        <w:tc>
          <w:tcPr>
            <w:tcW w:w="120" w:type="dxa"/>
            <w:vAlign w:val="bottom"/>
          </w:tcPr>
          <w:p>
            <w:pPr>
              <w:spacing w:after="0"/>
              <w:rPr>
                <w:sz w:val="16"/>
                <w:szCs w:val="16"/>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70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r>
      <w:tr>
        <w:trPr>
          <w:trHeight w:val="26"/>
        </w:trPr>
        <w:tc>
          <w:tcPr>
            <w:tcW w:w="1940" w:type="dxa"/>
            <w:vAlign w:val="bottom"/>
            <w:gridSpan w:val="2"/>
          </w:tcPr>
          <w:p>
            <w:pPr>
              <w:spacing w:after="0"/>
              <w:rPr>
                <w:sz w:val="2"/>
                <w:szCs w:val="2"/>
                <w:color w:val="auto"/>
              </w:rPr>
            </w:pPr>
          </w:p>
        </w:tc>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3"/>
        </w:trPr>
        <w:tc>
          <w:tcPr>
            <w:tcW w:w="360" w:type="dxa"/>
            <w:vAlign w:val="bottom"/>
          </w:tcPr>
          <w:p>
            <w:pPr>
              <w:spacing w:after="0"/>
              <w:rPr>
                <w:sz w:val="22"/>
                <w:szCs w:val="22"/>
                <w:color w:val="auto"/>
              </w:rPr>
            </w:pPr>
          </w:p>
        </w:tc>
        <w:tc>
          <w:tcPr>
            <w:tcW w:w="5640" w:type="dxa"/>
            <w:vAlign w:val="bottom"/>
            <w:tcBorders>
              <w:top w:val="single" w:sz="8" w:color="auto"/>
            </w:tcBorders>
            <w:gridSpan w:val="2"/>
            <w:shd w:val="clear" w:color="auto" w:fill="CCEEFF"/>
          </w:tcPr>
          <w:p>
            <w:pPr>
              <w:spacing w:after="0" w:line="263" w:lineRule="exact"/>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tc>
        <w:tc>
          <w:tcPr>
            <w:tcW w:w="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692,800</w:t>
            </w:r>
          </w:p>
        </w:tc>
        <w:tc>
          <w:tcPr>
            <w:tcW w:w="2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$909,000</w:t>
            </w:r>
          </w:p>
        </w:tc>
      </w:tr>
      <w:tr>
        <w:trPr>
          <w:trHeight w:val="270"/>
        </w:trPr>
        <w:tc>
          <w:tcPr>
            <w:tcW w:w="360" w:type="dxa"/>
            <w:vAlign w:val="bottom"/>
          </w:tcPr>
          <w:p>
            <w:pPr>
              <w:spacing w:after="0"/>
              <w:rPr>
                <w:sz w:val="23"/>
                <w:szCs w:val="23"/>
                <w:color w:val="auto"/>
              </w:rPr>
            </w:pPr>
          </w:p>
        </w:tc>
        <w:tc>
          <w:tcPr>
            <w:tcW w:w="5860" w:type="dxa"/>
            <w:vAlign w:val="bottom"/>
            <w:gridSpan w:val="3"/>
          </w:tcPr>
          <w:p>
            <w:pPr>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6"/>
                <w:szCs w:val="26"/>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586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6"/>
                <w:szCs w:val="26"/>
                <w:color w:val="auto"/>
                <w:vertAlign w:val="super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70"/>
        </w:trPr>
        <w:tc>
          <w:tcPr>
            <w:tcW w:w="360" w:type="dxa"/>
            <w:vAlign w:val="bottom"/>
          </w:tcPr>
          <w:p>
            <w:pPr>
              <w:spacing w:after="0"/>
              <w:rPr>
                <w:sz w:val="23"/>
                <w:szCs w:val="23"/>
                <w:color w:val="auto"/>
              </w:rPr>
            </w:pPr>
          </w:p>
        </w:tc>
        <w:tc>
          <w:tcPr>
            <w:tcW w:w="5860" w:type="dxa"/>
            <w:vAlign w:val="bottom"/>
            <w:gridSpan w:val="3"/>
          </w:tcPr>
          <w:p>
            <w:pPr>
              <w:spacing w:after="0" w:line="270" w:lineRule="exact"/>
              <w:rPr>
                <w:sz w:val="20"/>
                <w:szCs w:val="20"/>
                <w:color w:val="auto"/>
              </w:rPr>
            </w:pPr>
            <w:r>
              <w:rPr>
                <w:rFonts w:ascii="Arial" w:cs="Arial" w:eastAsia="Arial" w:hAnsi="Arial"/>
                <w:sz w:val="18"/>
                <w:szCs w:val="18"/>
                <w:color w:val="auto"/>
              </w:rPr>
              <w:t>All Other Fees</w:t>
            </w:r>
            <w:r>
              <w:rPr>
                <w:rFonts w:ascii="Arial" w:cs="Arial" w:eastAsia="Arial" w:hAnsi="Arial"/>
                <w:sz w:val="26"/>
                <w:szCs w:val="26"/>
                <w:color w:val="auto"/>
                <w:vertAlign w:val="superscript"/>
              </w:rPr>
              <w:t>(4)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2,700</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2,700</w:t>
            </w:r>
          </w:p>
        </w:tc>
      </w:tr>
      <w:tr>
        <w:trPr>
          <w:trHeight w:val="257"/>
        </w:trPr>
        <w:tc>
          <w:tcPr>
            <w:tcW w:w="360" w:type="dxa"/>
            <w:vAlign w:val="bottom"/>
          </w:tcPr>
          <w:p>
            <w:pPr>
              <w:spacing w:after="0"/>
              <w:rPr>
                <w:sz w:val="22"/>
                <w:szCs w:val="22"/>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697,500</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$913,800</w:t>
            </w:r>
          </w:p>
        </w:tc>
      </w:tr>
      <w:tr>
        <w:trPr>
          <w:trHeight w:val="229"/>
        </w:trPr>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-1010920</wp:posOffset>
            </wp:positionV>
            <wp:extent cx="137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-1010920</wp:posOffset>
            </wp:positionV>
            <wp:extent cx="137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620" w:right="559" w:hanging="360"/>
        <w:spacing w:after="0" w:line="255"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performed by PwC, our independent registered public accounting firm, for the audit of our annual financial statements, including attestation services required under Section 404 of the Sarbaness-Oxley Act of 2002, the review of interim financial statements, and related services that are normally provided in connection with registration statements. Included in the 2019 Audit Fees is $100,000 of fees billed in connection with our secondary public offering which closed in November 2019.</w:t>
      </w:r>
    </w:p>
    <w:p>
      <w:pPr>
        <w:spacing w:after="0" w:line="57" w:lineRule="exact"/>
        <w:rPr>
          <w:rFonts w:ascii="Arial" w:cs="Arial" w:eastAsia="Arial" w:hAnsi="Arial"/>
          <w:sz w:val="18"/>
          <w:szCs w:val="18"/>
          <w:color w:val="auto"/>
        </w:rPr>
      </w:pPr>
    </w:p>
    <w:p>
      <w:pPr>
        <w:ind w:left="1620" w:right="639" w:hanging="360"/>
        <w:spacing w:after="0" w:line="259"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“Audit-Related Fees” may consist of fees for professional services performed by our independent registered public accounting firm for assurance and related services that are reasonably related to the performance of the audit or review of our consolidated financial statements. There were no such fees incurred in fiscal 2020 or 2019.</w:t>
      </w:r>
    </w:p>
    <w:p>
      <w:pPr>
        <w:spacing w:after="0" w:line="51" w:lineRule="exact"/>
        <w:rPr>
          <w:rFonts w:ascii="Arial" w:cs="Arial" w:eastAsia="Arial" w:hAnsi="Arial"/>
          <w:sz w:val="18"/>
          <w:szCs w:val="18"/>
          <w:color w:val="auto"/>
        </w:rPr>
      </w:pPr>
    </w:p>
    <w:p>
      <w:pPr>
        <w:ind w:left="1620" w:right="899" w:hanging="360"/>
        <w:spacing w:after="0" w:line="277"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“Tax Fees” may consist of fees for professional services performed by our independent registered public accounting firm, including tax compliance.</w:t>
      </w:r>
    </w:p>
    <w:p>
      <w:pPr>
        <w:spacing w:after="0" w:line="35" w:lineRule="exact"/>
        <w:rPr>
          <w:rFonts w:ascii="Arial" w:cs="Arial" w:eastAsia="Arial" w:hAnsi="Arial"/>
          <w:sz w:val="18"/>
          <w:szCs w:val="18"/>
          <w:color w:val="auto"/>
        </w:rPr>
      </w:pPr>
    </w:p>
    <w:p>
      <w:pPr>
        <w:ind w:left="1620" w:right="479" w:hanging="360"/>
        <w:spacing w:after="0" w:line="277"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Other Fees” include fees for professional services that are appropriately not included in the Audit, Audit-Related, and Tax categories.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144"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Our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our Audit Committee for each engagement of the independent registered public accounting firm to perform other audit-related or other non-audit services. Our Audit Committee does not delegate its responsibility to approve services performed by the independent registered public accounting firm to any member of management.</w:t>
      </w:r>
    </w:p>
    <w:p>
      <w:pPr>
        <w:spacing w:after="0" w:line="111"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The standard applied by our Audit Committee, or the Chair of our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spacing w:after="0" w:line="113"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b w:val="1"/>
          <w:bCs w:val="1"/>
          <w:color w:val="auto"/>
        </w:rPr>
        <w:t>OUR BOARD OF DIRECTORS RECOMMENDS THAT STOCKHOLDERS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THE RATIFICATION OF THE APPOINTMENT OF PRICEWATERHOUSECOOPERS LLP AS OUR INDEPENDENT REGISTERED PUBLIC ACCOUNTING FIRM FOR THE FISCAL YEAR ENDING DECEMBER 31, 2021.</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719"/>
        <w:spacing w:after="0" w:line="282" w:lineRule="auto"/>
        <w:rPr>
          <w:sz w:val="20"/>
          <w:szCs w:val="20"/>
          <w:color w:val="auto"/>
        </w:rPr>
      </w:pPr>
      <w:r>
        <w:rPr>
          <w:rFonts w:ascii="Arial" w:cs="Arial" w:eastAsia="Arial" w:hAnsi="Arial"/>
          <w:sz w:val="18"/>
          <w:szCs w:val="18"/>
          <w:b w:val="1"/>
          <w:bCs w:val="1"/>
          <w:color w:val="auto"/>
        </w:rPr>
        <w:t>Proposal 3: A non-binding advisory vote on the compensation of the Company’s named executive officers as disclosed in these proxy materials</w:t>
      </w:r>
    </w:p>
    <w:p>
      <w:pPr>
        <w:spacing w:after="0" w:line="85"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Under the rules of the SEC, the Company is required to provide its stockholders with the opportunity to cast an advisory vote on the executive compensation program for the Company’s named executive officers. This proposal is frequently referred to as a “say-on-pay” vote.</w:t>
      </w:r>
    </w:p>
    <w:p>
      <w:pPr>
        <w:spacing w:after="0" w:line="116"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Company’s executive compensation program is intended to attract, motivate and reward the executive talent required to achieve our corporate objectives and increase stockholder value. We believe that our executive compensation program is both competitive and focused on pay for performance principles, and provides an appropriate balance between risk and rewards.</w:t>
      </w:r>
    </w:p>
    <w:p>
      <w:pPr>
        <w:spacing w:after="0" w:line="119"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Our executive compensation program is described in the Compensation Discussion and Analysis (“CD&amp;A”), related compensation tables and other narrative executive compensation disclosures required by the disclosure rules of the SEC, all of which are found in this Proxy Statement.</w:t>
      </w:r>
    </w:p>
    <w:p>
      <w:pPr>
        <w:spacing w:after="0" w:line="103"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In particular, the CD&amp;A, beginning on page 23 of this Proxy Statement, describes the Company’s executive compensation program in detail, and we encourage you to review it. Since the vote on this proposal is advisory, it is not binding on the Company. Nonetheless, the Compensation Committee, which is responsible for approving the overall design and administering certain aspects of the executive compensation program, will take into account the outcome of the vote when making future executive compensation decisions.</w:t>
      </w:r>
    </w:p>
    <w:p>
      <w:pPr>
        <w:spacing w:after="0" w:line="125"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Our Board of Directors recommends that you approve the following resolution that will be submitted for a stockholder vote at the 2021 Annual Meeting in support of the Company’s executive compensation program:</w:t>
      </w:r>
    </w:p>
    <w:p>
      <w:pPr>
        <w:spacing w:after="0" w:line="112" w:lineRule="exact"/>
        <w:rPr>
          <w:sz w:val="20"/>
          <w:szCs w:val="20"/>
          <w:color w:val="auto"/>
        </w:rPr>
      </w:pPr>
    </w:p>
    <w:p>
      <w:pPr>
        <w:ind w:left="1260" w:right="479" w:firstLine="360"/>
        <w:spacing w:after="0" w:line="281"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that the stockholders of the Company approve, on an advisory basis, the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program for the Company’s named executive officers as disclosed pursuant to the rules of the SEC, including the Compensation Discussion and Analysis, compensation tables and other narrative executive compensation disclosures included in the Proxy Statement for this Annual Meeting.</w:t>
      </w:r>
    </w:p>
    <w:p>
      <w:pPr>
        <w:spacing w:after="0" w:line="84"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b w:val="1"/>
          <w:bCs w:val="1"/>
          <w:color w:val="auto"/>
        </w:rPr>
        <w:t>OUR BOARD OF DIRECTORS RECOMMENDS THAT STOCKHOLDERS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APPROVAL ON AN ADVISORY BASIS, OF THE EXECUTIVE COMPENSATION PROGRAM FOR THE COMPANY’S NAMED EXECUTIVE OFFICERS AS DISCLOSED PURSUANT TO THE RULES OF THE SEC, INCLUDING THE COMPENSATION DISCUSSION AND ANALYSIS, COMPENSATION TABLES AND OTHER NARRATIVE EXECUTIVE COMPENSATION DISCLOSURES INCLUDED IN THE PROXY STATEMENT FOR THIS ANNUAL MEETING.</w:t>
      </w:r>
    </w:p>
    <w:p>
      <w:pPr>
        <w:spacing w:after="0" w:line="187" w:lineRule="exact"/>
        <w:rPr>
          <w:sz w:val="20"/>
          <w:szCs w:val="20"/>
          <w:color w:val="auto"/>
        </w:rPr>
      </w:pPr>
    </w:p>
    <w:p>
      <w:pPr>
        <w:ind w:left="1260" w:right="619"/>
        <w:spacing w:after="0" w:line="282" w:lineRule="auto"/>
        <w:rPr>
          <w:sz w:val="20"/>
          <w:szCs w:val="20"/>
          <w:color w:val="auto"/>
        </w:rPr>
      </w:pPr>
      <w:r>
        <w:rPr>
          <w:rFonts w:ascii="Arial" w:cs="Arial" w:eastAsia="Arial" w:hAnsi="Arial"/>
          <w:sz w:val="18"/>
          <w:szCs w:val="18"/>
          <w:b w:val="1"/>
          <w:bCs w:val="1"/>
          <w:color w:val="auto"/>
        </w:rPr>
        <w:t>Proposal 4: A non-binding advisory vote on the frequency of future advisory votes on the compensation of the Company’s named executive officers.</w:t>
      </w:r>
    </w:p>
    <w:p>
      <w:pPr>
        <w:spacing w:after="0" w:line="98"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As described above in Proposal 3 of this Proxy Statement, under the rules of the SEC, the Company is required to provide stockholders with a “say-on-pay” vote, which is an advisory vote on the executive compensation program for the named executive officers of the Company. The rules of the SEC also require the Company to provide stockholders with the opportunity to cast an advisory vote (commonly known as a “Say When on Pay” vote) on whether the say-on-pay vote will occur every one, two or three years or whether stockholders wish to abstain from this vote.</w:t>
      </w:r>
    </w:p>
    <w:p>
      <w:pPr>
        <w:spacing w:after="0" w:line="125"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We are, therefore, asking stockholders to vote on an advisory (non-binding) basis on the following resolution at the Annual Meeting:</w:t>
      </w:r>
    </w:p>
    <w:p>
      <w:pPr>
        <w:spacing w:after="0" w:line="89"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RESOLVED, that the Company’s stockholders recommend, on an advisory basis, that the Company conduct any required stockholder advisory vote on named executive officer compensation every year, every two years, or every three years in accordance with such frequency receiving the greatest number of votes cast for this resolution.</w:t>
      </w:r>
    </w:p>
    <w:p>
      <w:pPr>
        <w:spacing w:after="0" w:line="119" w:lineRule="exact"/>
        <w:rPr>
          <w:sz w:val="20"/>
          <w:szCs w:val="20"/>
          <w:color w:val="auto"/>
        </w:rPr>
      </w:pPr>
    </w:p>
    <w:p>
      <w:pPr>
        <w:ind w:left="1260" w:right="559" w:firstLine="360"/>
        <w:spacing w:after="0" w:line="308" w:lineRule="auto"/>
        <w:rPr>
          <w:sz w:val="20"/>
          <w:szCs w:val="20"/>
          <w:color w:val="auto"/>
        </w:rPr>
      </w:pPr>
      <w:r>
        <w:rPr>
          <w:rFonts w:ascii="Arial" w:cs="Arial" w:eastAsia="Arial" w:hAnsi="Arial"/>
          <w:sz w:val="17"/>
          <w:szCs w:val="17"/>
          <w:color w:val="auto"/>
        </w:rPr>
        <w:t>You may vote for Say-on-Pay votes to be held “EVERY YEAR,” “EVERY TWO YEARS” OR “EVERY THREE YEARS” in response to the resolution or you may abstain from voting on the resolution.</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Our Board of Directors believes that current best corporate practices and governance trends favor an annual advisory vote. This gives stockholders the opportunity to react promptly to emerging trends in compensation, and give the Board of Directors and the Compensation Committee the opportunity to evaluate compensation decisions in light of yearly feedback from stockholders.</w:t>
      </w:r>
    </w:p>
    <w:p>
      <w:pPr>
        <w:spacing w:after="0" w:line="90"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The results of the Say When on Pay vote will be advisory and will not be binding upon the Company or our Board of Directors. However, we will take into account the outcome of the Say When on Pay vote when determining how frequently the Company will conduct future Say-on-Pay votes and will disclose our frequency decision as required by the SEC. Unless and until the Board of Directors determines otherwise, the next Say When on Pay vote will occur at the 2027 Annual Meeting, since this vote is required to be held every six years.</w:t>
      </w:r>
    </w:p>
    <w:p>
      <w:pPr>
        <w:spacing w:after="0" w:line="121" w:lineRule="exact"/>
        <w:rPr>
          <w:sz w:val="20"/>
          <w:szCs w:val="20"/>
          <w:color w:val="auto"/>
        </w:rPr>
      </w:pPr>
    </w:p>
    <w:p>
      <w:pPr>
        <w:jc w:val="both"/>
        <w:ind w:left="1260" w:right="1099" w:firstLine="360"/>
        <w:spacing w:after="0" w:line="266" w:lineRule="auto"/>
        <w:rPr>
          <w:sz w:val="20"/>
          <w:szCs w:val="20"/>
          <w:color w:val="auto"/>
        </w:rPr>
      </w:pPr>
      <w:r>
        <w:rPr>
          <w:rFonts w:ascii="Arial" w:cs="Arial" w:eastAsia="Arial" w:hAnsi="Arial"/>
          <w:sz w:val="18"/>
          <w:szCs w:val="18"/>
          <w:b w:val="1"/>
          <w:bCs w:val="1"/>
          <w:color w:val="auto"/>
        </w:rPr>
        <w:t>OUR BOARD OF DIRECTORS RECOMMENDS THAT STOCKHOLDERS VOTE FOR THE COMPANY TO CONDUCT ANY REQUIRED STOCKHOLDER ADVISORY VOTE ON NAMED EXECUTIVE OFFICER COMPENSATION EVERY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STOCK OWNERSHIP AND REPORTING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Unless otherwise provided below, the following table sets forth information regarding beneficial ownership of our common stock as of April 1, 2021 by:</w:t>
      </w:r>
    </w:p>
    <w:p>
      <w:pPr>
        <w:spacing w:after="0" w:line="89" w:lineRule="exact"/>
        <w:rPr>
          <w:sz w:val="20"/>
          <w:szCs w:val="20"/>
          <w:color w:val="auto"/>
        </w:rPr>
      </w:pPr>
    </w:p>
    <w:p>
      <w:pPr>
        <w:ind w:left="1800" w:right="51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be the beneficial owner of 5% or more of the outstanding shares of our common stock;</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our current directors and nominees for director;</w:t>
      </w:r>
    </w:p>
    <w:p>
      <w:pPr>
        <w:spacing w:after="0" w:line="130" w:lineRule="exact"/>
        <w:rPr>
          <w:rFonts w:ascii="Arial" w:cs="Arial" w:eastAsia="Arial" w:hAnsi="Arial"/>
          <w:sz w:val="18"/>
          <w:szCs w:val="18"/>
          <w:color w:val="auto"/>
        </w:rPr>
      </w:pPr>
    </w:p>
    <w:p>
      <w:pPr>
        <w:ind w:left="1800" w:right="659" w:hanging="180"/>
        <w:spacing w:after="0" w:line="263"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our executive officers who served during the year ended December 31, 2020, named in the Summary Compensation table herein, whom, collectively, we refer to as our named executive officers; and</w:t>
      </w:r>
    </w:p>
    <w:p>
      <w:pPr>
        <w:spacing w:after="0" w:line="102"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44"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Beneficial ownership is determined in accordance with the rules and regulations of the SEC and includes voting or investment power with respect to our common stock. Percentage of beneficial ownership is based on 43,544,995 shares of our common stock outstanding as of April 1, 2021. In addition, shares of common stock subject to options or other rights currently exercisable, or exercisable within sixty (60) days of April 1, 2021, are deemed outstanding and beneficially owned for the purpose of computing</w:t>
      </w:r>
    </w:p>
    <w:p>
      <w:pPr>
        <w:spacing w:after="0" w:line="3"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the percentage beneficially owned by (i) the individual holding such options, warrants or other rights (but not any other individual) and (ii) the directors and executive officers as a group.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Y-mAbs Therapeutics, Inc., 230 Park Avenue, Suite 3350, New York, New York 10169.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32385</wp:posOffset>
            </wp:positionV>
            <wp:extent cx="474916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5% Stockholders</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WG Biotech ApS</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-17780</wp:posOffset>
            </wp:positionV>
            <wp:extent cx="4749165"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8"/>
          <w:szCs w:val="18"/>
          <w:color w:val="auto"/>
        </w:rPr>
        <w:t>Rungsted Strandvej 113</w:t>
      </w:r>
    </w:p>
    <w:p>
      <w:pPr>
        <w:spacing w:after="0" w:line="3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DK 2960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Rungsted Kyst, Denmark</w:t>
      </w:r>
    </w:p>
    <w:p>
      <w:pPr>
        <w:spacing w:after="0" w:line="5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Attn: Johan Wedell-Wedellsborg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Wellington Management Group LLP</w:t>
      </w:r>
      <w:r>
        <w:rPr>
          <w:rFonts w:ascii="Arial" w:cs="Arial" w:eastAsia="Arial" w:hAnsi="Arial"/>
          <w:sz w:val="26"/>
          <w:szCs w:val="26"/>
          <w:color w:val="auto"/>
          <w:vertAlign w:val="superscript"/>
        </w:rPr>
        <w:t>(2)</w:t>
      </w:r>
    </w:p>
    <w:p>
      <w:pPr>
        <w:spacing w:after="0" w:line="1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280 Congress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4445</wp:posOffset>
            </wp:positionV>
            <wp:extent cx="4749165"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1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Boston, MA 02210</w:t>
      </w:r>
    </w:p>
    <w:p>
      <w:pPr>
        <w:spacing w:after="0" w:line="5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Attn: James Fricano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BlackRock, Inc</w:t>
      </w:r>
      <w:r>
        <w:rPr>
          <w:rFonts w:ascii="Arial" w:cs="Arial" w:eastAsia="Arial" w:hAnsi="Arial"/>
          <w:sz w:val="26"/>
          <w:szCs w:val="26"/>
          <w:color w:val="auto"/>
          <w:vertAlign w:val="superscript"/>
        </w:rPr>
        <w:t>(3)</w:t>
      </w:r>
    </w:p>
    <w:p>
      <w:pPr>
        <w:spacing w:after="0" w:line="1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55 East 52nd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4445</wp:posOffset>
            </wp:positionV>
            <wp:extent cx="474916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New York, NY 10055</w:t>
      </w:r>
    </w:p>
    <w:p>
      <w:pPr>
        <w:spacing w:after="0" w:line="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Sofinnova Venture Partners X, L.P.</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-10795</wp:posOffset>
            </wp:positionV>
            <wp:extent cx="4749165"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3000 Sand Hill Road</w:t>
      </w:r>
    </w:p>
    <w:p>
      <w:pPr>
        <w:spacing w:after="0" w:line="4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Building 4-Suite 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Menlo Park, CA 94025</w:t>
      </w:r>
    </w:p>
    <w:p>
      <w:pPr>
        <w:spacing w:after="0" w:line="6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Attn: Hooman Shahlavi, Partner &amp;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Named Executive Officers and Directors</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Thomas Gad</w:t>
      </w:r>
      <w:r>
        <w:rPr>
          <w:rFonts w:ascii="Arial" w:cs="Arial" w:eastAsia="Arial" w:hAnsi="Arial"/>
          <w:sz w:val="26"/>
          <w:szCs w:val="26"/>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7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800"/>
        <w:spacing w:after="0" w:line="227" w:lineRule="auto"/>
        <w:rPr>
          <w:sz w:val="20"/>
          <w:szCs w:val="20"/>
          <w:color w:val="auto"/>
        </w:rPr>
      </w:pPr>
      <w:r>
        <w:rPr>
          <w:rFonts w:ascii="Arial" w:cs="Arial" w:eastAsia="Arial" w:hAnsi="Arial"/>
          <w:sz w:val="18"/>
          <w:szCs w:val="18"/>
          <w:color w:val="auto"/>
        </w:rPr>
        <w:t>Dr. Claus Juan Møller-San Pedro</w:t>
      </w:r>
      <w:r>
        <w:rPr>
          <w:rFonts w:ascii="Arial" w:cs="Arial" w:eastAsia="Arial" w:hAnsi="Arial"/>
          <w:sz w:val="26"/>
          <w:szCs w:val="26"/>
          <w:color w:val="auto"/>
          <w:vertAlign w:val="superscript"/>
        </w:rPr>
        <w:t>(6)</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Bo Kruse</w:t>
      </w:r>
      <w:r>
        <w:rPr>
          <w:rFonts w:ascii="Arial" w:cs="Arial" w:eastAsia="Arial" w:hAnsi="Arial"/>
          <w:sz w:val="26"/>
          <w:szCs w:val="26"/>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-18415</wp:posOffset>
            </wp:positionV>
            <wp:extent cx="4749165"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Philip Herman</w:t>
      </w:r>
    </w:p>
    <w:p>
      <w:pPr>
        <w:spacing w:after="0" w:line="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Dr. Vignesh Rajah</w:t>
      </w:r>
      <w:r>
        <w:rPr>
          <w:rFonts w:ascii="Arial" w:cs="Arial" w:eastAsia="Arial" w:hAnsi="Arial"/>
          <w:sz w:val="26"/>
          <w:szCs w:val="26"/>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8"/>
          <w:szCs w:val="18"/>
          <w:color w:val="auto"/>
        </w:rPr>
        <w:t>Johan Wedell-Wedellsborg</w:t>
      </w:r>
      <w:r>
        <w:rPr>
          <w:rFonts w:ascii="Arial" w:cs="Arial" w:eastAsia="Arial" w:hAnsi="Arial"/>
          <w:sz w:val="26"/>
          <w:szCs w:val="26"/>
          <w:color w:val="auto"/>
          <w:vertAlign w:val="superscript"/>
        </w:rPr>
        <w:t>(9)</w:t>
      </w:r>
    </w:p>
    <w:p>
      <w:pPr>
        <w:spacing w:after="0" w:line="2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Laura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4445</wp:posOffset>
            </wp:positionV>
            <wp:extent cx="4749165"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Dr. Gérard Ber</w:t>
      </w:r>
    </w:p>
    <w:p>
      <w:pPr>
        <w:spacing w:after="0" w:line="2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Dr. James I. Healy</w:t>
      </w:r>
      <w:r>
        <w:rPr>
          <w:rFonts w:ascii="Arial" w:cs="Arial" w:eastAsia="Arial" w:hAnsi="Arial"/>
          <w:sz w:val="26"/>
          <w:szCs w:val="26"/>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-10795</wp:posOffset>
            </wp:positionV>
            <wp:extent cx="4749165"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Dr. Ashutosh Tyagi</w:t>
      </w:r>
    </w:p>
    <w:p>
      <w:pPr>
        <w:spacing w:after="0" w:line="47"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David N.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3257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49165" cy="325755"/>
                    </a:xfrm>
                    <a:prstGeom prst="rect">
                      <a:avLst/>
                    </a:prstGeom>
                    <a:noFill/>
                  </pic:spPr>
                </pic:pic>
              </a:graphicData>
            </a:graphic>
          </wp:anchor>
        </w:drawing>
      </w:r>
    </w:p>
    <w:p>
      <w:pPr>
        <w:spacing w:after="0" w:line="30" w:lineRule="exact"/>
        <w:rPr>
          <w:sz w:val="20"/>
          <w:szCs w:val="20"/>
          <w:color w:val="auto"/>
        </w:rPr>
      </w:pPr>
    </w:p>
    <w:p>
      <w:pPr>
        <w:ind w:left="1980" w:hanging="179"/>
        <w:spacing w:after="0" w:line="260" w:lineRule="auto"/>
        <w:rPr>
          <w:sz w:val="20"/>
          <w:szCs w:val="20"/>
          <w:color w:val="auto"/>
        </w:rPr>
      </w:pPr>
      <w:r>
        <w:rPr>
          <w:rFonts w:ascii="Arial" w:cs="Arial" w:eastAsia="Arial" w:hAnsi="Arial"/>
          <w:sz w:val="18"/>
          <w:szCs w:val="18"/>
          <w:color w:val="auto"/>
        </w:rPr>
        <w:t>All Current Named Executive Officers and Directors as a Group (11 persons)</w:t>
      </w:r>
      <w:r>
        <w:rPr>
          <w:rFonts w:ascii="Arial" w:cs="Arial" w:eastAsia="Arial" w:hAnsi="Arial"/>
          <w:sz w:val="26"/>
          <w:szCs w:val="26"/>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106680</wp:posOffset>
            </wp:positionV>
            <wp:extent cx="12344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229"/>
        </w:trPr>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of Shares</w:t>
            </w:r>
          </w:p>
        </w:tc>
      </w:tr>
      <w:tr>
        <w:trPr>
          <w:trHeight w:val="230"/>
        </w:trPr>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Beneficially</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Beneficially</w:t>
            </w:r>
          </w:p>
        </w:tc>
      </w:tr>
      <w:tr>
        <w:trPr>
          <w:trHeight w:val="229"/>
        </w:trPr>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Owned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r>
      <w:tr>
        <w:trPr>
          <w:trHeight w:val="26"/>
        </w:trPr>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520"/>
        </w:trPr>
        <w:tc>
          <w:tcPr>
            <w:tcW w:w="820" w:type="dxa"/>
            <w:vAlign w:val="bottom"/>
          </w:tcPr>
          <w:p>
            <w:pPr>
              <w:jc w:val="right"/>
              <w:spacing w:after="0"/>
              <w:rPr>
                <w:sz w:val="20"/>
                <w:szCs w:val="20"/>
                <w:color w:val="auto"/>
              </w:rPr>
            </w:pPr>
            <w:r>
              <w:rPr>
                <w:rFonts w:ascii="Arial" w:cs="Arial" w:eastAsia="Arial" w:hAnsi="Arial"/>
                <w:sz w:val="18"/>
                <w:szCs w:val="18"/>
                <w:color w:val="auto"/>
                <w:w w:val="99"/>
              </w:rPr>
              <w:t>4,478,465</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6"/>
          <w:szCs w:val="16"/>
          <w:color w:val="auto"/>
        </w:rPr>
        <w:t>2,439,809</w:t>
      </w:r>
      <w:r>
        <w:rPr>
          <w:sz w:val="20"/>
          <w:szCs w:val="20"/>
          <w:color w:val="auto"/>
        </w:rPr>
        <w:tab/>
      </w:r>
      <w:r>
        <w:rPr>
          <w:rFonts w:ascii="Arial" w:cs="Arial" w:eastAsia="Arial" w:hAnsi="Arial"/>
          <w:sz w:val="16"/>
          <w:szCs w:val="16"/>
          <w:color w:val="auto"/>
        </w:rPr>
        <w:t>5.60%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6"/>
          <w:szCs w:val="16"/>
          <w:color w:val="auto"/>
        </w:rPr>
        <w:t>2,418,580</w:t>
      </w:r>
      <w:r>
        <w:rPr>
          <w:sz w:val="20"/>
          <w:szCs w:val="20"/>
          <w:color w:val="auto"/>
        </w:rPr>
        <w:tab/>
      </w:r>
      <w:r>
        <w:rPr>
          <w:rFonts w:ascii="Arial" w:cs="Arial" w:eastAsia="Arial" w:hAnsi="Arial"/>
          <w:sz w:val="16"/>
          <w:szCs w:val="16"/>
          <w:color w:val="auto"/>
        </w:rPr>
        <w:t>5.55%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6"/>
          <w:szCs w:val="16"/>
          <w:color w:val="auto"/>
        </w:rPr>
        <w:t>2,194,278</w:t>
      </w:r>
      <w:r>
        <w:rPr>
          <w:sz w:val="20"/>
          <w:szCs w:val="20"/>
          <w:color w:val="auto"/>
        </w:rPr>
        <w:tab/>
      </w:r>
      <w:r>
        <w:rPr>
          <w:rFonts w:ascii="Arial" w:cs="Arial" w:eastAsia="Arial" w:hAnsi="Arial"/>
          <w:sz w:val="16"/>
          <w:szCs w:val="16"/>
          <w:color w:val="auto"/>
        </w:rPr>
        <w:t>5.04%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6"/>
          <w:szCs w:val="16"/>
          <w:color w:val="auto"/>
        </w:rPr>
        <w:t>2,281,290</w:t>
      </w:r>
      <w:r>
        <w:rPr>
          <w:sz w:val="20"/>
          <w:szCs w:val="20"/>
          <w:color w:val="auto"/>
        </w:rPr>
        <w:tab/>
      </w:r>
      <w:r>
        <w:rPr>
          <w:rFonts w:ascii="Arial" w:cs="Arial" w:eastAsia="Arial" w:hAnsi="Arial"/>
          <w:sz w:val="16"/>
          <w:szCs w:val="16"/>
          <w:color w:val="auto"/>
        </w:rPr>
        <w:t>5.24%</w:t>
      </w:r>
    </w:p>
    <w:p>
      <w:pPr>
        <w:spacing w:after="0" w:line="100"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6"/>
          <w:szCs w:val="16"/>
          <w:color w:val="auto"/>
        </w:rPr>
        <w:t>1,656,729</w:t>
      </w:r>
      <w:r>
        <w:rPr>
          <w:sz w:val="20"/>
          <w:szCs w:val="20"/>
          <w:color w:val="auto"/>
        </w:rPr>
        <w:tab/>
      </w:r>
      <w:r>
        <w:rPr>
          <w:rFonts w:ascii="Arial" w:cs="Arial" w:eastAsia="Arial" w:hAnsi="Arial"/>
          <w:sz w:val="16"/>
          <w:szCs w:val="16"/>
          <w:color w:val="auto"/>
        </w:rPr>
        <w:t>3.80%</w:t>
      </w:r>
    </w:p>
    <w:p>
      <w:pPr>
        <w:spacing w:after="0" w:line="100" w:lineRule="exact"/>
        <w:rPr>
          <w:sz w:val="20"/>
          <w:szCs w:val="20"/>
          <w:color w:val="auto"/>
        </w:rPr>
      </w:pPr>
    </w:p>
    <w:p>
      <w:pPr>
        <w:jc w:val="both"/>
        <w:ind w:left="240"/>
        <w:spacing w:after="0"/>
        <w:tabs>
          <w:tab w:leader="none" w:pos="1260" w:val="left"/>
        </w:tabs>
        <w:rPr>
          <w:sz w:val="20"/>
          <w:szCs w:val="20"/>
          <w:color w:val="auto"/>
        </w:rPr>
      </w:pPr>
      <w:r>
        <w:rPr>
          <w:rFonts w:ascii="Arial" w:cs="Arial" w:eastAsia="Arial" w:hAnsi="Arial"/>
          <w:sz w:val="18"/>
          <w:szCs w:val="18"/>
          <w:color w:val="auto"/>
        </w:rPr>
        <w:t>870,169</w:t>
      </w:r>
      <w:r>
        <w:rPr>
          <w:sz w:val="20"/>
          <w:szCs w:val="20"/>
          <w:color w:val="auto"/>
        </w:rPr>
        <w:tab/>
      </w:r>
      <w:r>
        <w:rPr>
          <w:rFonts w:ascii="Arial" w:cs="Arial" w:eastAsia="Arial" w:hAnsi="Arial"/>
          <w:sz w:val="18"/>
          <w:szCs w:val="18"/>
          <w:color w:val="auto"/>
        </w:rPr>
        <w:t>2.00%</w:t>
      </w:r>
    </w:p>
    <w:p>
      <w:pPr>
        <w:spacing w:after="0" w:line="63" w:lineRule="exact"/>
        <w:rPr>
          <w:sz w:val="20"/>
          <w:szCs w:val="20"/>
          <w:color w:val="auto"/>
        </w:rPr>
      </w:pPr>
    </w:p>
    <w:p>
      <w:pPr>
        <w:ind w:left="320"/>
        <w:spacing w:after="0"/>
        <w:tabs>
          <w:tab w:leader="none" w:pos="1480" w:val="left"/>
        </w:tabs>
        <w:rPr>
          <w:sz w:val="20"/>
          <w:szCs w:val="20"/>
          <w:color w:val="auto"/>
        </w:rPr>
      </w:pPr>
      <w:r>
        <w:rPr>
          <w:rFonts w:ascii="Arial" w:cs="Arial" w:eastAsia="Arial" w:hAnsi="Arial"/>
          <w:sz w:val="18"/>
          <w:szCs w:val="18"/>
          <w:color w:val="auto"/>
        </w:rPr>
        <w:t>30,832</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ind w:left="420"/>
        <w:spacing w:after="0"/>
        <w:tabs>
          <w:tab w:leader="none" w:pos="1480" w:val="left"/>
        </w:tabs>
        <w:rPr>
          <w:sz w:val="20"/>
          <w:szCs w:val="20"/>
          <w:color w:val="auto"/>
        </w:rPr>
      </w:pPr>
      <w:r>
        <w:rPr>
          <w:rFonts w:ascii="Arial" w:cs="Arial" w:eastAsia="Arial" w:hAnsi="Arial"/>
          <w:sz w:val="18"/>
          <w:szCs w:val="18"/>
          <w:color w:val="auto"/>
        </w:rPr>
        <w:t>1,697</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ind w:left="100"/>
        <w:spacing w:after="0"/>
        <w:tabs>
          <w:tab w:leader="none" w:pos="1160" w:val="left"/>
        </w:tabs>
        <w:rPr>
          <w:sz w:val="20"/>
          <w:szCs w:val="20"/>
          <w:color w:val="auto"/>
        </w:rPr>
      </w:pPr>
      <w:r>
        <w:rPr>
          <w:rFonts w:ascii="Arial" w:cs="Arial" w:eastAsia="Arial" w:hAnsi="Arial"/>
          <w:sz w:val="16"/>
          <w:szCs w:val="16"/>
          <w:color w:val="auto"/>
        </w:rPr>
        <w:t>4,577,131</w:t>
      </w:r>
      <w:r>
        <w:rPr>
          <w:sz w:val="20"/>
          <w:szCs w:val="20"/>
          <w:color w:val="auto"/>
        </w:rPr>
        <w:tab/>
      </w:r>
      <w:r>
        <w:rPr>
          <w:rFonts w:ascii="Arial" w:cs="Arial" w:eastAsia="Arial" w:hAnsi="Arial"/>
          <w:sz w:val="16"/>
          <w:szCs w:val="16"/>
          <w:color w:val="auto"/>
        </w:rPr>
        <w:t>10.51%</w:t>
      </w:r>
    </w:p>
    <w:p>
      <w:pPr>
        <w:spacing w:after="0" w:line="86" w:lineRule="exact"/>
        <w:rPr>
          <w:sz w:val="20"/>
          <w:szCs w:val="20"/>
          <w:color w:val="auto"/>
        </w:rPr>
      </w:pPr>
    </w:p>
    <w:p>
      <w:pPr>
        <w:ind w:left="420"/>
        <w:spacing w:after="0"/>
        <w:tabs>
          <w:tab w:leader="none" w:pos="1480" w:val="left"/>
        </w:tabs>
        <w:rPr>
          <w:sz w:val="20"/>
          <w:szCs w:val="20"/>
          <w:color w:val="auto"/>
        </w:rPr>
      </w:pPr>
      <w:r>
        <w:rPr>
          <w:rFonts w:ascii="Arial" w:cs="Arial" w:eastAsia="Arial" w:hAnsi="Arial"/>
          <w:sz w:val="18"/>
          <w:szCs w:val="18"/>
          <w:color w:val="auto"/>
        </w:rPr>
        <w:t>9,777</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320"/>
        <w:spacing w:after="0"/>
        <w:tabs>
          <w:tab w:leader="none" w:pos="1480" w:val="left"/>
        </w:tabs>
        <w:rPr>
          <w:sz w:val="20"/>
          <w:szCs w:val="20"/>
          <w:color w:val="auto"/>
        </w:rPr>
      </w:pPr>
      <w:r>
        <w:rPr>
          <w:rFonts w:ascii="Arial" w:cs="Arial" w:eastAsia="Arial" w:hAnsi="Arial"/>
          <w:sz w:val="18"/>
          <w:szCs w:val="18"/>
          <w:color w:val="auto"/>
        </w:rPr>
        <w:t>56,443</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6"/>
          <w:szCs w:val="16"/>
          <w:color w:val="auto"/>
        </w:rPr>
        <w:t>2,256,944</w:t>
      </w:r>
      <w:r>
        <w:rPr>
          <w:sz w:val="20"/>
          <w:szCs w:val="20"/>
          <w:color w:val="auto"/>
        </w:rPr>
        <w:tab/>
      </w:r>
      <w:r>
        <w:rPr>
          <w:rFonts w:ascii="Arial" w:cs="Arial" w:eastAsia="Arial" w:hAnsi="Arial"/>
          <w:sz w:val="16"/>
          <w:szCs w:val="16"/>
          <w:color w:val="auto"/>
        </w:rPr>
        <w:t>5.18%</w:t>
      </w:r>
    </w:p>
    <w:p>
      <w:pPr>
        <w:spacing w:after="0" w:line="86" w:lineRule="exact"/>
        <w:rPr>
          <w:sz w:val="20"/>
          <w:szCs w:val="20"/>
          <w:color w:val="auto"/>
        </w:rPr>
      </w:pPr>
    </w:p>
    <w:p>
      <w:pPr>
        <w:ind w:left="320"/>
        <w:spacing w:after="0"/>
        <w:tabs>
          <w:tab w:leader="none" w:pos="1480" w:val="left"/>
        </w:tabs>
        <w:rPr>
          <w:sz w:val="20"/>
          <w:szCs w:val="20"/>
          <w:color w:val="auto"/>
        </w:rPr>
      </w:pPr>
      <w:r>
        <w:rPr>
          <w:rFonts w:ascii="Arial" w:cs="Arial" w:eastAsia="Arial" w:hAnsi="Arial"/>
          <w:sz w:val="18"/>
          <w:szCs w:val="18"/>
          <w:color w:val="auto"/>
        </w:rPr>
        <w:t>40,443</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320"/>
        <w:spacing w:after="0"/>
        <w:tabs>
          <w:tab w:leader="none" w:pos="1480" w:val="left"/>
        </w:tabs>
        <w:rPr>
          <w:sz w:val="20"/>
          <w:szCs w:val="20"/>
          <w:color w:val="auto"/>
        </w:rPr>
      </w:pPr>
      <w:r>
        <w:rPr>
          <w:rFonts w:ascii="Arial" w:cs="Arial" w:eastAsia="Arial" w:hAnsi="Arial"/>
          <w:sz w:val="18"/>
          <w:szCs w:val="18"/>
          <w:color w:val="auto"/>
        </w:rPr>
        <w:t>54,666</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6"/>
          <w:szCs w:val="16"/>
          <w:color w:val="auto"/>
        </w:rPr>
        <w:t>11,881,783</w:t>
      </w:r>
      <w:r>
        <w:rPr>
          <w:sz w:val="20"/>
          <w:szCs w:val="20"/>
          <w:color w:val="auto"/>
        </w:rPr>
        <w:tab/>
      </w:r>
      <w:r>
        <w:rPr>
          <w:rFonts w:ascii="Arial" w:cs="Arial" w:eastAsia="Arial" w:hAnsi="Arial"/>
          <w:sz w:val="16"/>
          <w:szCs w:val="16"/>
          <w:color w:val="auto"/>
        </w:rPr>
        <w:t>27.28%</w:t>
      </w:r>
    </w:p>
    <w:p>
      <w:pPr>
        <w:spacing w:after="0" w:line="334" w:lineRule="exact"/>
        <w:rPr>
          <w:sz w:val="20"/>
          <w:szCs w:val="20"/>
          <w:color w:val="auto"/>
        </w:rPr>
      </w:pPr>
    </w:p>
    <w:p>
      <w:pPr>
        <w:sectPr>
          <w:pgSz w:w="11900" w:h="16838" w:orient="portrait"/>
          <w:cols w:equalWidth="0" w:num="2">
            <w:col w:w="6940" w:space="420"/>
            <w:col w:w="2519"/>
          </w:cols>
          <w:pgMar w:left="580" w:top="132" w:right="1440" w:bottom="1440" w:gutter="0" w:footer="0" w:header="0"/>
        </w:sectPr>
      </w:pPr>
    </w:p>
    <w:p>
      <w:pPr>
        <w:spacing w:after="0" w:line="116" w:lineRule="exact"/>
        <w:rPr>
          <w:sz w:val="20"/>
          <w:szCs w:val="20"/>
          <w:color w:val="auto"/>
        </w:rPr>
      </w:pPr>
    </w:p>
    <w:p>
      <w:pPr>
        <w:ind w:left="1620" w:right="699" w:hanging="360"/>
        <w:spacing w:after="0" w:line="277" w:lineRule="auto"/>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(1%) of our outstanding shares of common stock.</w:t>
      </w:r>
    </w:p>
    <w:p>
      <w:pPr>
        <w:spacing w:after="0" w:line="22" w:lineRule="exact"/>
        <w:rPr>
          <w:sz w:val="20"/>
          <w:szCs w:val="20"/>
          <w:color w:val="auto"/>
        </w:rPr>
      </w:pPr>
    </w:p>
    <w:p>
      <w:pPr>
        <w:ind w:left="1620" w:right="599" w:hanging="360"/>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Johan Wedell-Wedellsborg is the majority owner of WG Biotech ApS and as such has sole voting and dispositive power with respect to such shares.</w:t>
      </w:r>
    </w:p>
    <w:p>
      <w:pPr>
        <w:spacing w:after="0" w:line="35" w:lineRule="exact"/>
        <w:rPr>
          <w:rFonts w:ascii="Arial" w:cs="Arial" w:eastAsia="Arial" w:hAnsi="Arial"/>
          <w:sz w:val="18"/>
          <w:szCs w:val="18"/>
          <w:color w:val="auto"/>
        </w:rPr>
      </w:pPr>
    </w:p>
    <w:p>
      <w:pPr>
        <w:ind w:left="1620" w:right="639" w:hanging="360"/>
        <w:spacing w:after="0" w:line="275" w:lineRule="auto"/>
        <w:tabs>
          <w:tab w:leader="none" w:pos="1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amounts shown and the following information were provided by Wellington Management Group LLP (“Wellington “), pursuant to a Schedule 13G/A filed with the SEC on February 4, 2021. Welllington reports that it has shared voting power over 2,267,606 of these shares and shared dispositive power over 2,418,580 shares. The shares are owned of record by clients of one or more investment advisers directly or indirectly owned by Wellington Management Group LLP.</w:t>
      </w:r>
    </w:p>
    <w:p>
      <w:pPr>
        <w:sectPr>
          <w:pgSz w:w="11900" w:h="16838" w:orient="portrait"/>
          <w:cols w:equalWidth="0" w:num="1">
            <w:col w:w="9879"/>
          </w:cols>
          <w:pgMar w:left="580" w:top="132" w:right="1440" w:bottom="1440" w:gutter="0" w:footer="0" w:header="0"/>
          <w:type w:val="continuous"/>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19" w:hanging="360"/>
        <w:spacing w:after="0" w:line="286" w:lineRule="auto"/>
        <w:tabs>
          <w:tab w:leader="none" w:pos="1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amounts shown and the following information were provided by BlackRock, Inc. (“BlackRock”) pursuant to a Schedule G filed with the SEC on February 2, 2021. BlackRock reports that it has sole voting power over 2,382,435 of these shares and sole dispositive power over 2,418,580 shares.</w:t>
      </w:r>
    </w:p>
    <w:p>
      <w:pPr>
        <w:spacing w:after="0" w:line="16" w:lineRule="exact"/>
        <w:rPr>
          <w:rFonts w:ascii="Arial" w:cs="Arial" w:eastAsia="Arial" w:hAnsi="Arial"/>
          <w:sz w:val="17"/>
          <w:szCs w:val="17"/>
          <w:color w:val="auto"/>
        </w:rPr>
      </w:pPr>
    </w:p>
    <w:p>
      <w:pPr>
        <w:jc w:val="both"/>
        <w:ind w:left="1620" w:right="479" w:hanging="360"/>
        <w:spacing w:after="0" w:line="263"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voting and investment control of the shares owned by Sofinnova Venture Partners X, L.P. are held by Maha Katabi, Ph.D., CFA, Dr. James I. Healy and Michael F. Powell, Ph.D., the managing members of Sofinnova Management X, L.L.C., the General Partner of Sofinnova.</w:t>
      </w:r>
    </w:p>
    <w:p>
      <w:pPr>
        <w:spacing w:after="0" w:line="35" w:lineRule="exact"/>
        <w:rPr>
          <w:rFonts w:ascii="Arial" w:cs="Arial" w:eastAsia="Arial" w:hAnsi="Arial"/>
          <w:sz w:val="18"/>
          <w:szCs w:val="18"/>
          <w:color w:val="auto"/>
        </w:rPr>
      </w:pPr>
    </w:p>
    <w:p>
      <w:pPr>
        <w:ind w:left="1620" w:right="559" w:hanging="360"/>
        <w:spacing w:after="0" w:line="279" w:lineRule="auto"/>
        <w:tabs>
          <w:tab w:leader="none" w:pos="1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Includes (i) 1,621,927 shares of common stock owned by GAD Enterprises LLC, of which Mr. Gad is the sole member and manager and as such Mr. Gad has sole voting and dispositive power with respect to such shares, and (ii) 659,363 shares of common stock underlying options that are exercisable as of April 1, 2020 or will become exercisable within 60 days after such date.</w:t>
      </w:r>
    </w:p>
    <w:p>
      <w:pPr>
        <w:spacing w:after="0" w:line="36" w:lineRule="exact"/>
        <w:rPr>
          <w:rFonts w:ascii="Arial" w:cs="Arial" w:eastAsia="Arial" w:hAnsi="Arial"/>
          <w:sz w:val="17"/>
          <w:szCs w:val="17"/>
          <w:color w:val="auto"/>
        </w:rPr>
      </w:pPr>
    </w:p>
    <w:p>
      <w:pPr>
        <w:ind w:left="1620" w:right="559" w:hanging="360"/>
        <w:spacing w:after="0" w:line="25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(i) 607,303 shares of common stock owned by CM Holding 2015 ApS, Dr. Møller’s personal holding company of which Dr. Møller is the sole owner and as such Dr. Møller has sole voting and dispositive power with respect to such shares, (ii) 15,625 shares of common stock owned directly by Dr. Møller and (iii) 1,033,801 shares of common stock underlying options that are exercisable as of April 1, 2020 or will become exercisable within 60 days after such date.</w:t>
      </w:r>
    </w:p>
    <w:p>
      <w:pPr>
        <w:spacing w:after="0" w:line="39" w:lineRule="exact"/>
        <w:rPr>
          <w:rFonts w:ascii="Arial" w:cs="Arial" w:eastAsia="Arial" w:hAnsi="Arial"/>
          <w:sz w:val="18"/>
          <w:szCs w:val="18"/>
          <w:color w:val="auto"/>
        </w:rPr>
      </w:pPr>
    </w:p>
    <w:p>
      <w:pPr>
        <w:jc w:val="both"/>
        <w:ind w:left="1620" w:right="639" w:hanging="360"/>
        <w:spacing w:after="0" w:line="263"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(i) 257,077 shares of common stock owned directly by Mr. Kruse and (ii) 613,092 shares of common stock underlying options that are exercisable as of April 1, 2020 or will become exercisable within 60 days after such date.</w:t>
      </w:r>
    </w:p>
    <w:p>
      <w:pPr>
        <w:spacing w:after="0" w:line="35" w:lineRule="exact"/>
        <w:rPr>
          <w:rFonts w:ascii="Arial" w:cs="Arial" w:eastAsia="Arial" w:hAnsi="Arial"/>
          <w:sz w:val="18"/>
          <w:szCs w:val="18"/>
          <w:color w:val="auto"/>
        </w:rPr>
      </w:pPr>
    </w:p>
    <w:p>
      <w:pPr>
        <w:ind w:left="1620" w:right="879" w:hanging="360"/>
        <w:spacing w:after="0" w:line="27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1,464 shares of common stock owned by Dr. Rajah’s spouse and 233 held by Dr. Rajah’s minor child.</w:t>
      </w:r>
    </w:p>
    <w:p>
      <w:pPr>
        <w:spacing w:after="0" w:line="35" w:lineRule="exact"/>
        <w:rPr>
          <w:rFonts w:ascii="Arial" w:cs="Arial" w:eastAsia="Arial" w:hAnsi="Arial"/>
          <w:sz w:val="18"/>
          <w:szCs w:val="18"/>
          <w:color w:val="auto"/>
        </w:rPr>
      </w:pPr>
    </w:p>
    <w:p>
      <w:pPr>
        <w:ind w:left="1620" w:right="699" w:hanging="360"/>
        <w:spacing w:after="0" w:line="259"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(i) 4,478,465 shares of common stock owned by WG Biotech ApS in which Mr. Wedell-Wedellsborg is the majority owner and as such has sole voting and dispositive power with respect to such shares and (ii) 98,666 shares of common stock underlying options that are exercisable as of April 1, 2020 or will become exercisable within 60 days after such date.</w:t>
      </w:r>
    </w:p>
    <w:p>
      <w:pPr>
        <w:spacing w:after="0" w:line="38" w:lineRule="exact"/>
        <w:rPr>
          <w:rFonts w:ascii="Arial" w:cs="Arial" w:eastAsia="Arial" w:hAnsi="Arial"/>
          <w:sz w:val="18"/>
          <w:szCs w:val="18"/>
          <w:color w:val="auto"/>
        </w:rPr>
      </w:pPr>
    </w:p>
    <w:p>
      <w:pPr>
        <w:ind w:left="1620" w:right="679" w:hanging="360"/>
        <w:spacing w:after="0" w:line="25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indicated in footnote 4 above, includes 2,194,278 shares of common stock owned by Sofinnova Venture Partners X, L.P. Dr. Healy is a managing member of Sofinnova Management X, L.L.C., the General Partner of Sofinnova Venture Partners X, L.P., and as such has voting and dispositive power over such shares with Maha Katabi, Ph.D., CFA and Michael F. Powell, Ph.D., the other managing members of Sofinnova Management X, L.L.C.</w:t>
      </w:r>
    </w:p>
    <w:p>
      <w:pPr>
        <w:spacing w:after="0" w:line="120" w:lineRule="exact"/>
        <w:rPr>
          <w:rFonts w:ascii="Arial" w:cs="Arial" w:eastAsia="Arial" w:hAnsi="Arial"/>
          <w:sz w:val="18"/>
          <w:szCs w:val="18"/>
          <w:color w:val="auto"/>
        </w:rPr>
      </w:pPr>
    </w:p>
    <w:p>
      <w:pPr>
        <w:ind w:left="1620" w:right="499" w:hanging="360"/>
        <w:spacing w:after="0" w:line="263"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2,939,496 shares of common stock underlying options that are exercisable as of April 1, 2020 or will become exercisable within 60 days after such date. Also includes 45,662 shares of common stock owned by one executive officer not named in the above table.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Delinquent Section 16(a) Reports</w:t>
      </w:r>
    </w:p>
    <w:p>
      <w:pPr>
        <w:spacing w:after="0" w:line="148"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Section 16(a) of the Exchange Act requires our directors, executive officers and 10% stockholders to file reports of ownership of our equity securities with the SEC. We routinely assist our officers and directors in preparing and filing these reports. To our knowledge, based on a review of the copies of such forms in our possession and on written representations from reporting persons, we believe that for the year ended December 31, 2020, all reporting persons filed the required reports on a timely basis under Section 16(a), with the exception of (i) the sale of 4,000 shares by Thomas Gad, our Founder, Chairman, President, Head of Business Development and Strategy and Director on July 1, 2020 reported on July 6, 2020 and (ii) the exercise of 13,860 options and sale of 13,860 shares by Thomas Gad on September 10, 2020 reported on September 15, 2020. Both reports were filed one day late due to technical errors. Also, the purchase of</w:t>
      </w:r>
    </w:p>
    <w:p>
      <w:pPr>
        <w:spacing w:after="0" w:line="1" w:lineRule="exact"/>
        <w:rPr>
          <w:sz w:val="20"/>
          <w:szCs w:val="20"/>
          <w:color w:val="auto"/>
        </w:rPr>
      </w:pPr>
    </w:p>
    <w:p>
      <w:pPr>
        <w:ind w:left="1260" w:right="519"/>
        <w:spacing w:after="0" w:line="255" w:lineRule="auto"/>
        <w:rPr>
          <w:sz w:val="20"/>
          <w:szCs w:val="20"/>
          <w:color w:val="auto"/>
        </w:rPr>
      </w:pPr>
      <w:r>
        <w:rPr>
          <w:rFonts w:ascii="Arial" w:cs="Arial" w:eastAsia="Arial" w:hAnsi="Arial"/>
          <w:sz w:val="18"/>
          <w:szCs w:val="18"/>
          <w:color w:val="auto"/>
        </w:rPr>
        <w:t>1,464 shares by the spouse of our Senior Vice President and Chief Medical Officer, Dr. Vignesh Rajah on November 17, 2020 which was reported on December 4, 2020, was reported fifteen (15) days late due to an administrative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STOCKHOLDER PROPOSALS FOR OUR 2022 ANNUAL MEETING</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Stockholder Proposals to be Included in Proxy Statement</w:t>
      </w:r>
    </w:p>
    <w:p>
      <w:pPr>
        <w:spacing w:after="0" w:line="144"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Pursuant to Rule 14a-8 of the Exchange Act, any stockholder who desires to include a proposal in the proxy statement and form of proxy for our 2022 annual meeting of stockholders must deliver the proposal to our principal executive offices no later than December 29, 2021, which is 120 days prior to the first anniversary of the mailing date of this proxy, unless the date of the 2022 annual meeting of stockholders is changed by more than 30 days from the anniversary of our 2021 Annual Meeting, in which case, the deadline for such proposals will be a reasonable time before we begin to print and send our proxy materials. Upon receipt of any such proposal, we will determine whether or not to include such proposal in the proxy statement and proxy card in accordance with regulations governing the solicitation of proxies.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Stockholder Proposals Not Included in Proxy Statement</w:t>
      </w:r>
    </w:p>
    <w:p>
      <w:pPr>
        <w:spacing w:after="0" w:line="158"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In addition, our amended and restated by-laws establish an advance notice procedure for nominations for election to our Board of Directors and other matters that stockholders wish to present for action at an annual meeting other than those to be included in our proxy statement. In general, we must receive other proposals of stockholders (including director nominations) intended to be presented at the 2022 annual meeting of stockholders but not included in the proxy statement by March 11, 2022, but not before February 9, 2022, which is not less than 90 days nor more than 120 days prior to the anniversary date of the annual meeting immediately preceding such annual meeting. However, if the date of such annual meeting is more than 30 days before or more than 60 days after such anniversary date, notice must be received no earlier than the close of business 120 calendar days prior to such annual meeting and no later than the close of business on the later of 90 days prior to such annual meeting and 10 days following the day on which notice of the date of such annual meeting was mailed or public announcement of the date of such annual meeting was first made. If the stockholder fails to give notice by these dates, then the persons named as proxies in the proxies solicited by our Board of Directors for the 2022 annual meeting of stockholders may exercise discretionary voting power regarding any such proposal. Stockholders are advised to review our by-laws which also specify requirements as to the form and content of a stockholder’s notice.</w:t>
      </w:r>
    </w:p>
    <w:p>
      <w:pPr>
        <w:spacing w:after="0" w:line="114" w:lineRule="exact"/>
        <w:rPr>
          <w:sz w:val="20"/>
          <w:szCs w:val="20"/>
          <w:color w:val="auto"/>
        </w:rPr>
      </w:pPr>
    </w:p>
    <w:p>
      <w:pPr>
        <w:ind w:left="1260" w:right="719" w:firstLine="360"/>
        <w:spacing w:after="0" w:line="308" w:lineRule="auto"/>
        <w:rPr>
          <w:sz w:val="20"/>
          <w:szCs w:val="20"/>
          <w:color w:val="auto"/>
        </w:rPr>
      </w:pPr>
      <w:r>
        <w:rPr>
          <w:rFonts w:ascii="Arial" w:cs="Arial" w:eastAsia="Arial" w:hAnsi="Arial"/>
          <w:sz w:val="17"/>
          <w:szCs w:val="17"/>
          <w:color w:val="auto"/>
        </w:rPr>
        <w:t>Any proposals, notices or information about proposed director candidates should be sent to Y-mAbs Therapeutics, Inc., Attention: Secretary, 230 Park Avenue, Suite 3350, New York, New York 10169.</w:t>
      </w:r>
    </w:p>
    <w:p>
      <w:pPr>
        <w:spacing w:after="0" w:line="65"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As noted above, any stockholder who intends to present a proposal at our 2022 annual meeting of stockholders may do so by following the procedures set forth in Rule 14a-8 under the Exchange Act. Pursuant to such rule, a stockholder must have continuously held for at least one (1) year prior to the submission of the proposal (and continue to hold through the date of the meeting) at least $2,000 in market value, or 1%, of our outstanding stock in order to submit a proposal for inclusion in our proxy materials. Subject to SEC rules, we reserve the right to vote against, reject, rule out of order, or take other appropriate action with respect to any proposal that does not comply with these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OTHER MATTERS</w:t>
      </w:r>
    </w:p>
    <w:p>
      <w:pPr>
        <w:spacing w:after="0" w:line="14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meeting, as seems to them to be in the best interest of our company and our stockholders.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and Access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are providing access to our proxy materials online under the SEC’s “notice and access” rules. As a result, we are mailing to many of our stockholders a notice instead of a paper copy of this proxy statement and our Annual Report. The notice contains instructions on how to access documents online. The notice also contains instructions on how stockholders can receive a paper copy of our materials, including this proxy statement, our Annual Report, and a form of proxy card or voting instruction card. Those who do not receive a notice, including stockholders who have previously requested to receive paper copies of proxy materials, will receive a paper copy by mail unless they have previously requested delivery of materials electronically.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162"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Some brokers and other nominee record holders may be “householding” our proxy materials. This means a single notice and, if applicable, the proxy materials, will be delivered to multiple stockholders sharing an address unless contrary instructions have been received. We will promptly deliver a separate copy of the notice and, if applicable, the proxy materials and our 2020 annual report to stockholders, which consists of our Annual Report on Form 10-K for the fiscal year ended December 31, 2020, to you if you write or call us at Y-mAbs Therapeutics, Inc., Attention: Secretary, 230 Park Avenue, Suite 3350, New York, New York 10169, Telephone No. (646) 885-8505. If you would like to receive separate copies of our proxy materials and annual reports in the future, or if you are receiving multiple copies and would like to receive only one copy for your household, you should contact your bank, broker, or other nominee record holder, or you may contact us at the above address and telephone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Report on Form 10-K</w:t>
      </w:r>
    </w:p>
    <w:p>
      <w:pPr>
        <w:spacing w:after="0" w:line="14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 xml:space="preserve">You may obtain copies of our Annual Report on Form 10-K for the fiscal year ended December 31, 2020, without charge by writing to the Secretary, Y-mAbs Therapeutics, Inc., 230 Park Avenue, Suite 3350, New York, New York 10169. You can also find our Annual Report on our website at </w:t>
      </w:r>
      <w:r>
        <w:rPr>
          <w:rFonts w:ascii="Arial" w:cs="Arial" w:eastAsia="Arial" w:hAnsi="Arial"/>
          <w:sz w:val="18"/>
          <w:szCs w:val="18"/>
          <w:i w:val="1"/>
          <w:iCs w:val="1"/>
          <w:color w:val="auto"/>
        </w:rPr>
        <w:t>https://ir.ymabs.com/financial-information/annual-reports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168910</wp:posOffset>
            </wp:positionV>
            <wp:extent cx="6831965" cy="85940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85940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831965" cy="8525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852551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831965" cy="85769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8576945"/>
                    </a:xfrm>
                    <a:prstGeom prst="rect">
                      <a:avLst/>
                    </a:prstGeom>
                    <a:noFill/>
                  </pic:spPr>
                </pic:pic>
              </a:graphicData>
            </a:graphic>
          </wp:anchor>
        </w:drawing>
      </w:r>
    </w:p>
    <w:sectPr>
      <w:pgSz w:w="11900" w:h="16838" w:orient="portrait"/>
      <w:cols w:equalWidth="0" w:num="1">
        <w:col w:w="9879"/>
      </w:cols>
      <w:pgMar w:left="58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lvl w:ilvl="1">
      <w:lvlJc w:val="left"/>
      <w:lvlText w:val="(%2)"/>
      <w:numFmt w:val="decimal"/>
      <w:start w:val="1"/>
    </w:lvl>
  </w:abstractNum>
  <w:abstractNum w:abstractNumId="2">
    <w:nsid w:val="79838CB2"/>
    <w:multiLevelType w:val="hybridMultilevel"/>
    <w:lvl w:ilvl="0">
      <w:lvlJc w:val="left"/>
      <w:lvlText w:val="(%1)"/>
      <w:numFmt w:val="decimal"/>
      <w:start w:val="4"/>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3"/>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decimal"/>
      <w:start w:val="4"/>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3"/>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6"/>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3"/>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3"/>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2"/>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2021-04-28T06:33:41Z</dcterms:created>
  <dcterms:modified xsi:type="dcterms:W3CDTF">2021-04-28T06:33:41Z</dcterms:modified>
</cp:coreProperties>
</file>