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311785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346075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SCHEDULE 14A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Proxy Statement Pursuant to Section 14(a) of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the Securities Exchange Act of 1934 (Amendment No.             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  <w:highlight w:val="black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  <w:highlight w:val="black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§240.14a-12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Y-MABS THERAPEUTICS,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20320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146050</wp:posOffset>
            </wp:positionV>
            <wp:extent cx="713232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3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(Name of Person(s) Filing Proxy Statement, if other than the Registrant)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the appropriate box):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materials.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149225</wp:posOffset>
            </wp:positionV>
            <wp:extent cx="71323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174625</wp:posOffset>
            </wp:positionV>
            <wp:extent cx="713232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620395</wp:posOffset>
            </wp:positionV>
            <wp:extent cx="713232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78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448945</wp:posOffset>
            </wp:positionV>
            <wp:extent cx="7132320" cy="888936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89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2023-04-28T08:18:50Z</dcterms:created>
  <dcterms:modified xsi:type="dcterms:W3CDTF">2023-04-28T08:18:50Z</dcterms:modified>
</cp:coreProperties>
</file>