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125095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1"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8"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40"/>
        <w:spacing w:after="0"/>
        <w:tabs>
          <w:tab w:leader="none" w:pos="55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3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47-4619612</w:t>
      </w:r>
    </w:p>
    <w:p>
      <w:pPr>
        <w:spacing w:after="0" w:line="138" w:lineRule="exact"/>
        <w:rPr>
          <w:sz w:val="24"/>
          <w:szCs w:val="24"/>
          <w:color w:val="auto"/>
        </w:rPr>
      </w:pPr>
    </w:p>
    <w:p>
      <w:pPr>
        <w:sectPr>
          <w:pgSz w:w="11900" w:h="16838" w:orient="portrait"/>
          <w:cols w:equalWidth="0" w:num="2">
            <w:col w:w="5700" w:space="720"/>
            <w:col w:w="2599"/>
          </w:cols>
          <w:pgMar w:left="1440" w:top="661"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51" w:lineRule="exact"/>
        <w:rPr>
          <w:sz w:val="24"/>
          <w:szCs w:val="24"/>
          <w:color w:val="auto"/>
        </w:rPr>
      </w:pPr>
    </w:p>
    <w:p>
      <w:pPr>
        <w:sectPr>
          <w:pgSz w:w="11900" w:h="16838" w:orient="portrait"/>
          <w:cols w:equalWidth="0" w:num="2">
            <w:col w:w="5520" w:space="720"/>
            <w:col w:w="2779"/>
          </w:cols>
          <w:pgMar w:left="1440" w:top="66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230 Park Avenue</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Suite 3350</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10169</w:t>
      </w:r>
    </w:p>
    <w:p>
      <w:pPr>
        <w:jc w:val="center"/>
        <w:ind w:right="19"/>
        <w:spacing w:after="0" w:line="222" w:lineRule="auto"/>
        <w:rPr>
          <w:sz w:val="20"/>
          <w:szCs w:val="20"/>
          <w:color w:val="auto"/>
        </w:rPr>
      </w:pPr>
      <w:r>
        <w:rPr>
          <w:rFonts w:ascii="Times New Roman" w:cs="Times New Roman" w:eastAsia="Times New Roman" w:hAnsi="Times New Roman"/>
          <w:sz w:val="14"/>
          <w:szCs w:val="14"/>
          <w:color w:val="auto"/>
        </w:rPr>
        <w:t>(Address of principal executive offices)</w:t>
      </w:r>
    </w:p>
    <w:p>
      <w:pPr>
        <w:jc w:val="center"/>
        <w:ind w:right="19"/>
        <w:spacing w:after="0"/>
        <w:rPr>
          <w:sz w:val="20"/>
          <w:szCs w:val="20"/>
          <w:color w:val="auto"/>
        </w:rPr>
      </w:pPr>
      <w:r>
        <w:rPr>
          <w:rFonts w:ascii="Times New Roman" w:cs="Times New Roman" w:eastAsia="Times New Roman" w:hAnsi="Times New Roman"/>
          <w:sz w:val="14"/>
          <w:szCs w:val="14"/>
          <w:color w:val="auto"/>
        </w:rPr>
        <w:t>(Zip Code)</w:t>
      </w:r>
    </w:p>
    <w:p>
      <w:pPr>
        <w:sectPr>
          <w:pgSz w:w="11900" w:h="16838" w:orient="portrait"/>
          <w:cols w:equalWidth="0" w:num="1">
            <w:col w:w="9019"/>
          </w:cols>
          <w:pgMar w:left="1440" w:top="661" w:right="1440" w:bottom="1440" w:gutter="0" w:footer="0" w:header="0"/>
          <w:type w:val="continuous"/>
        </w:sectPr>
      </w:pP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885-8505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24" w:lineRule="exact"/>
        <w:rPr>
          <w:sz w:val="24"/>
          <w:szCs w:val="24"/>
          <w:color w:val="auto"/>
        </w:rPr>
      </w:pPr>
    </w:p>
    <w:tbl>
      <w:tblPr>
        <w:tblLayout w:type="fixed"/>
        <w:tblInd w:w="960" w:type="dxa"/>
        <w:tblCellMar>
          <w:top w:w="0" w:type="dxa"/>
          <w:left w:w="0" w:type="dxa"/>
          <w:bottom w:w="0" w:type="dxa"/>
          <w:right w:w="0" w:type="dxa"/>
        </w:tblCellMar>
      </w:tblPr>
      <w:tr>
        <w:trPr>
          <w:trHeight w:val="137"/>
        </w:trPr>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82"/>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163195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0" w:lineRule="exact"/>
        <w:rPr>
          <w:sz w:val="24"/>
          <w:szCs w:val="24"/>
          <w:color w:val="auto"/>
        </w:rPr>
      </w:pPr>
    </w:p>
    <w:p>
      <w:pPr>
        <w:ind w:left="60" w:right="1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0" w:right="3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59" w:lineRule="exact"/>
        <w:rPr>
          <w:sz w:val="24"/>
          <w:szCs w:val="24"/>
          <w:color w:val="auto"/>
        </w:rPr>
      </w:pPr>
    </w:p>
    <w:p>
      <w:pPr>
        <w:ind w:left="15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480" w:space="720"/>
            <w:col w:w="2819"/>
          </w:cols>
          <w:pgMar w:left="1440" w:top="661" w:right="1440" w:bottom="1440" w:gutter="0" w:footer="0" w:header="0"/>
          <w:type w:val="continuous"/>
        </w:sectPr>
      </w:pPr>
    </w:p>
    <w:p>
      <w:pPr>
        <w:ind w:left="15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3">
            <w:col w:w="5160" w:space="720"/>
            <w:col w:w="1560" w:space="80"/>
            <w:col w:w="1499"/>
          </w:cols>
          <w:pgMar w:left="1440" w:top="661" w:right="1440" w:bottom="1440" w:gutter="0" w:footer="0" w:header="0"/>
          <w:type w:val="continuous"/>
        </w:sectPr>
      </w:pPr>
    </w:p>
    <w:p>
      <w:pPr>
        <w:ind w:left="60" w:right="11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center"/>
        <w:ind w:right="143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105" w:lineRule="exact"/>
        <w:rPr>
          <w:sz w:val="24"/>
          <w:szCs w:val="24"/>
          <w:color w:val="auto"/>
        </w:rPr>
      </w:pPr>
    </w:p>
    <w:p>
      <w:pPr>
        <w:jc w:val="center"/>
        <w:ind w:right="1459"/>
        <w:spacing w:after="0"/>
        <w:rPr>
          <w:sz w:val="20"/>
          <w:szCs w:val="20"/>
          <w:color w:val="auto"/>
        </w:rPr>
      </w:pPr>
      <w:r>
        <w:rPr>
          <w:rFonts w:ascii="Times New Roman" w:cs="Times New Roman" w:eastAsia="Times New Roman" w:hAnsi="Times New Roman"/>
          <w:sz w:val="14"/>
          <w:szCs w:val="14"/>
          <w:color w:val="auto"/>
        </w:rPr>
        <w:t>There were 43,668,130 shares of Common Stock ($0.0001 par value) outstanding as of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803910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426720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“goal,” “aim” and similar expressions are intended to identify forward-looking statements, although not all forward-looking statements contain these identifying words.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4"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spacing w:after="0" w:line="176"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”Y-mAbs,” “company,” “we,” “us,” and “our” in this document refer to Y-mAbs Therapeutics, Inc., a Delaware corporation, and, where appropriate, its subsidiaries.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spacing w:after="0" w:line="18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risks are discussed more fully below under “Risk Factors” and include, but are not limited to, the following:</w:t>
      </w:r>
    </w:p>
    <w:p>
      <w:pPr>
        <w:spacing w:after="0" w:line="225" w:lineRule="exact"/>
        <w:rPr>
          <w:sz w:val="20"/>
          <w:szCs w:val="20"/>
          <w:color w:val="auto"/>
        </w:rPr>
      </w:pPr>
    </w:p>
    <w:p>
      <w:pPr>
        <w:jc w:val="both"/>
        <w:ind w:left="1100" w:right="759" w:hanging="388"/>
        <w:spacing w:after="0" w:line="312" w:lineRule="auto"/>
        <w:tabs>
          <w:tab w:leader="none" w:pos="11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commercialize DANYELZA® (naxitamab-gqgk), referred to as DANYELZA, for the treatment of relapsed/refractory high-risk neuroblastoma in bone and/or bone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279"/>
        <w:spacing w:after="0" w:line="261" w:lineRule="auto"/>
        <w:rPr>
          <w:sz w:val="20"/>
          <w:szCs w:val="20"/>
          <w:color w:val="auto"/>
        </w:rPr>
      </w:pPr>
      <w:r>
        <w:rPr>
          <w:rFonts w:ascii="Times New Roman" w:cs="Times New Roman" w:eastAsia="Times New Roman" w:hAnsi="Times New Roman"/>
          <w:sz w:val="18"/>
          <w:szCs w:val="18"/>
          <w:color w:val="auto"/>
        </w:rPr>
        <w:t>marrow, in the United States or in any other jurisdictions where we may receive marketing approval in the future;</w:t>
      </w:r>
    </w:p>
    <w:p>
      <w:pPr>
        <w:ind w:left="1100" w:right="13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model and our plans to obtain regulatory approval and develop and commercialize omburtamab, and other product candidates, including the potential clinical efficacy, safety and other benefits thereof;</w:t>
      </w:r>
    </w:p>
    <w:p>
      <w:pPr>
        <w:spacing w:after="0" w:line="1" w:lineRule="exact"/>
        <w:rPr>
          <w:rFonts w:ascii="Times New Roman" w:cs="Times New Roman" w:eastAsia="Times New Roman" w:hAnsi="Times New Roman"/>
          <w:sz w:val="18"/>
          <w:szCs w:val="18"/>
          <w:color w:val="auto"/>
        </w:rPr>
      </w:pPr>
    </w:p>
    <w:p>
      <w:pPr>
        <w:ind w:left="1100" w:right="1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rate and degree of market acceptance and clinical utility for DANYELZA or any current or future product candidate for which we may receive marketing approval may not be realized;</w:t>
      </w:r>
    </w:p>
    <w:p>
      <w:pPr>
        <w:spacing w:after="0" w:line="1" w:lineRule="exact"/>
        <w:rPr>
          <w:rFonts w:ascii="Times New Roman" w:cs="Times New Roman" w:eastAsia="Times New Roman" w:hAnsi="Times New Roman"/>
          <w:sz w:val="18"/>
          <w:szCs w:val="18"/>
          <w:color w:val="auto"/>
        </w:rPr>
      </w:pPr>
    </w:p>
    <w:p>
      <w:pPr>
        <w:ind w:left="1100" w:right="43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approval of our biological license application, or BLA, for omburtamab, or a priority review voucher, or PRV, for omburtamab and expectations with respect to the commercial value from any such PRV may not be realized;</w:t>
      </w:r>
    </w:p>
    <w:p>
      <w:pPr>
        <w:spacing w:after="0" w:line="1" w:lineRule="exact"/>
        <w:rPr>
          <w:rFonts w:ascii="Times New Roman" w:cs="Times New Roman" w:eastAsia="Times New Roman" w:hAnsi="Times New Roman"/>
          <w:sz w:val="18"/>
          <w:szCs w:val="18"/>
          <w:color w:val="auto"/>
        </w:rPr>
      </w:pPr>
    </w:p>
    <w:p>
      <w:pPr>
        <w:ind w:left="1100" w:right="9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implementing our business strategy, including 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 w:lineRule="exact"/>
        <w:rPr>
          <w:rFonts w:ascii="Times New Roman" w:cs="Times New Roman" w:eastAsia="Times New Roman" w:hAnsi="Times New Roman"/>
          <w:sz w:val="18"/>
          <w:szCs w:val="18"/>
          <w:color w:val="auto"/>
        </w:rPr>
      </w:pPr>
    </w:p>
    <w:p>
      <w:pPr>
        <w:ind w:left="1100" w:right="29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pricing, coverage and reimbursement of, and the extent to which patient assistance programs are utilized for DANYELZA, omburtamab or any current or future product candidate for which we may receive marketing approval may not be realized;</w:t>
      </w:r>
    </w:p>
    <w:p>
      <w:pPr>
        <w:spacing w:after="0" w:line="1" w:lineRule="exact"/>
        <w:rPr>
          <w:rFonts w:ascii="Times New Roman" w:cs="Times New Roman" w:eastAsia="Times New Roman" w:hAnsi="Times New Roman"/>
          <w:sz w:val="18"/>
          <w:szCs w:val="18"/>
          <w:color w:val="auto"/>
        </w:rPr>
      </w:pPr>
    </w:p>
    <w:p>
      <w:pPr>
        <w:ind w:left="1100" w:right="3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ongoing and future clinical trials for DANYELZA and omburtamab and other product candidates, whether conducted by us or by any of our collaborators, may not be realized, including the timing of initiation of these trials, the pace of enrollment, the completion of enrollment, the availability of data from, and the outcome of, these trials, and the expected dates of BLA submission and potential approval by the United States Food and Drug Administration, or FDA, and equivalent foreign regulatory authorities;</w:t>
      </w:r>
    </w:p>
    <w:p>
      <w:pPr>
        <w:spacing w:after="0" w:line="2" w:lineRule="exact"/>
        <w:rPr>
          <w:rFonts w:ascii="Times New Roman" w:cs="Times New Roman" w:eastAsia="Times New Roman" w:hAnsi="Times New Roman"/>
          <w:sz w:val="18"/>
          <w:szCs w:val="18"/>
          <w:color w:val="auto"/>
        </w:rPr>
      </w:pPr>
    </w:p>
    <w:p>
      <w:pPr>
        <w:ind w:left="1100" w:right="21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business, operations and clinical development plans and timelines have been and could be further adversely affected by the effects of health epidemics, including the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integrate, manage and retain qualified personnel or key employees;</w:t>
      </w:r>
    </w:p>
    <w:p>
      <w:pPr>
        <w:spacing w:after="0" w:line="9" w:lineRule="exact"/>
        <w:rPr>
          <w:rFonts w:ascii="Times New Roman" w:cs="Times New Roman" w:eastAsia="Times New Roman" w:hAnsi="Times New Roman"/>
          <w:sz w:val="18"/>
          <w:szCs w:val="18"/>
          <w:color w:val="auto"/>
        </w:rPr>
      </w:pPr>
    </w:p>
    <w:p>
      <w:pPr>
        <w:ind w:left="1100" w:right="2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timing of and our ability to obtain and maintain regulatory, marketing and reimbursement approvals for our product candidates may not be realized;</w:t>
      </w:r>
    </w:p>
    <w:p>
      <w:pPr>
        <w:ind w:left="1100" w:right="7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our commercialization, marketing and manufacturing capabilities and strategy;</w:t>
      </w:r>
    </w:p>
    <w:p>
      <w:pPr>
        <w:ind w:left="1100" w:right="119" w:hanging="388"/>
        <w:spacing w:after="0" w:line="265"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p>
      <w:pPr>
        <w:ind w:left="1100" w:right="29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and develop additional product candidates and technologies with significant commercial potential;</w:t>
      </w:r>
    </w:p>
    <w:p>
      <w:pPr>
        <w:ind w:left="1100" w:right="3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 w:lineRule="exact"/>
        <w:rPr>
          <w:rFonts w:ascii="Times New Roman" w:cs="Times New Roman" w:eastAsia="Times New Roman" w:hAnsi="Times New Roman"/>
          <w:sz w:val="18"/>
          <w:szCs w:val="18"/>
          <w:color w:val="auto"/>
        </w:rPr>
      </w:pPr>
    </w:p>
    <w:p>
      <w:pPr>
        <w:ind w:left="1100" w:right="119" w:hanging="388"/>
        <w:spacing w:after="0" w:line="253"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ability to continue to maintain and leverage our relationship with Memorial Sloan Kettering Cancer Center, or MSK, including our exclusive rights to the 2015 MSK License Agreement (as amended), or MSK License Agreement, the 2020 SADA Technology License Agreement, or SADA License Agreement, and current and future technology and our relationship with MSK as a user of DANYELZA and any future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359" w:hanging="388"/>
        <w:spacing w:after="0" w:line="261"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and cash equivalents, and how long our cash resources are expected to last, may be inaccurate and we may require additional funding sooner than we expect;</w:t>
      </w:r>
    </w:p>
    <w:p>
      <w:pPr>
        <w:ind w:left="1100" w:right="49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complete the development and commercialization of our product and product candidates and evaluate future product candidates, and programs or other operations;</w:t>
      </w:r>
    </w:p>
    <w:p>
      <w:pPr>
        <w:spacing w:after="0" w:line="1" w:lineRule="exact"/>
        <w:rPr>
          <w:rFonts w:ascii="Times New Roman" w:cs="Times New Roman" w:eastAsia="Times New Roman" w:hAnsi="Times New Roman"/>
          <w:sz w:val="18"/>
          <w:szCs w:val="18"/>
          <w:color w:val="auto"/>
        </w:rPr>
      </w:pPr>
    </w:p>
    <w:p>
      <w:pPr>
        <w:ind w:left="1100" w:right="35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future financing transaction and our common stock price and other factors may impact our ability to raise additional capital on favorable terms;</w:t>
      </w:r>
    </w:p>
    <w:p>
      <w:pPr>
        <w:ind w:left="1100" w:right="75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financial performance, including our estimates regarding revenues, expenses, cash flow, and capital expenditure requirements may not be realized;</w:t>
      </w:r>
    </w:p>
    <w:p>
      <w:pPr>
        <w:ind w:left="1100" w:right="17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 w:lineRule="exact"/>
        <w:rPr>
          <w:rFonts w:ascii="Times New Roman" w:cs="Times New Roman" w:eastAsia="Times New Roman" w:hAnsi="Times New Roman"/>
          <w:sz w:val="18"/>
          <w:szCs w:val="18"/>
          <w:color w:val="auto"/>
        </w:rPr>
      </w:pPr>
    </w:p>
    <w:p>
      <w:pPr>
        <w:ind w:left="1100" w:right="439" w:hanging="388"/>
        <w:spacing w:after="0" w:line="265"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have been and may in the future be adversely affected by the global COVID-19 pandemic, including the pace of commercialization of DANYELZA;</w:t>
      </w:r>
    </w:p>
    <w:p>
      <w:pPr>
        <w:ind w:left="1100" w:right="11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in the future be adversely affected by macroeconomic conditions, such as rising inflation, uncertain global financial markets, supply chain disruptions, and by geopolitical events, including the recent global conflict resulting from the invasion of Ukraine by Russia, and sanctions related thereto, which resulted in the suspension of our clinical trial and regulatory activities in Russia;</w:t>
      </w:r>
    </w:p>
    <w:p>
      <w:pPr>
        <w:spacing w:after="0" w:line="1" w:lineRule="exact"/>
        <w:rPr>
          <w:rFonts w:ascii="Times New Roman" w:cs="Times New Roman" w:eastAsia="Times New Roman" w:hAnsi="Times New Roman"/>
          <w:sz w:val="18"/>
          <w:szCs w:val="18"/>
          <w:color w:val="auto"/>
        </w:rPr>
      </w:pPr>
    </w:p>
    <w:p>
      <w:pPr>
        <w:ind w:left="1100" w:right="11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a small number of third party CMOs and expect it would be difficult to find a suitable replacement for the complex and difficult manufacture of our product candidates. The loss of any of these CMOs or the failure of any of them to meet their obligations to us could affect our ability to develop omburtamab in a timely manner or to continue to sell DANYELZA;</w:t>
      </w:r>
    </w:p>
    <w:p>
      <w:pPr>
        <w:spacing w:after="0" w:line="1" w:lineRule="exact"/>
        <w:rPr>
          <w:rFonts w:ascii="Times New Roman" w:cs="Times New Roman" w:eastAsia="Times New Roman" w:hAnsi="Times New Roman"/>
          <w:sz w:val="18"/>
          <w:szCs w:val="18"/>
          <w:color w:val="auto"/>
        </w:rPr>
      </w:pPr>
    </w:p>
    <w:p>
      <w:pPr>
        <w:ind w:left="1100" w:right="79" w:hanging="388"/>
        <w:spacing w:after="0" w:line="250"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 and</w:t>
      </w:r>
    </w:p>
    <w:p>
      <w:pPr>
        <w:spacing w:after="0" w:line="1"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section herein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2"/>
        </w:trPr>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0" w:type="dxa"/>
            <w:vAlign w:val="bottom"/>
            <w:gridSpan w:val="16"/>
          </w:tcPr>
          <w:p>
            <w:pPr>
              <w:jc w:val="center"/>
              <w:ind w:right="2160"/>
              <w:spacing w:after="0" w:line="169"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75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(unaudited) as of September 30, 2022 and December 31, 2021</w:t>
            </w:r>
          </w:p>
        </w:tc>
        <w:tc>
          <w:tcPr>
            <w:tcW w:w="9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Net Loss and Comprehensive Loss (unaudited) for the three and nine</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September 30, 2022 and 2021</w:t>
            </w:r>
          </w:p>
        </w:tc>
        <w:tc>
          <w:tcPr>
            <w:tcW w:w="3780" w:type="dxa"/>
            <w:vAlign w:val="bottom"/>
            <w:tcBorders>
              <w:top w:val="single" w:sz="8" w:color="0000EE"/>
            </w:tcBorders>
            <w:gridSpan w:val="8"/>
          </w:tcPr>
          <w:p>
            <w:pPr>
              <w:spacing w:after="0"/>
              <w:rPr>
                <w:sz w:val="17"/>
                <w:szCs w:val="17"/>
                <w:color w:val="auto"/>
              </w:rPr>
            </w:pPr>
          </w:p>
        </w:tc>
        <w:tc>
          <w:tcPr>
            <w:tcW w:w="5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 for the three and nine months</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2022 and 2021</w:t>
            </w:r>
          </w:p>
        </w:tc>
        <w:tc>
          <w:tcPr>
            <w:tcW w:w="10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nine months ended September 30, 2022 and</w:t>
            </w: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0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42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43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10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16"/>
          </w:tcPr>
          <w:p>
            <w:pPr>
              <w:jc w:val="center"/>
              <w:ind w:right="214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44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8"/>
          </w:tcPr>
          <w:p>
            <w:pPr>
              <w:spacing w:after="0"/>
              <w:rPr>
                <w:sz w:val="24"/>
                <w:szCs w:val="24"/>
                <w:color w:val="auto"/>
              </w:rPr>
            </w:pPr>
          </w:p>
        </w:tc>
        <w:tc>
          <w:tcPr>
            <w:tcW w:w="23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5"/>
          </w:tcPr>
          <w:p>
            <w:pPr>
              <w:spacing w:after="0"/>
              <w:rPr>
                <w:sz w:val="17"/>
                <w:szCs w:val="17"/>
                <w:color w:val="auto"/>
              </w:rPr>
            </w:pPr>
          </w:p>
        </w:tc>
        <w:tc>
          <w:tcPr>
            <w:tcW w:w="31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20" w:type="dxa"/>
            <w:vAlign w:val="bottom"/>
            <w:gridSpan w:val="2"/>
          </w:tcPr>
          <w:p>
            <w:pPr>
              <w:spacing w:after="0"/>
              <w:rPr>
                <w:sz w:val="17"/>
                <w:szCs w:val="17"/>
                <w:color w:val="auto"/>
              </w:rPr>
            </w:pPr>
          </w:p>
        </w:tc>
        <w:tc>
          <w:tcPr>
            <w:tcW w:w="7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20" w:type="dxa"/>
            <w:vAlign w:val="bottom"/>
            <w:gridSpan w:val="2"/>
          </w:tcPr>
          <w:p>
            <w:pPr>
              <w:spacing w:after="0"/>
              <w:rPr>
                <w:sz w:val="17"/>
                <w:szCs w:val="17"/>
                <w:color w:val="auto"/>
              </w:rPr>
            </w:pP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620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bl>
    <w:p>
      <w:pPr>
        <w:spacing w:after="0" w:line="225" w:lineRule="exact"/>
        <w:rPr>
          <w:sz w:val="20"/>
          <w:szCs w:val="20"/>
          <w:color w:val="auto"/>
        </w:rPr>
      </w:pPr>
    </w:p>
    <w:p>
      <w:pPr>
        <w:ind w:left="60" w:right="419" w:firstLine="648"/>
        <w:spacing w:after="0" w:line="289"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143,915</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milestones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September 30, 2022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December 31, 2021; 43,668,130 and 43,694,716 shares issued and outstanding at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(LOSS),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from sale of priority review voucher,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loss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43,718,351</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43,598,350</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43,715,451</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43,019,217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7"/>
                <w:szCs w:val="17"/>
                <w:color w:val="auto"/>
              </w:rPr>
            </w:pPr>
          </w:p>
        </w:tc>
        <w:tc>
          <w:tcPr>
            <w:tcW w:w="13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40,688,447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(285,200)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105,836</w:t>
            </w:r>
          </w:p>
        </w:tc>
        <w:tc>
          <w:tcPr>
            <w:tcW w:w="0" w:type="dxa"/>
            <w:vAlign w:val="bottom"/>
          </w:tcPr>
          <w:p>
            <w:pPr>
              <w:spacing w:after="0"/>
              <w:rPr>
                <w:sz w:val="1"/>
                <w:szCs w:val="1"/>
                <w:color w:val="auto"/>
              </w:rPr>
            </w:pPr>
          </w:p>
        </w:tc>
      </w:tr>
      <w:tr>
        <w:trPr>
          <w:trHeight w:val="198"/>
        </w:trPr>
        <w:tc>
          <w:tcPr>
            <w:tcW w:w="30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to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investors, net 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2,804,878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43,548,419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(251,787)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252,217</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28,332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43,576,950</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509,049</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(274,724)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234,316</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66,160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43,643,916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(303,582)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9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43,694,716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(340,475)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180,106</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43,718,165</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524,329</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(368,543)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157,472</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13,633</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June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43,720,038</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537,962</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(409,674)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131,396</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Retirement of treasury shares – refer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Note 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43,668,130</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540,392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(437,200)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priority review voucher,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proceeds from sale of priority review voucher</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acquisition in accrued milestones</w:t>
            </w: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treasury shares upon repayment of secured promissory note – refer to Note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w:t>
      </w:r>
    </w:p>
    <w:p>
      <w:pPr>
        <w:spacing w:after="0" w:line="22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Y-mAbs Therapeutics, Inc. (“we,” “us,” “our,” the “Company,” or “Y-mAbs”) is a commercial-stage biopharmaceutical company focused on the development and commercialization of novel, antibody based therapeutic products for the treatment of cancer. The Company is leveraging its proprietary antibody platforms and deep expertise in the field of antibodies to develop a broad portfolio of innovative medicines and has several ongoing clinical trials in progress.</w:t>
      </w:r>
    </w:p>
    <w:p>
      <w:pPr>
        <w:spacing w:after="0" w:line="183"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New York and was incorporated on April 30, 2015 under the laws of the State of Delaware.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Except for the quarter ended March 31, 2021, the Company has incurred losses since inception. Operations of the Company are subject to certain risks and uncertainties, including, among others, uncertainty of drug candidate development; technological uncertainty; uncertainty regarding patents and proprietary rights; uncertainty in obtaining the U.S. Food and Drug Administration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94"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Company’s drug candidates are in various stages of development. DANYELZA (naxitamab-gqgk) was approved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2"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$437,200,000 as of September 30, 2022 and $340,475,000 as of December 31, 2021. Through September 30, 2022, the Company has funded its operations primarily through proceeds from sales of shares of its common stock, including its initial public offering in September 2018 and its subsequent public offerings in November 2019 and February 2021, as well as additional funding from the sales of DANYELZA and from the sale of the DANYELZA PRV.</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February 22, 2021, the Company announced the closing of its public offering of 2,804,878 shares of its common stock, at a public offering price of $41.00 per share, which included the exercise in full of the underwriters’ option to purchase 365,853 additional shares of common stock. The aggregate gross proceeds to the Company, before deducting underwriting discounts and commissions and offering expenses payable by the Company, were approximately $115,000,000.</w:t>
      </w:r>
    </w:p>
    <w:p>
      <w:pPr>
        <w:spacing w:after="0" w:line="18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cash and cash equivalents of $114,526,000, and as of December 31, 2021 the Company had cash and cash equivalents of $181,564,000. As of the issuance date of the consolidated financial statements for the third quarter ended September 30, 2022, the Company expects that its cash and cash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equivalents at September 30, 2022 will be sufficient to fund its operating expenses and capital expenditure requirements through at least the next 12 months, irrespective of whether any additional product approvals are obtained.</w:t>
      </w:r>
    </w:p>
    <w:p>
      <w:pPr>
        <w:spacing w:after="0" w:line="14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may raise additional capital to fund future operations through the sale of its securities, incurring debt, entering into licensing or collaboration agreements with partners, grants or other sources of financing. Sufficient funds may not be available to the Company on attractive terms or at all when needed from any such financing. If successful commercialization of DANYELZA and our product candidates for which we may obtain regulatory approvals and marketing authorizations, either directly or with a collaborator or distributor and FDA approval for omburtamab does not occur or is significantly delayed, and the Company is unable to obtain additional financing from these or other sources when needed, it will likely be necessary to take other actions to enhance the Company’s liquidity position which may include significantly reducing the current rate of spending through delaying or scaling back current operations, or suspending certain research and development programs and other operational programs.</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accounts of the Company and its wholly owned subsidiaries and have been prepared in accordance with accounting principles generally accepted in the United States (“GAAP”) for interim financial information, Accounting Standards Codification (“ASC”) Topic 270-10 and the instructions to Quarterly Report on Form 10-Q. Accordingly, these consolidated financial statements do not include all of the information and notes required by GAAP for complete financial statements. The unaudited interim consolidated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nine month periods ended September 30, 2022 are not necessarily indicative of the results that may be expected for the year ended December 31, 2022, any other interim periods, or any future year or period. The December 31, 2021 consolidated balance sheet data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2021.</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detailed in its Annual Report on Form 10-K for the year ended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consolidated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the Company’s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markets.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losses with respect to such cash balances.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Receivables</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trade accounts receivable balance consists of amounts due from sales of its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expected future write-offs. The Company has not historically experienced any significant credit losses. All customer accounts are actively managed, and no material losses are currently expected.</w:t>
      </w:r>
    </w:p>
    <w:p>
      <w:pPr>
        <w:spacing w:after="0" w:line="18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experienced any write-offs related to its customers and has not recognized any allowance for doubtful accounts nor reversed any allowances in the nine months ended September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Company’s product sales are made through arrangements primarily with three national specialty distributors in the United States. As of September 30, 2022, the receivables balances from such distributors totaled 99% of the Company’s outstanding accounts receivable. The Company has contractual payment terms with each of its customers and the Company monitors their financial performance, historical payment terms and credit worthiness to timely assess and respond to any changes in their credit profile.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net realizable value on a first-in, first-out basis. The Company’s inventory cost includes amounts related to materials, third party contract manufacturing, third 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beginning at the receipt of FDA approval. Prior to FDA approval, the Company expensed such costs as part of research and development expenses.</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Other than the $1,200,000 recorded in the three and nine months ended September 30, 2022, as discussed further in NOTE 6—</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INVENTORIES, there were no other material inventory write-downs in the three and nine months ended September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800" w:hanging="10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8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60" w:right="119" w:firstLine="638"/>
        <w:spacing w:after="0" w:line="282" w:lineRule="auto"/>
        <w:tabs>
          <w:tab w:leader="none" w:pos="8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62" w:lineRule="exact"/>
        <w:rPr>
          <w:sz w:val="20"/>
          <w:szCs w:val="20"/>
          <w:color w:val="auto"/>
        </w:rPr>
      </w:pPr>
    </w:p>
    <w:p>
      <w:pPr>
        <w:ind w:left="60" w:right="759" w:firstLine="648"/>
        <w:spacing w:after="0" w:line="312" w:lineRule="auto"/>
        <w:rPr>
          <w:sz w:val="20"/>
          <w:szCs w:val="20"/>
          <w:color w:val="auto"/>
        </w:rPr>
      </w:pPr>
      <w:r>
        <w:rPr>
          <w:rFonts w:ascii="Times New Roman" w:cs="Times New Roman" w:eastAsia="Times New Roman" w:hAnsi="Times New Roman"/>
          <w:sz w:val="17"/>
          <w:szCs w:val="17"/>
          <w:color w:val="auto"/>
        </w:rPr>
        <w:t>Cash equivalents held in money market funds are valued using other significant observable inputs, which represent a Level 2 measurement within the fair value hierarchy. The Company has no other cash equivalents.</w:t>
      </w:r>
    </w:p>
    <w:p>
      <w:pPr>
        <w:spacing w:after="0" w:line="140"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cash equivalents, which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Using:</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$ 105,274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$ 105,274</w:t>
            </w: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$ 105,274</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 Using:</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$ 166,729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$ 166,729</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$ 166,729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$ 166,729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nine months ended September 30, 2022, there were no transfers between Level 1, Level 2, and Level 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0"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currently elects the short-term lease recognition exemption for all leases that qualify. This means, for those leases that qualify, the Company will not recognize right-of-use assets or liabilities, and this includes not recognizing right-of-use assets or liabilities for existing short-term leases of those assets in transition. The Company also elects the practical expedient to not separate lease and non-lease components for all of its leases. The Company has made an accounting policy election to account for each separate lease component of a contract and its associated non-lease components as a single lease component. See the Lease Agreements section in </w:t>
      </w:r>
      <w:r>
        <w:rPr>
          <w:rFonts w:ascii="Times New Roman" w:cs="Times New Roman" w:eastAsia="Times New Roman" w:hAnsi="Times New Roman"/>
          <w:sz w:val="18"/>
          <w:szCs w:val="18"/>
          <w:i w:val="1"/>
          <w:iCs w:val="1"/>
          <w:color w:val="auto"/>
        </w:rPr>
        <w:t>NOTE 9—LICENSE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for the related disclosures.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w:t>
      </w:r>
    </w:p>
    <w:p>
      <w:pPr>
        <w:spacing w:after="0" w:line="22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sales of DANYELZA at a point in time when its customer is deemed to have obtained control of the product, which generally occurs upon receipt at the end-user hospital.</w:t>
      </w:r>
    </w:p>
    <w:p>
      <w:pPr>
        <w:spacing w:after="0" w:line="162"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amount of revenue the Company recognizes from sales of DANYELZA varies due to rebates, chargebacks and discounts provided under governmental and other programs, distribution related fees and other sales-related deductions. In order to determine those deductions, the Company estimates, utilizing the expected value method, the amount of revenue that it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its original estimates, the Company will adjust these estimates quarterly, which would affect net product revenue and earnings in the period such variances occur.</w:t>
      </w:r>
    </w:p>
    <w:p>
      <w:pPr>
        <w:spacing w:after="0" w:line="192" w:lineRule="exact"/>
        <w:rPr>
          <w:sz w:val="20"/>
          <w:szCs w:val="20"/>
          <w:color w:val="auto"/>
        </w:rPr>
      </w:pPr>
    </w:p>
    <w:p>
      <w:pPr>
        <w:ind w:left="1380" w:hanging="33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w:t>
      </w:r>
    </w:p>
    <w:p>
      <w:pPr>
        <w:spacing w:after="0" w:line="225" w:lineRule="exact"/>
        <w:rPr>
          <w:sz w:val="20"/>
          <w:szCs w:val="20"/>
          <w:color w:val="auto"/>
        </w:rPr>
      </w:pPr>
    </w:p>
    <w:p>
      <w:pPr>
        <w:ind w:left="1340" w:right="179"/>
        <w:spacing w:after="0" w:line="253" w:lineRule="auto"/>
        <w:rPr>
          <w:sz w:val="20"/>
          <w:szCs w:val="20"/>
          <w:color w:val="auto"/>
        </w:rPr>
      </w:pPr>
      <w:r>
        <w:rPr>
          <w:rFonts w:ascii="Times New Roman" w:cs="Times New Roman" w:eastAsia="Times New Roman" w:hAnsi="Times New Roman"/>
          <w:sz w:val="18"/>
          <w:szCs w:val="18"/>
          <w:color w:val="auto"/>
        </w:rPr>
        <w:t>The Company contracts with United States governmental agencies to enable DANYELZA to be eligible for coverage under the various programs administered by the agencies. The Company estimates the rebates and chargebacks to be provided and deducts these estimated amounts from its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 party consultants regarding the payor mix. The Company’s liability for these rebates and chargebacks mainly consists of claims for which invoices have not yet been received and paid. The Company does not maintain material levels of inventory in the wholesale or retail channel.</w:t>
      </w:r>
    </w:p>
    <w:p>
      <w:pPr>
        <w:spacing w:after="0" w:line="192" w:lineRule="exact"/>
        <w:rPr>
          <w:sz w:val="20"/>
          <w:szCs w:val="20"/>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distribution-related fees</w:t>
      </w:r>
    </w:p>
    <w:p>
      <w:pPr>
        <w:spacing w:after="0" w:line="225" w:lineRule="exact"/>
        <w:rPr>
          <w:sz w:val="20"/>
          <w:szCs w:val="20"/>
          <w:color w:val="auto"/>
        </w:rPr>
      </w:pPr>
    </w:p>
    <w:p>
      <w:pPr>
        <w:ind w:left="1340" w:right="119"/>
        <w:spacing w:after="0" w:line="255" w:lineRule="auto"/>
        <w:rPr>
          <w:sz w:val="20"/>
          <w:szCs w:val="20"/>
          <w:color w:val="auto"/>
        </w:rPr>
      </w:pPr>
      <w:r>
        <w:rPr>
          <w:rFonts w:ascii="Times New Roman" w:cs="Times New Roman" w:eastAsia="Times New Roman" w:hAnsi="Times New Roman"/>
          <w:sz w:val="18"/>
          <w:szCs w:val="18"/>
          <w:color w:val="auto"/>
        </w:rPr>
        <w:t>The Company provides invoice discounts on DANYELZA sales to its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the Company expects its distributors to earn these discounts and fees and deduct the full amount of these discounts and fees from the Company’s gross product revenue at the time such revenues are recognized.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w:t>
      </w:r>
    </w:p>
    <w:p>
      <w:pPr>
        <w:spacing w:after="0" w:line="225" w:lineRule="exact"/>
        <w:rPr>
          <w:sz w:val="20"/>
          <w:szCs w:val="20"/>
          <w:color w:val="auto"/>
        </w:rPr>
      </w:pPr>
    </w:p>
    <w:p>
      <w:pPr>
        <w:ind w:left="1340" w:right="459"/>
        <w:spacing w:after="0" w:line="258" w:lineRule="auto"/>
        <w:rPr>
          <w:sz w:val="20"/>
          <w:szCs w:val="20"/>
          <w:color w:val="auto"/>
        </w:rPr>
      </w:pPr>
      <w:r>
        <w:rPr>
          <w:rFonts w:ascii="Times New Roman" w:cs="Times New Roman" w:eastAsia="Times New Roman" w:hAnsi="Times New Roman"/>
          <w:sz w:val="18"/>
          <w:szCs w:val="18"/>
          <w:color w:val="auto"/>
        </w:rPr>
        <w:t>The Company offers its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an establishment of an accrued liability.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May 2021, the Company entered into an exclusive distribution agreement with Adium Pharma S.A. (“Adium”)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Adium to be the exclusive distributor in Latin America of the Company’s antibodies omburtamab, if approved,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DANYELZA. As part of this agreement, the Company received and recognized a non-refundable up-front fee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$2,000,000 for the transfer of the license and know-how related to the product indications during the nine month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September 2021. The Company may also receive regulatory-based milestone payments up to an aggregate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$3,000,000. In April 2022, the Company received the first of these milestone payments, a non-refundable fee of $1,000,000</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was payable upon submission by the Company for the updated FDA BLA dossier for DANYELZA. In addition,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is entitled to royalties based upon the net sales generated by Adium related to the product in Latin America.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considered the license to be distinct from other promises within the arrangement based on the rights and know-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how transferred, late-stage development of the underlying indications and anticipated lack of significant involvement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required from the joint steering committee associated with the indications. The future potential regulatory milestone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amounts were not included in the transaction price, as they were all determined to be fully constrained following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concepts of ASC 606. As part of the Company’s evaluation of the regulatory milestones constraint,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determined that the achievement of such milestones are contingent upon regulatory approvals which are not within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control and therefore not deemed probable. The Company expects that the sales-based milestone payments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royalty arrangements will be recognized when the related sales occur or the milestone is achieved.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reevaluates the transaction price each quarter and as uncertain events are resolved or other changes in circumstances occur,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assesses whether this resolves the constraint and revenue will be recognized.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is engaged solely in the discovery, development, distribution and commercialization of novel antibody-based therapeutic products for the treatment of cancer. Accordingly, the Company has determined that it operates in one operating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Adopted</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specific effective date. The Company adopted ASU 2020-10, ASU 2021-04 and ASU 2020-06 effective January 1, 2022, and the adoption of these new standards did not have a material impact on the Company’s consolidated financial statements or disclosures.</w:t>
      </w:r>
    </w:p>
    <w:p>
      <w:pPr>
        <w:spacing w:after="0" w:line="18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accounting pronouncements recently issued but not yet adopted and believes that these pronouncements do not apply to the Company’s operations and therefore will not have a material impact on the Company’s consolidated financial statements or disclosures.</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4—PRODUCT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product revenues were generated from sales of DANYELZA and totaled $12,537,000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$32,820,000 for the three and nine months ended September 30, 2022, and $8,965,000 and $23,299,000 for the three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nine months ended September 30,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discounts,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distribution-related fees and other sales-related deductions. Accruals for chargebacks, discounts and distribution-related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fees with contractual right of offset are recorded as a direct reduction to accounts receivable. Accruals for rebates,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distribution-related fees without contractual right of offset and other sales-related deductions are recorded within accrued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liabilities. As of September 30, 2022, the Company had recorded accounts receivable allowances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$734,000 and accrued liabilities of $2,451,000 related to product sales during the nine months ended September 30,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2021, the Company had recorded accounts receivable allowances of approximately $486,000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liabilities of $2,615,000 related to product sales.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 analysis of the change in reserves for discounts and allowances is summarized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Allowances and</w:t>
            </w:r>
          </w:p>
        </w:tc>
        <w:tc>
          <w:tcPr>
            <w:tcW w:w="280" w:type="dxa"/>
            <w:vAlign w:val="bottom"/>
          </w:tcPr>
          <w:p>
            <w:pPr>
              <w:spacing w:after="0"/>
              <w:rPr>
                <w:sz w:val="12"/>
                <w:szCs w:val="12"/>
                <w:color w:val="auto"/>
              </w:rPr>
            </w:pP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1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Government Rebates</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00"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the Company’s product sales were in the United States. The Company had product sales to certain customers that accounted for more than 10% of total gross product revenue for the three and nine months ended September 30, 2022 and September 30, 2021. McKesson and AmerisourceBergen accounted for 78% and 14%, respectively, of the Company’s gross product revenue for the three months ended September 30, 2022. McKesson and AmerisourceBergen accounted for 66% and 24%, respectively, of the Company’s gross product revenue for the three months ended September 30, 2021. McKesson and AmerisourceBergen accounted for 69% and 16%, respectively, of the Company’s gross product revenue for the nine months ended September 30, 2022. McKesson and AmerisourceBergen accounted for 73% and 17%, respectively, of the Company’s gross product revenue for the nine months ended September 30, 2021.</w:t>
      </w:r>
    </w:p>
    <w:p>
      <w:pPr>
        <w:spacing w:after="0" w:line="188" w:lineRule="exact"/>
        <w:rPr>
          <w:sz w:val="20"/>
          <w:szCs w:val="20"/>
          <w:color w:val="auto"/>
        </w:rPr>
      </w:pPr>
    </w:p>
    <w:p>
      <w:pPr>
        <w:ind w:left="60" w:right="66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and nine months ended September 30, 2022 the Company recorded a change in estimate resulting in a benefit of $709,000 as the Company assessed claims data and reserves for historical earned periods.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5—NET LOSS PER SHARE</w:t>
      </w:r>
    </w:p>
    <w:p>
      <w:pPr>
        <w:spacing w:after="0" w:line="229" w:lineRule="exact"/>
        <w:rPr>
          <w:sz w:val="20"/>
          <w:szCs w:val="20"/>
          <w:color w:val="auto"/>
        </w:rPr>
      </w:pPr>
    </w:p>
    <w:p>
      <w:pPr>
        <w:ind w:left="60" w:right="18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thousands, except</w:t>
            </w:r>
          </w:p>
        </w:tc>
        <w:tc>
          <w:tcPr>
            <w:tcW w:w="1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per share amounts)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(27,526)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(28,858)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(18,382)</w:t>
            </w: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(denominator), basic and diluted</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43,718</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43,019</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net income / (loss) per share</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8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excluded from the computation of diluted earnings per share relate to stock options outstanding and unvested restricted stock units (“RSUs”) totaled 7,119,332 shares as of September 30, 2022 and 5,832,317 shares as of September 30, 2021.</w:t>
      </w:r>
    </w:p>
    <w:p>
      <w:pPr>
        <w:sectPr>
          <w:pgSz w:w="11900" w:h="16838" w:orient="portrait"/>
          <w:cols w:equalWidth="0" w:num="1">
            <w:col w:w="9080"/>
          </w:cols>
          <w:pgMar w:left="1440" w:top="513" w:right="1379" w:bottom="1440" w:gutter="0" w:footer="0" w:header="0"/>
        </w:sect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80"/>
          </w:cols>
          <w:pgMar w:left="1440" w:top="513" w:right="1379"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5"/>
                <w:szCs w:val="15"/>
                <w:color w:val="auto"/>
              </w:rPr>
            </w:pPr>
          </w:p>
        </w:tc>
        <w:tc>
          <w:tcPr>
            <w:tcW w:w="16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5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16"/>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are classified on the Consolidated Balance Sheets in each respective period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5"/>
                <w:szCs w:val="15"/>
                <w:color w:val="auto"/>
              </w:rPr>
            </w:pPr>
          </w:p>
        </w:tc>
        <w:tc>
          <w:tcPr>
            <w:tcW w:w="1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45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Current 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classified $1,500,000 of raw material and $3,716,000 of work in progress inventories as noncurrent assets based on its current demand schedule and expectation that such inventory will be utilized in excess of one year from the balance sheet date. Changes in noncurrent assets are reflected on the consolidated statements of cash flows within the caption of other assets.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recorded a $1,200,000 charge in cost of goods sold related to a batch planned for commercial use that did not meet our quality specifications.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7—INTANGIBLE ASSETS, NET</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Company’s intangible assets, net as of September 30, 2022 totaled $1,530,000 and related to capitalized milestone payments accrued following FDA approval and commercialization of DANYELZA. The intangible assets net book value as of September 30, 2022 is net of $270,000 of accumulated amortization.</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Company’s intangible assets, net as of December 31, 2021 totaled $1,663,000. The intangible assets net book value as of December 31, 2021 is net of $137,000 of accumulated amortization.</w:t>
      </w:r>
    </w:p>
    <w:p>
      <w:pPr>
        <w:spacing w:after="0" w:line="162"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Intangible assets are amortized on a straight-line basis based on a 10-year useful life of the assets. Annual amortization expense is expected to be $180,000 each year for the five-year period from 2022 to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short-term liabilities as of September 30, 2022 and December 31, 2021 are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4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licensing milestone and royalty payments</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board fees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reserves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9—LICENSE AGREEMENTS AND COMMITMENTS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entered into two license agreements and certain other agreements with Memorial Sloan Kettering Cancer Center (“MSK”). The license agreements, as previously disclosed in the Company’s Annual Report on Form 10-K, are the MSK License Agreement and the CD33 License Agreement. In addition, the Company entered into the SADA License Agreement with MSK and Massachusetts Institute of Technology (“MIT”) in 2020. Through a 2019 Settlement and Assumption and Assignment Agreement and Y-mAbs Sublicense Agreement (“SAAA”) with MabVax, Inc. (“MabVax”) and MSK, the Company has established a direct license (“MabVax Agreement”) with MSK relating to the GD2-GD3 Vaccine, which was originally sublicensed by the Company in 2018 from MabVax. These license agreements with MSK and MIT grant the Company certain patent rights and intellectual property rights, and in consideration thereof, the Company agreed to make certain payments and issue shares of the Company’s common stock to MSK and MIT. Certain of the payments are contingent milestone and royalty payments, as disclosed in the table below. Amounts disclosed in </w:t>
      </w:r>
      <w:r>
        <w:rPr>
          <w:rFonts w:ascii="Times New Roman" w:cs="Times New Roman" w:eastAsia="Times New Roman" w:hAnsi="Times New Roman"/>
          <w:sz w:val="17"/>
          <w:szCs w:val="17"/>
          <w:i w:val="1"/>
          <w:iCs w:val="1"/>
          <w:color w:val="auto"/>
        </w:rPr>
        <w:t>NOTE 8—ACCRUED LIABILITIES</w:t>
      </w:r>
      <w:r>
        <w:rPr>
          <w:rFonts w:ascii="Times New Roman" w:cs="Times New Roman" w:eastAsia="Times New Roman" w:hAnsi="Times New Roman"/>
          <w:sz w:val="17"/>
          <w:szCs w:val="17"/>
          <w:color w:val="auto"/>
        </w:rPr>
        <w:t xml:space="preserve"> for accrued milestone and royalty payments are inclusive of obligations under the MSK License Agreement, CD33 License Agreement, MabVax Agreement and SADA License Agreement, collectively.</w:t>
      </w:r>
    </w:p>
    <w:p>
      <w:pPr>
        <w:spacing w:after="0" w:line="17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following significant license agreements and related commitments which include all obligations that have been paid or accrued as of and for the three and nine months ended September 30, 2022 and 2021, and as of December 31, 2021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Accrued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0" w:type="dxa"/>
            <w:vAlign w:val="bottom"/>
          </w:tcPr>
          <w:p>
            <w:pPr>
              <w:spacing w:after="0"/>
              <w:rPr>
                <w:sz w:val="1"/>
                <w:szCs w:val="1"/>
                <w:color w:val="auto"/>
              </w:rPr>
            </w:pPr>
          </w:p>
        </w:tc>
      </w:tr>
      <w:tr>
        <w:trPr>
          <w:trHeight w:val="123"/>
        </w:trPr>
        <w:tc>
          <w:tcPr>
            <w:tcW w:w="2080" w:type="dxa"/>
            <w:vAlign w:val="bottom"/>
          </w:tcPr>
          <w:p>
            <w:pPr>
              <w:spacing w:after="0"/>
              <w:rPr>
                <w:sz w:val="10"/>
                <w:szCs w:val="10"/>
                <w:color w:val="auto"/>
              </w:rPr>
            </w:pPr>
          </w:p>
        </w:tc>
        <w:tc>
          <w:tcPr>
            <w:tcW w:w="72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6"/>
              </w:rPr>
              <w:t>Cash paid</w:t>
            </w:r>
          </w:p>
        </w:tc>
        <w:tc>
          <w:tcPr>
            <w:tcW w:w="6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rPr>
              <w:t>Cash paid</w:t>
            </w:r>
          </w:p>
        </w:tc>
        <w:tc>
          <w:tcPr>
            <w:tcW w:w="7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7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7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5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72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68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3"/>
              </w:rPr>
              <w:t>Nine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color w:val="auto"/>
                <w:w w:val="93"/>
              </w:rPr>
              <w:t>Nine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Nine months</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8"/>
              </w:rPr>
              <w:t>months</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5"/>
              </w:rPr>
              <w:t>Three months</w:t>
            </w:r>
          </w:p>
        </w:tc>
        <w:tc>
          <w:tcPr>
            <w:tcW w:w="7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Nine months</w:t>
            </w:r>
          </w:p>
        </w:tc>
        <w:tc>
          <w:tcPr>
            <w:tcW w:w="7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Three months</w:t>
            </w:r>
          </w:p>
        </w:tc>
        <w:tc>
          <w:tcPr>
            <w:tcW w:w="5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color w:val="auto"/>
                <w:w w:val="98"/>
              </w:rPr>
              <w:t>months</w:t>
            </w: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5"/>
              </w:rPr>
              <w:t>Current</w:t>
            </w: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rPr>
              <w:t>Non-current</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rPr>
              <w:t>Current</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Non-current</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5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color w:val="auto"/>
                <w:w w:val="98"/>
              </w:rPr>
              <w:t>ended</w:t>
            </w: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4"/>
              </w:rPr>
              <w:t>as of</w:t>
            </w: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rPr>
              <w:t>as of</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rPr>
              <w:t>as of</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as of</w:t>
            </w:r>
          </w:p>
        </w:tc>
        <w:tc>
          <w:tcPr>
            <w:tcW w:w="0" w:type="dxa"/>
            <w:vAlign w:val="bottom"/>
          </w:tcPr>
          <w:p>
            <w:pPr>
              <w:spacing w:after="0"/>
              <w:rPr>
                <w:sz w:val="1"/>
                <w:szCs w:val="1"/>
                <w:color w:val="auto"/>
              </w:rPr>
            </w:pPr>
          </w:p>
        </w:tc>
      </w:tr>
      <w:tr>
        <w:trPr>
          <w:trHeight w:val="12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Agreements</w:t>
            </w: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6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5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7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September</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December</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December</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2021</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MSK</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$ 2,871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$ 1,480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$ 753</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$ 2,513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$ 321</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$ 531</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$ 828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$ 1,950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$ 1,486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$ 1,650</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CD33</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MabVax</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SADA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The below table represents the maximum clinical, regulatory or sales-based milestones as reflected within the agreements, certain of which have been paid in prior periods or are accrued as presented in the table above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Clinical</w:t>
            </w: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Regulatory</w:t>
            </w: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Sales-based</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MSK</w:t>
            </w:r>
          </w:p>
        </w:tc>
        <w:tc>
          <w:tcPr>
            <w:tcW w:w="1080" w:type="dxa"/>
            <w:vAlign w:val="bottom"/>
            <w:tcBorders>
              <w:top w:val="single" w:sz="8" w:color="auto"/>
            </w:tcBorders>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w w:val="99"/>
              </w:rPr>
              <w:t>$ 2,450</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9"/>
              </w:rPr>
              <w:t>$ 9,000</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rPr>
              <w:t>$ 20,000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CD33</w:t>
            </w:r>
          </w:p>
        </w:tc>
        <w:tc>
          <w:tcPr>
            <w:tcW w:w="108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w w:val="96"/>
              </w:rPr>
              <w:t>550</w:t>
            </w:r>
          </w:p>
        </w:tc>
        <w:tc>
          <w:tcPr>
            <w:tcW w:w="140" w:type="dxa"/>
            <w:vAlign w:val="bottom"/>
          </w:tcPr>
          <w:p>
            <w:pPr>
              <w:spacing w:after="0"/>
              <w:rPr>
                <w:sz w:val="18"/>
                <w:szCs w:val="18"/>
                <w:color w:val="auto"/>
              </w:rPr>
            </w:pPr>
          </w:p>
        </w:tc>
        <w:tc>
          <w:tcPr>
            <w:tcW w:w="12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6"/>
              </w:rPr>
              <w:t>500</w:t>
            </w:r>
          </w:p>
        </w:tc>
        <w:tc>
          <w:tcPr>
            <w:tcW w:w="140" w:type="dxa"/>
            <w:vAlign w:val="bottom"/>
          </w:tcPr>
          <w:p>
            <w:pPr>
              <w:spacing w:after="0"/>
              <w:rPr>
                <w:sz w:val="18"/>
                <w:szCs w:val="18"/>
                <w:color w:val="auto"/>
              </w:rPr>
            </w:pPr>
          </w:p>
        </w:tc>
        <w:tc>
          <w:tcPr>
            <w:tcW w:w="128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MabVax</w:t>
            </w:r>
          </w:p>
        </w:tc>
        <w:tc>
          <w:tcPr>
            <w:tcW w:w="108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w w:val="96"/>
              </w:rPr>
              <w:t>200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w w:val="98"/>
              </w:rPr>
              <w:t>1,200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SADA</w:t>
            </w:r>
          </w:p>
        </w:tc>
        <w:tc>
          <w:tcPr>
            <w:tcW w:w="108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4,730</w:t>
            </w:r>
          </w:p>
        </w:tc>
        <w:tc>
          <w:tcPr>
            <w:tcW w:w="140" w:type="dxa"/>
            <w:vAlign w:val="bottom"/>
          </w:tcPr>
          <w:p>
            <w:pPr>
              <w:spacing w:after="0"/>
              <w:rPr>
                <w:sz w:val="20"/>
                <w:szCs w:val="20"/>
                <w:color w:val="auto"/>
              </w:rPr>
            </w:pPr>
          </w:p>
        </w:tc>
        <w:tc>
          <w:tcPr>
            <w:tcW w:w="126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18,125</w:t>
            </w:r>
          </w:p>
        </w:tc>
        <w:tc>
          <w:tcPr>
            <w:tcW w:w="140" w:type="dxa"/>
            <w:vAlign w:val="bottom"/>
          </w:tcPr>
          <w:p>
            <w:pPr>
              <w:spacing w:after="0"/>
              <w:rPr>
                <w:sz w:val="20"/>
                <w:szCs w:val="20"/>
                <w:color w:val="auto"/>
              </w:rPr>
            </w:pPr>
          </w:p>
        </w:tc>
        <w:tc>
          <w:tcPr>
            <w:tcW w:w="128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6"/>
              </w:rPr>
              <w:t>23,750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Research and development is inherently uncertain and should such research and development fail the MSK License Agreement, the CD33 License Agreement, the SADA License Agreement and the MabVax Agreement are cancelable at the Company’s option. The Company will also consider the development risk and each party’s termination rights under the respective agreement when considering whether any clinical or regulatory based milestone payments, certain of which also contain time-based payment requirements, are probable. The Company records milestones in the period in which the contingent liability is probable and the amount is reasonably estimable. With respect to the SADA License Agreement, all time-based milestones coming due within 36 months of the effective date of the agreement, totaling $605,000, have been accrued, as this continues to represent the time period the Company expects will be required to gather necessary clinical data to determine which patent rights to further pursue, if any, under the SADA License Agreement.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Other Agreements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full-time employees at MSK, who are engaged in transferring clinical data, databases, regulatory files and other know-how included in the MSK License Agreement to the Company; a master clinical trial agreement pursuant to which the Company committed to fund certain clinical trials at MSK; two separate core facility service agreements pursuant to which the Company committed to obtaining certain laboratory services from MSK; and in October 2020 the Company entered into a SADA sponsored research agreement pursuant to which the Company agreed to pay MSK to provide research services over a period of three years related to the intellectual property licensed under the SADA License Agreement.</w:t>
      </w:r>
    </w:p>
    <w:p>
      <w:pPr>
        <w:spacing w:after="0" w:line="18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the Company incurred research and development expenses of $458,000 and $833,000, respectively, under these agreements. For the nine months ended September 30, 2022 and 2021, the Company incurred research and development expenses of $1,505,000 and $2,728,000, respectively, under these agreements.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Lease Agreements</w:t>
      </w:r>
    </w:p>
    <w:p>
      <w:pPr>
        <w:spacing w:after="0" w:line="22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July 2019, the Company entered a development, manufacturing and supply agreement with SpectronRx in South Bend, Indiana, to secure access to clinical and commercial scale radiolabeling capacity for omburtamab. Under the terms of the agreement, SpectronRx has established a manufacturing unit designated for the Company within its existing facilities, at which both clinical and commercial supply of radiolabeled omburtamab can be produced. Since the Company possesses the right to substantially all the economic benefits and directs the use of the production area, the Company accounts for the payments related to the access to the manufacturing space under ASC 842 as an operating lease. The original term of the lease was two years from the commencement date of August 31, 2020, which was subsequently extended to December 2022. The extension resulted in an immaterial impact to the underlying right of use asset and lease liability. Upon the lease commencement date, the Company recorded $3,617,000 as right of use asset and $2,679,000 as lease liability with the difference of $938,000 resulting from certain prepayments and other costs incurred. The Company pays equal monthly installments of approximately $117,000 in additional access fees through December 2022 resulting in total payments of approximately $350,000 remaining under the extended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in connection with its 4,548 square feet laboratory in New Jersey. In December 2019, the Company expanded the space with an additional 235 square feet. The original term of the lease was three years from the date the Company occupied the premises, with an option to extend for an additional two years which expires in January 2024, which the Company exercised and has included in the determination of the related lease liability. Fixed rent payable under the lease is approximately $144,000 per annum and is payable in equal monthly installments of approximately $12,000.</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January 2018, the Company entered into a lease agreement in connection with its corporate headquarters in New York. The term of the lease is six years from the date the Company began to occupy the premises and expires in April 2024. Fixed rent payable under the lease is approximately $384,000 per annum and is payable in equal monthly installments of approximately $32,000, which are recognized on a straight-line basis.</w:t>
      </w:r>
    </w:p>
    <w:p>
      <w:pPr>
        <w:spacing w:after="0" w:line="180"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In February 2018, the Company entered into a lease agreement for certain office space in Denmark, which has been amended several times. The lease was renewed on November 1, 2021 with a four year term that expires in November 2025. The lease is payable in monthly installments of approximately $41,000, which are recognized on a straight-line basis.</w:t>
      </w:r>
    </w:p>
    <w:p>
      <w:pPr>
        <w:spacing w:after="0" w:line="15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Total operating lease costs were $721,000 and $644,000 for the three months ended September 30, 2022 and 2021, respectively, and $2,127,000 and $1,936,000 for the nine months ended September 30, 2022 and 2021, respectively.</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the operating lease expenses were recorded as $657,000 in research and development expense and $64,000 in general and administrative expense. For the three months ended September 30, 2021, the expenses were recorded as $584,000 in research and development expense and $60,000 in general and administrative expense. For the nine months ended September 30, 2022, the expenses were recorded as $1,937,000 in research and development expense and $190,000 in general and administrative expense. For the nine months ended September 30, 2021, the expenses were recorded as $1,758,000 in research and development expense and $178,000 in general and administrative expense.</w:t>
      </w:r>
    </w:p>
    <w:p>
      <w:pPr>
        <w:spacing w:after="0" w:line="189"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three and nine months ended September 30, 2022 was $481,000 and $1,689,000, respectively, and cash paid for amounts included in the measurement of lease liabilities for the three and nine months ended September 30, 2021 was $548,000 and $1,641,000, respectively. These payments were included in net cash used in operating activities in the Company’s Consolidated Statements of Cash Flows.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2022 were as follows (in thousands):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September 30, 2022</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September 30, 2022</w:t>
            </w:r>
          </w:p>
        </w:tc>
        <w:tc>
          <w:tcPr>
            <w:tcW w:w="3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operating leases as of December 31, 2021 were as follows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99"/>
        </w:trPr>
        <w:tc>
          <w:tcPr>
            <w:tcW w:w="740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jc w:val="right"/>
              <w:ind w:right="67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29"/>
        </w:trPr>
        <w:tc>
          <w:tcPr>
            <w:tcW w:w="740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jc w:val="right"/>
              <w:ind w:right="67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jc w:val="right"/>
              <w:ind w:right="67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December 31, 2021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September 30, 2022, the weighted average remaining lease term is 2.18 years and the weighted average discount rate used to determine the operating lease liability was 6.8%. As of December 31, 2021, the weighted average remaining lease term was 2.62 years and the weighted average discount rate used to determine the operating lease liability was 6.5%.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Former Chief Executive Officer Contractual Severance Related Benefits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April 27, 2022, the Company announced certain executive management changes. Effective April 22, 2022, Dr.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Claus Møller stepped down from his positions as Chief Executive Officer and as a member of the Company’s Board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Directors. There were no disagreements with the Company expressed by Dr. Møller on any matters relating the Company’s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policies or practices. Dr. Møller’s contractual severance related benefits provided for cash compensation of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$1,589,000, which includes salary and certain benefits continuation. Also, under terms of the equity award agreement, Dr.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Møller’s outstanding stock option awards will continue to vest as scheduled and become exercisable when vested. This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resulted in a non-cash share-based compensation expense charge of $9,286,000 that the Company recognized in nine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ended September 30, 2022 as there is no longer a service condition related to such awards. The total charge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$10,875,000 related to executive management change was recorded in selling, general and administrative expenses during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nine months ended September 30, 2022. The Company entered into a separation agreement with Dr. Møller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2022, which resulted in de minimis incremental charge.</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been named a nominal defendant in a lawsuit filed in the U.S. District Court, Southern District of New York, on August 25, 2021, by one of our stockholders, Deborah Donoghue and in a related lawsuit filed in the U.S. District Court, Southern District of New York, on October 10, 2022 by one of our stockholders, Mark Rubenstein. The suits name our President, Interim Chief Executive Officer and Head of Business Development and Strategy, and member of our board of directors, Mr. Thomas Gad as an additional defendant, and they seek to compel Mr. Gad to disgorge alleged short swing profits stemming from a certain transaction involving our common stock undertaken by Mr. Gad on March 10, 2021 together with appropriate interest and costs of the lawsuit. On December 17, 2021, Mr. Gad filed a Motion to Dismiss the lawsuit by Ms. Donoghue. On August 8, 2022, the Court denied Mr. Gad’s Motion to Dismiss the lawsuit. As a result, the lawsuit by Ms. Donoghue has entered the discovery phase. Mark Rubenstein is represented by the same lawfirm as was Ms. Donoghue. Mr. Rubenstein had sought to intervene to continue the litigation instigated by Ms. Donahue on her passing, but was denied by the court. We are of the opinion that the claims are without merit and intend to maintain this position in the proceedings. In addition, we have been informed by Mr. Gad that he also believes the claims are without merit, that he has strong defenses against such claims and that he intends to vigorously defend the actions. We have assessed the proceedings and do not believe that it is probable that a gain or a liability will be realized by us. As a result, we did not record any loss or gain contingencies for this matter.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has authorized a total of 105,500,000 shares, 100,000,000 of which are common stock, par value $0.0001 per share, and 5,500,000 of which are preferred stock, par value $0.0001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43,668,130 shares of its common stock as of September 30, 2022 and 43,694,716 shares of its common stock as of December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399" w:firstLine="648"/>
        <w:spacing w:after="0" w:line="289" w:lineRule="auto"/>
        <w:rPr>
          <w:sz w:val="20"/>
          <w:szCs w:val="20"/>
          <w:color w:val="auto"/>
        </w:rPr>
      </w:pPr>
      <w:r>
        <w:rPr>
          <w:rFonts w:ascii="Times New Roman" w:cs="Times New Roman" w:eastAsia="Times New Roman" w:hAnsi="Times New Roman"/>
          <w:sz w:val="17"/>
          <w:szCs w:val="17"/>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September 30, 2022 or December 31, 2021.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grant agreements with non-employees</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April 2020, in connection with the SADA License Agreement, the Company entered into certain stock grant agreements pursuant to which it agreed to issue a total of 213,996 shares to two non-employee researchers who were involved in the development of the SADA-BiDE (2-step Self-Assembly and DisAssembly-Bispecific DOTA-Engaging antibody system) Pre-targeted Radioimmunotherapy Platform (the “SADA Technology”) licensed from MSK and MIT in consideration for their prior service. All 213,996 shares were issued in April 2020 into escrow with 40% of the shares immediately vesting at the time of issuance and the remaining 60% of the shares subject to vesting ratably over the next three years on the anniversary date of the agreement. In accordance with the terms of the agreement, during the nine months ended September 30, 2022, the non-employee researchers vested in an additional 20% of the awards. Therefore, as of September 30, 2022, the two non-employee researchers have vested in 80% of the total grant with the remaining 20% vesting on the anniversary date of the agreement in April 2023. The unvested shares are subject to forfeiture to the extent the SADA License Agreement is terminated prior to the vesting of the shares. There is no cash settlement feature, and no future service is required for the non-employee researchers to vest and receive the shares. In April 2020, the Company recognized $7,376,000, the fair value of the issued shares on the grant date, within research and development expense. There is no future expense related to these awards.</w:t>
      </w:r>
    </w:p>
    <w:p>
      <w:pPr>
        <w:spacing w:after="0" w:line="19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July 2020, pursuant to the stock grant agreements, the Company also loaned the two researchers a total of $2,610,000 related to their individual tax payments due in conjunction with the stock grants. Each of the loans are evidenced by a three year Secured Promissory Note, which matures in April 2023. The outstanding principal amounts of the loans, together with all accrued interest thereon at the rate of 1% per annum, is due and payable on the maturity date of the loans. The loans are secured by Pledge and Security Agreements, pursuant to which the researchers have pledged the shares as security for repayment of the loans with interest rates that are at market. In July 2022, one of the researchers repaid their Secured Promissory Note and accrued interest, which resulted in a de minimis loss compared to the amortized cost of the loan, in exchange for 57,887 shares that were pledged as part of their security. Upon receipt, the Company recorded treasury shares at an acquisition cost of $963,000, based on the share closing price on the settlement date. The Company subsequently cancelled the acquired treasury shares resulting in a reduction of outstanding common stock and a reduction of additional paid-in-capital totaling $963,000. The other loan is recorded at amortized cost, which approximates fair value due to the maturity dates of the loan. The remaining loan is included in other current assets on the Company’s Consolidated Balance Sheets as of September 30, 2022 and both loans are included in other assets on the Company’s Consolidated Balance Sheets as of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February 22, 2021, the Company completed a third public offering of its common stock pursuant to which the Company issued and sold 2,804,878 shares of its common stock at a price to the public of $41.00 per share which included the exercise in full of the underwriters’ option to purchase additional shares. The Company received aggregate gross proceeds from the public offering of $115,000,000, with aggregate net proceeds of approximately $107,725,000 after deducting underwriting discounts and commissions and offering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11—SHARE-BASED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have approved and adopted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its parent and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 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parent and subsidiary corporations’ employees and consultants. A total of 5,500,000 shares of the Company’s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the Company’s immediately preceding fiscal year. The exercise price of options granted under the plans must at least be equal to the fair market value of the Company’s common stock on the date of grant. The term of an incentive stock option may not exceed 10 years, except that with respect to any participant who owns more than 10% of the voting power of all classes of the Company’s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between one and four years and generally become immediately exercisable upon the occurrence of a change in control, as defined.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three month periods ended September 30, 2022 and 2021, stock-based compensation for stock option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grants were $3,257,000 and $4,829,000, respectively, for options granted to employees and directors. For the three months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September 30, 2022, the expenses were recorded as $1,801,000 in research and development expense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$1,456,000 in selling, general, and administrative expense. For the three months ended September 30, 2021, the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were recorded as $1,827,000 in research and development expense and $3,002,000 in selling, general, and administrative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the nine month periods ended September 30, 2022 and 2021, stock-based compensation for stock option grants were $21,822,000 and $14,209,000, respectively, for options granted to employees and directors. Stock-based compensation during the nine months ended September 30, 2022 includes $9,286,000 related to the departure of the former Chief Executive Officer, which was recorded upon his separation in the second quarter of 2022 based on the terms of his service agreement and is further described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For the nine months ended September 30, 2022, the expenses were recorded as $5,582,000 in research and development expense and $16,240,000 in selling, general, and administrative expense. For the nine months ended September 30, 2021, the expenses were recorded as $5,271,000 in research and development expense and $8,938,000 in selling, general, and administrative expense.</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common stock options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6,687,128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September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7,083,767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4,556,127</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18.95</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21,543</w:t>
            </w: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stock options granted for the three months ended September 30, 2022 and 2021 was $10.14 and $20.19, respectively. There were 210,000 and 102,000 stock options granted for the three months ended September 30, 2022 and 2021, respectively.</w:t>
      </w:r>
    </w:p>
    <w:p>
      <w:pPr>
        <w:spacing w:after="0" w:line="1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stock options granted for the nine months ended September 30, 2022 and 2021 was $7.88 and $20.85, respectively. There were 635,000 and 311,000 stock options granted for the nine months ended September 30, 2022 and 2021,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Options granted in the three and nine months ended September 30, 2022, have a maximum contractual term of ten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255,000 options were granted to senior executives and certain other employees under a retention program for their continued service to the Company over the next two years from the grant date. The options granted under the retention program have a vesting schedule in which 50% vest on the first anniversary of the grant date and the remainder vest on the second anniversary of the grant date, provided in each case that the recipient remains an employee of the Company through each vesting date. The expected term for the options granted under the retention program was 5.75 years and the risk-free interest rate was approximately 2.8%. The remaining 170,000 options granted in the second quarter of 2022, have a vesting schedule in which 25% vest on the first anniversary of the grant date and the remainder vest ratably on a monthly basis over the next 36 months, provided in each case that the recipient remain an employee of the Company through each vesting date. The expected term of those options was 6.25 years and the risk-free interest rate was approximately 2.8%.</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above noted retention program also included a cash bonus payable to the same senior executives and other employees that is payable on the anniversary of the grant date provided that the respective recipient remains an employee of the Company through such date and subject further to the achievement by such date of the Company’s product candidate omburtamab having received marketing approval by the FDA. The Company did not record compensation expense related to the cash retention program in the three and nine months ended September 30, 2022, as the payment will not be deemed probable until the Company receives FDA approval for omburtamab. The aggregate value of the cash bonus portion of the retention program is $1,091,000 as of September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the Company estimates its expected share price volatility based on a combination of the historical volatility of a group of publicly traded peer companies and the historical volatility of the Y-mAbs share price, and the Company expects to continue to do so until such time as the Company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shares of its common stock and does not expect to pay any cash dividends in the foreseeable future. There were no significant changes to the inputs included in the Black-Scholes option pricing model during the three and nine months ended September 30, 2022.</w:t>
      </w:r>
    </w:p>
    <w:p>
      <w:pPr>
        <w:spacing w:after="0" w:line="19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$25,520,000 of unrecognized compensation expense related to employee stock options that are expected to vest over a period of 2.47 years. As of September 30, 2021, the Company had $44,357,000 of unrecognized compensation expense related to employee stock options that are expected to vest over a period of 2.61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2022 and September 30, 2021, stock-based compensation for restricted stock unit grants was $84,000 and $72,000, respectively. For the three months ended September 30, 2022, the expenses were recorded as $74,000 in research and development expense and $10,000 in selling, general, and administrative expense. For the three months ended September 30, 2021, the expenses were recorded as $63,000 in research and development expense and $9,000 in selling, general, and administrative expense.</w:t>
      </w:r>
    </w:p>
    <w:p>
      <w:pPr>
        <w:spacing w:after="0" w:line="18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and September 30, 2021, stock-based compensation for restricted stock unit grants was $242,000 and $217,000, respectively. For the nine months ended September 30, 2022, the expenses were recorded as $215,000 in research and development expense and $27,000 in selling, general, and administrative expense. For the nine months ended September 30, 2021, the expenses were recorded as $194,000 in research and development expense and $23,000 in selling, general, and administrative expense.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restricted stock units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2"/>
              </w:rPr>
              <w:t>$ 28.04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25.98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29.81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September 30,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2"/>
              </w:rPr>
              <w:t>$ 18.42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2022, the Company had $504,000 of unrecognized compensation related to employee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stock units that are expected to vest over a period of 2.00 years. As of September 30, 2021, the Company had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$631,000 of unrecognized compensation related to employee restricted stock units that are expected to vest over a period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1.91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MSK is a shareholder of the Company. Under the MSK License Agreement, the SADA License Agreement, the CD33 License Agreement, the MabVax Agreement and various other supporting agreements with MSK, the Company has expensed costs in the total amount of $1,221,000 and $1,154,000 in the three months ended September 30, 2022 and 2021, respectively, for milestones, minimum royalties, and research and development costs. The Company expensed costs in the total amounts of $4,028,000 and $3,259,000 in the nine months ended September 30, 2022 and 2021, respectively, under these agreements with MSK. Please refer to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for additional details on the Company’s agreements with MSK. As of September 30, 2022, the Company had a total of $275,000 recorded as accounts payable and $4,486,000 as accrued liabilities, thereby totaling $4,761,000 due to MSK. As of December 31, 2021, the Company had a total of $748,000 recorded as accounts payable, $5,443,000 as accrued liabilities, thereby totaling $6,191,000 due to MSK.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13—INCOME TAXES</w:t>
      </w:r>
    </w:p>
    <w:p>
      <w:pPr>
        <w:spacing w:after="0" w:line="22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no current and deferred income taxes on net losses of $27,526,000 and $28,858,000 for the three month periods ended September 30, 2022 and 2021, respectively, and net losses of $96,725,000 and $18,382,000 for the nine month periods ended September 30, 2022 and 2021, respectively.</w:t>
      </w:r>
    </w:p>
    <w:p>
      <w:pPr>
        <w:spacing w:after="0" w:line="176"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The Company recognizes income tax benefits for tax positions determined more likely than not to be sustained upon examination, based on the technical merits of the positions. Unrecognized tax benefits were $0 and $304,000 at September 30, 2022 and December 31, 2021, respectively. As of September 30, 2022 and December 31, 2021, the Company did not have any interest or penalties accrued related to the total amount of unrecognized tax benefits. The Company’s tax returns for the years 2020, 2019, 2018, and 2017 are open for tax examination by U.S. federal and state and Danish tax authorities. During 2022, the review of the Company’s transfer pricing policies by the Danish Tax Authorities for tax years 2016 through 2020 was completed resulting in no material impacts to the Company’s income tax accounts.</w:t>
      </w:r>
    </w:p>
    <w:p>
      <w:pPr>
        <w:spacing w:after="0" w:line="171"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14—OTHER BENEFITS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 defined contribution 401(k) savings plan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for the three or nine months ended September 30, 2022 and 2021.</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has established a retirement program for employees of the Company’s Danish subsidiary pursuant to which all such employees can contribute an amount at their election from their base compensation and may receive contributions from the Company’s Danish subsidiary. No contributions from the Danish subsidiary were made for the three and nine months ended September 30, 2022 and 2021. In addition, health insurance benefits for the Company’s Danish employees are fully paid for by such employees. The Company’s Danish subsidiary does not incur any costs for these health insurance benefits.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—GAIN FROM SALE OF PRIORITY REVIEW VOUCHER</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On December 28, 2020, the Company announced that it entered into a definitive agreement to sell its DANYELZA Priority Review Voucher, or PRV, to United Therapeutics Corporation for $105,000,000. The PRV was granted in conjunction with the approval by the FDA of DANYELZA, for the treatment of refractory/relapsed high-risk neuroblastoma. Under the terms of the Company’s license agreement with MSK, the Company retained 60% of the net proceeds received from the sale, and the remaining 40% was paid to MSK. The transaction closed on January 21, 2021 and once the substantive closing conditions included within the agreement were resolved the Company recognized a net gain of $62,010,000 during the nine months ended September 30, 2021 related to the sale.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recognize a corresponding gain during the three and nine months ended September 30,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Subsequent Event</w:t>
      </w:r>
    </w:p>
    <w:p>
      <w:pPr>
        <w:spacing w:after="0" w:line="229"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The Company resubmitted its Biologics License Application (“BLA”), to the FDA for radiolabeled 131I omburtamab for central nervous system, leptomeningeal metastases from neuroblastoma in March 2022 and in May 2022, the FDA accepted our BLA for priority review. The FDA set an action date of November 30, 2022 under the Prescription Drug User Fee Act (“PDUFA”), and convened a meeting of its Oncologic Drugs Advisory Committee (the “Advisory Committee”), on October 28, 2022. The Advisory Committee voted 16 to 0 that the BLA did not provide sufficient evidence to conclude that omburtamab improves overall survival among the target patient population. The FDA is not bound by the Advisory Committee’s recommendations but generally takes the recommendation into consideration when making its decision, and the Company can provide no assurance that omburtamab will ultimately receive FDA approval.</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accompanying consolidated financial statements and related notes thereto included elsewhere in this Quarterly Report on Form 10-Q and in our Annual Report on Form 10-K for the year ended December 31, 2021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spacing w:after="0" w:line="168"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8"/>
          <w:szCs w:val="18"/>
          <w:color w:val="auto"/>
        </w:rPr>
        <w:t>Our only approved drug DANYELZA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(naxitamab-gqgk) was approved by the United States Food and Drug Administration, or FDA, in November 2020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the product in February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w:t>
      </w:r>
    </w:p>
    <w:p>
      <w:pPr>
        <w:spacing w:after="0" w:line="172" w:lineRule="exact"/>
        <w:rPr>
          <w:sz w:val="20"/>
          <w:szCs w:val="20"/>
          <w:color w:val="auto"/>
        </w:rPr>
      </w:pPr>
    </w:p>
    <w:p>
      <w:pPr>
        <w:ind w:left="60" w:right="59" w:firstLine="648"/>
        <w:spacing w:after="0" w:line="244" w:lineRule="auto"/>
        <w:rPr>
          <w:sz w:val="20"/>
          <w:szCs w:val="20"/>
          <w:color w:val="auto"/>
        </w:rPr>
      </w:pPr>
      <w:r>
        <w:rPr>
          <w:rFonts w:ascii="Times New Roman" w:cs="Times New Roman" w:eastAsia="Times New Roman" w:hAnsi="Times New Roman"/>
          <w:sz w:val="18"/>
          <w:szCs w:val="18"/>
          <w:color w:val="auto"/>
        </w:rPr>
        <w:t xml:space="preserve">We submitted a Biologics License Application, or BLA, to the FDA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following a series of meetings with the FDA, and in May 2022, the FDA accepted our BLA for priority review. The FDA set an action date of November 30, 2022 under the Prescription Drug User Fee Act, or PDUFA, and convened a meeting of its Oncologic Drugs Advisory Committee, or the Advisory Committee, on October 28, 2022. The Advisory Committee voted 16 to 0 that the BLA did not provide sufficient evidence to conclude that omburtamab improves overall survival among the target patient population. The FDA is not bound by the Advisory Committee’s recommendations but generally takes the recommendation into consideration when making its decision, and we can provide no assurance that omburtamab will ultimately receive FDA approval.</w:t>
      </w:r>
    </w:p>
    <w:p>
      <w:pPr>
        <w:spacing w:after="0" w:line="197"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Additionally, we are conducting clinical studies with omburtamab in diffuse intrinsic pontine glioma, or DIPG, and desmoplastic small round cell tumor, or DSRCT. We also have two omburtamab follow-on product candidates.</w:t>
      </w:r>
    </w:p>
    <w:p>
      <w:pPr>
        <w:spacing w:after="0" w:line="140" w:lineRule="exact"/>
        <w:rPr>
          <w:sz w:val="20"/>
          <w:szCs w:val="20"/>
          <w:color w:val="auto"/>
        </w:rPr>
      </w:pPr>
    </w:p>
    <w:p>
      <w:pPr>
        <w:ind w:left="60" w:right="59" w:firstLine="648"/>
        <w:spacing w:after="0" w:line="230" w:lineRule="auto"/>
        <w:rPr>
          <w:sz w:val="20"/>
          <w:szCs w:val="20"/>
          <w:color w:val="auto"/>
        </w:rPr>
      </w:pPr>
      <w:r>
        <w:rPr>
          <w:rFonts w:ascii="Times New Roman" w:cs="Times New Roman" w:eastAsia="Times New Roman" w:hAnsi="Times New Roman"/>
          <w:sz w:val="18"/>
          <w:szCs w:val="18"/>
          <w:color w:val="auto"/>
        </w:rPr>
        <w:t>We are advancing a new generation of antibody constructs based on our proprietary SADA-BiDE (2-step Self-Assembly and DisAssembly-Bispecific DOTA-Engaging antibody system) Pre-targeted Radioimmunotherapy Platform, or SADA Technology, to create SADA constructs. Bispecific antibody fragments bind to the tumor before a radioactive payload is injected in a two-step approach. We also refer to the SADA Technology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We have designated GD2-SADA for potential use in GD2 positive solid tumors as our first SADA constructs and in December 2021 we filed an IND for GD2-SADA. We obtained clearance for the IND in July 2022, and the first clinical site is scheduled to be open during the fourth quarter of 2022. We have secured clinical supplies for a medical radioisotope no-carrier-added, or n.c.a., lutetium-177 from ITM Isotope Technologies Munich SE, or ITM, who will provide its n.c.a.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 for phase 1-3 clinical development of GD2-SADA.</w:t>
      </w:r>
    </w:p>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We believe the SADA Technology could potentially improve the efficacy of radiolabeled therapeutics in tumors that have not historically demonstrated meaningful responses to radiolabeled agents.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Based on the Y-BiClone platform, we have a new generation of T cell engaging bispecific antibodies, or BsAbs, that may destroy tumor cells by recruitment of host T cells. Our Y-BiClone format contains two binding arms for the tumor target and two binding arms for T cells. This format was designed to have the smallest binding affinity necessary to recruit T cells. We are advancing a CD33 BsAb for the treatment of hematological cancers expressing CD33, a transmembrane receptor expressed on cells of myeloid lineage, for which we filed an IND in December 2021 and treated the first patients earlier this year. We believe our BsAbs have the potential to result in improved tumor binding, longer serum half-life and significantly greater T cell mediated killing of tumor cells without the need for continuous infusion. Our Phase 2 trial with nivatrotamab, a GD2 BsAb product candidate, for Small Cell Lung Cancer, or SCLC, and our Phase 1/2 trial for the treatment of refractory GD2 positive adult and pediatric solid tumors are in the process of being wound down in order to allow for reallocation of resources to our SADA constructs.</w:t>
      </w:r>
    </w:p>
    <w:p>
      <w:pPr>
        <w:spacing w:after="0" w:line="194"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a leader in developing better and safer antibody-based pediatric oncology products addressing clear unmet medical needs and, as such, have a transformational impact on the lives of patients. We intend to continue to advance and expand our product pipeline into certain adult cancer indications either independently or in collaboration with potential partners.</w:t>
      </w:r>
    </w:p>
    <w:p>
      <w:pPr>
        <w:spacing w:after="0" w:line="18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private placements of our securities, proceeds from our IPO and proceeds from our two subsequent public offerings, revenues generated from DANYELZA, license revenues, and the proceeds from our sale of the Priority Review Voucher, or PRV, obtained upon FDA approval of DANYELZA.</w:t>
      </w:r>
    </w:p>
    <w:p>
      <w:pPr>
        <w:spacing w:after="0" w:line="15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On February 22, 2021, we completed our most recent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this offering of $115.0 million, with aggregate net proceeds of approximately $107.7 million after deducting underwriting discounts and commissions and offering expenses.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approval by the FDA of DANYELZA in November 2020 we received a PRV which we subsequently sold to United Therapeutics Corporation for a purchase price of $105 million. We paid 40% of the net proceeds from the sale of the PRV to MSK as required under the terms of the MSK License. The transaction closed in January 2021 upon the resolution of the substantive closing conditions, and the gain was recognized within “Other Income, Net” on the Consolidated Statements of Net Loss and Comprehensive Loss for the nine months ended September 30, 2021. In the event the FDA approves omburtamab, we expect that we would receive another PRV, and upon a potential sale of such voucher we would be obligated to pay 33% of the net proceeds from such sale to MSK.</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2022, we had an accumulated deficit of $437.2 million. Our net loss was $27.5 million and $96.7 million for the three and nine months ended September 30, 2022, and our net loss was $28.9 million for the three months ended September 30, 2021 and $18.4 million for the nine months ended September 30, 2021. We have incurred significant net operating losses in every year since our inception and expect to continue to incur net operating losses and significant expenses for the foreseeable future. Our net losses may fluctuate significantly from quarter to quarter and year to year as we:</w:t>
      </w:r>
    </w:p>
    <w:p>
      <w:pPr>
        <w:spacing w:after="0" w:line="187" w:lineRule="exact"/>
        <w:rPr>
          <w:sz w:val="20"/>
          <w:szCs w:val="20"/>
          <w:color w:val="auto"/>
        </w:rPr>
      </w:pPr>
    </w:p>
    <w:p>
      <w:pPr>
        <w:ind w:left="60" w:right="119" w:firstLine="638"/>
        <w:spacing w:after="0" w:line="282"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product candidates through the regulatory approval process both in the U.S. and internationally;</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other product candidates through pre-clinical and clinical development;</w:t>
      </w:r>
    </w:p>
    <w:p>
      <w:pPr>
        <w:spacing w:after="0" w:line="225" w:lineRule="exact"/>
        <w:rPr>
          <w:rFonts w:ascii="Times New Roman" w:cs="Times New Roman" w:eastAsia="Times New Roman" w:hAnsi="Times New Roman"/>
          <w:sz w:val="18"/>
          <w:szCs w:val="18"/>
          <w:color w:val="auto"/>
        </w:rPr>
      </w:pPr>
    </w:p>
    <w:p>
      <w:pPr>
        <w:ind w:left="60" w:right="359" w:firstLine="638"/>
        <w:spacing w:after="0" w:line="282"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efforts to identify additional research programs and additional product candidates, as well as additional indications for existing product candidates;</w:t>
      </w:r>
    </w:p>
    <w:p>
      <w:pPr>
        <w:spacing w:after="0" w:line="161"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sales force, commercialization, clinical and scientific personnel.</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August 2015, we entered into a license agreement with MSK, or the MSK License, pursuant to which we have obtained exclusive rights to MSK’s rights in our current antibody product candidates including DANYELZA and omburtamab. Under the MSK License, we committed to funding scientific research at MSK as well as conducting certain clinical trial activities at MSK. As these product candidates progress through clinical development, regulatory approval and commercialization, certain milestone payments will come due to MSK either as a result of the milestones having been met or the passage of time even if the milestones have not been met. Also, we owe MSK mid-to-high single digit royalties on commercial sales of our approved products. In addition, we have committed to obtain certain personnel and laboratory services at MSK under our Master Data Services Agreement, or MDSA, and two separate Core Facility Service Agreements, or CFSAs. Under our Investigator-Sponsored Master Clinical Trial Agreement, or MCTA, with MSK, we will provide drug product and funding for certain clinical trials at MSK.</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April 15, 2020, we entered into the SADA Technology License Agreement, or the SADA License Agreement, with MSK and Massachusetts Institute of Technology, or MIT, that grants us an exclusive, worldwide, sublicensable license to certain patent and intellectual property rights developed by MSK and MIT to develop,</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7"/>
          <w:szCs w:val="17"/>
          <w:color w:val="auto"/>
        </w:rPr>
        <w:t>manufacture, and commercialize licensed products and to perform services for all therapeutic and diagnostic uses in the field of cancer diagnostics and cancer treatments using the SADA Technology, a concept we also refer to as Liquid Radiation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 During the year ended December 31, 2021, we made a cash payment in the amount of $1.0 million to MSK and MIT under the agreement. During the nine months ended September 30, 2022 we made another cash payment in the amount of $1.0 million to MSK and MIT under the agreement.</w:t>
      </w:r>
    </w:p>
    <w:p>
      <w:pPr>
        <w:spacing w:after="0" w:line="192"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As required under the SADA License Agreement, in October 2020, we entered into a Sponsored Research Agreement with MSK to fund $1.5 million in scientific research at MSK over the following three years.</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Further, the SADA License Agreement requires us to pay to MSK and MIT mid to high single-digit royalties based on annual net sales of licensed products or the performance of licensed services by us and our affiliates and sublicensees. We are obligated to pay minimum annual royalties of $40,000, which shall increase to $60,000 once a patent has been issued, over the royalty term, commencing on the tenth anniversary of the license agreement. These amounts are non-refundable but are creditable against royalty payments otherwise due under the SADA License Agreement. As of September 30, 2022, we have determined that payment of the minimum royalties is not probable, and accordingly have not accrued for such royalties as of September 30, 2022.</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the SADA License Agreement, we are also obligated to pay MSK and MIT certain clinical, regulatory and sales-based milestone payments. Certain of the clinical and regulatory milestone payments become due at the earlier of either the completion of the related milestone activity or the date indicated in the SADA License Agreement. Total clinical and regulatory milestones potentially due under the SADA License Agreement are approximately $4.7 million and $18.1 million, respectively. Sales based milestone payments, totaling approximately $23.8 million, become due should the Company achieve certain amounts of sales. In addition, for each of the SADA constructs generated by MSK and sold on behalf of the Company by a sublicensee, the Company is obligated to make sales-based milestone payments in the total amount up to $60.0 million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 As of September 30, 2022, we have accrued $0.6 million of the clinical based milestones under the SADA License Agreement which we considered to be estimable and probable and we expect to pay this amount within one year.</w:t>
      </w:r>
    </w:p>
    <w:p>
      <w:pPr>
        <w:spacing w:after="0" w:line="19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These MSK agreements are important to our business. For a more detailed discussion of the terms and conditions of certain of these agreements, see </w:t>
      </w:r>
      <w:r>
        <w:rPr>
          <w:rFonts w:ascii="Times New Roman" w:cs="Times New Roman" w:eastAsia="Times New Roman" w:hAnsi="Times New Roman"/>
          <w:sz w:val="18"/>
          <w:szCs w:val="18"/>
          <w:i w:val="1"/>
          <w:iCs w:val="1"/>
          <w:color w:val="auto"/>
        </w:rPr>
        <w:t>NOTE 9—LICENSE AGREEMENTS AND COMMITMENTS.</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securities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business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Omburtamab BLA and Advisory Committee Meeting</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August 2016, the FDA granted Orphan Drug Designation, or ODD, to omburtamab for NB, and in June 2017, the compound received breakthrough designation for the treatment of pediatric patients with R/R NB who have central nervous system, or CNS, leptomeningeal metastases, or LM, from NB. We submitted a Biologics License Application, or BLA, to the FDA for omburtamab for CNS /LM from NB in August 2020, and received a Refusal-to-File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following a series of meetings with the FDA, and in May 2022, the agency accepted our BLA for priority review. The FDA set an action date of November 30, 2022 under the Prescription Drug User Fee Act, or PDUFA, and convened a meeting of its Oncologic Drugs Advisory Committee, or the Advisory Committee, on October 28, 2022. The Advisory Committee voted 16 to 0 that the BLA did not provide sufficient evidence to conclude that omburtamab improves overall survival among the target patient population. The FDA is not bound by the Advisory Committee’s recommendations but generally takes the recommendation into consideration when making its decision. It is uncertain, and we can provide no assurance, that omburtamab will ultimately receive FDA approval. We may receive a Complete Response Letter from the FDA for our omburtamab BLA, which would mean that the application is not approvable in its present form and would require resubmission, potentially with additional clinical studies. Depending on the FDA’s decision, we may choose not to pursue development of omburtamab as previously anticipated or at all.</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DANYELZA Regulatory Developments</w:t>
      </w:r>
    </w:p>
    <w:p>
      <w:pPr>
        <w:spacing w:after="0" w:line="227"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On August 30, 2022, we announced that the Israeli Ministry of Health approved DANYELZA for marketing in Israel. We expect that our partner Takeda Israel, a wholly owned subsidiary of Takeda Pharmaceutical Company Limited (TSE:4502/NSY:TAK), will commercialize DANYELZA in Israel, under the 2020 exclusive license and distribution agreement with Takeda Israel. On September 26, 2022, we announced that our partner Adium Pharma S.A. submitted a regulatory filing for DANYELZA for the treatment of patients with R/R high-risk NB to the Brazilian Health Regulatory Agency.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Known Trends, Geopolitical Events and Uncertainties</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additional risks and uncertainties as a result of the continued spread of COVID-19, adverse geopolitical and macroeconomic events, such as the ongoing conflict between Ukraine and Russia and related sanctions, and uncertain market conditions, including higher inflation and supply chain disruptions, which could continue to have a material impact on our business and financial results.</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ongoing COVID-19 pandemic. The extent to which the COVID-19 pandemic impacts our operations or those of our third party partners, including our pre-clinical studies, clinical trials, manufacturing operations and commercialization efforts, will depend on future developments, which are highly uncertain and cannot be predicted with confidence, including the duration of the outbreak, new information that will emerge concerning the severity of the COVID-19 pandemic, the emergence of new variants of the virus and the actions to contain the coronavirus or treat its impact, among others. The COVID-19 pandemic was limiting certain commercialization efforts for DANYELZA and also led to slower initiation of new clinical trials and a fluctuating rate of recruitment for ongoing clinical trials, which has delayed our clinical development activities and thereby postponed certain accompanying costs.</w:t>
      </w:r>
    </w:p>
    <w:p>
      <w:pPr>
        <w:spacing w:after="0" w:line="192"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Given the continued evolution of the COVID-19 pandemic and the related complexities and uncertainties associated with the additional variants, the future effects of COVID-19 are unknown and our financial results may be negatively affected in the future. The COVID-19 pandemic may also have long-term effects on the nature of the office environment and remote working, which may present strategy, operational, talent recruiting and retention and workplace culture challenges that may adversely affect our business.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longer-term adverse impacts on Russia, Ukraine and Europe and around the globe.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This has negatively impacted our plans to commercialize and sell DANYELZA in Russia and may therefore adversely affect our business. In addition, the war between Russia and Ukraine has had significant ramifications on global financial and energy markets, including volatility in the U.S. and global financial markets, which has led to disruptions to trade, commerce, pricing stability, credit availability, supply chain continuity and reduced access to liquidity globally, and has caused and may continue to cause volatility in the price of our common stock, which may adversely impact our ability to raise capital on favorable terms or at all.</w:t>
      </w:r>
    </w:p>
    <w:p>
      <w:pPr>
        <w:spacing w:after="0" w:line="19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recent trends towards rising inflation may also materially affect our business and corresponding financial position and cash flows. Inflationary factors, such as increases in the cost of our clinical trial materials and supplies, interest rates and overhead costs may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demand for our product and our operations. Furthermore, such economic conditions have produced downward pressure on share prices. We may experience increases on our operating costs, including our labor costs and research and development costs, due to supply chain constraints, consequences associated with COVID-19 and the ongoing conflict between Russia and Ukraine, and employee availability and wage increases, which may result in additional stress on the Company’s working capital resources (especially if inflation rates continue to rise).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consists of sales of DANYELZA.</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 xml:space="preserve">License revenue consists of payments received for the licensing rights to DANYELZA and omburtamab. Refer to </w:t>
      </w:r>
      <w:r>
        <w:rPr>
          <w:rFonts w:ascii="Times New Roman" w:cs="Times New Roman" w:eastAsia="Times New Roman" w:hAnsi="Times New Roman"/>
          <w:sz w:val="18"/>
          <w:szCs w:val="18"/>
          <w:i w:val="1"/>
          <w:iCs w:val="1"/>
          <w:color w:val="auto"/>
        </w:rPr>
        <w:t xml:space="preserve">NOTE 3—SUMMARY OF SIGNIFICANT ACCOUNTING POLICIES </w:t>
      </w:r>
      <w:r>
        <w:rPr>
          <w:rFonts w:ascii="Times New Roman" w:cs="Times New Roman" w:eastAsia="Times New Roman" w:hAnsi="Times New Roman"/>
          <w:sz w:val="18"/>
          <w:szCs w:val="18"/>
          <w:color w:val="auto"/>
        </w:rPr>
        <w:t>for additional details.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direct and indirect costs related to the manufacturing and distribution of DANYELZA, including materials, third party manufacturing costs, packaging services, freight, labor costs for personnel involved in the manufacturing process, indirect overhead costs, third party royalties payable on our net product revenues and charges for excess and obsolete inventory reserves and inventory write-offs.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22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have incurred certain third party royalty expenses related to third party licensing revenues, which are included in Licensing royalties.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76" w:lineRule="exact"/>
        <w:rPr>
          <w:sz w:val="20"/>
          <w:szCs w:val="20"/>
          <w:color w:val="auto"/>
        </w:rPr>
      </w:pPr>
    </w:p>
    <w:p>
      <w:pPr>
        <w:ind w:left="1040" w:right="2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laboratory facility services, clinical trial and data service at MSK under the Sponsored Research Agreements, or the SRAs, the two CFSAs, the MCTA, and the MDSA, with MSK;</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investigative sites and consultants that conduct our non-clinical and pre-clinical studies and clinical trials;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other non-revenue related payments due under our third party licensing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 and</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 including rent, insurance, supplies and maintenance expenses, and other operating costs.</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and omburtamab or any future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83"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length of time required to enroll a sufficient number of suitable patients in our clinical trials;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existing and any future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w:t>
      </w:r>
    </w:p>
    <w:p>
      <w:pPr>
        <w:spacing w:after="0" w:line="225"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substance for clinical development and any commercial sales;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potential regulatory approvals, including the timing of any BLA and Marketing Authorization Application, or MAA, submissions and their acceptance;</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marketing approvals, including a safety, tolerability and efficacy profile that is satisfactory to the FDA, the European Medicines Agency, or EMA, or any other non-U.S. regulatory authority;</w:t>
      </w:r>
    </w:p>
    <w:p>
      <w:pPr>
        <w:spacing w:after="0" w:line="17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by the FDA, the EMA or any other non-US regulatory authority to conduct post market surveillance or safety studies;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approved products.</w:t>
      </w:r>
    </w:p>
    <w:p>
      <w:pPr>
        <w:spacing w:after="0" w:line="22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the EMA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also never succeed in achieving regulatory approval for omburtamab or any other product candidates we may develop.</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submissions for our pipeline candidates, including supplementary regulatory submissions for DANYELZA.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research and development activities, potential commercialization of additional product candidates and costs associated with operating as a public company, including expenses related to services associated with maintaining compliance with exchange listing and SEC requirements,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 (Loss), Net</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December 28, 2020, we announced that we entered into a definitive agreement to sell our DANYELZA PRV to United Therapeutics Corporation for $105.0 million. The PRV was granted in conjunction with the approval by the FDA of DANYELZA®, for the treatment of refractory/relapsed high-risk NB. Under the terms of the MSK License Agreement, we retained 60% of the net proceeds received from the sale, and the remaining 40% was paid to MSK. As a result, we received net proceeds from this sale of $62.0 million. The transaction closed on January 21, 2021 when the substantive closing conditions included within the agreement were resolved.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Quarterly Report on Form 10-Q, we believe the following accounting policies to be most critical to the judgments and estimates used in the preparation of our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consolidated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occur. Actual results could differ from those estimates.</w:t>
      </w:r>
    </w:p>
    <w:p>
      <w:pPr>
        <w:spacing w:after="0" w:line="18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markets.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from sales of DANYELZA at a point in time when our customer is deemed to have obtained control of the product, which generally occurs upon receipt at the end-user hospital.</w:t>
      </w:r>
    </w:p>
    <w:p>
      <w:pPr>
        <w:spacing w:after="0" w:line="16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our product sales have been in the United States. We had product sales to certain customers that accounted for more than 10% of total gross product revenue for the three and nine months ended September 30, 2022 and September 30, 2021. McKesson and AmerisourceBergen accounted for 78% and 14%, respectively, of our gross product revenue for the three months ended September 30, 2022. McKesson and Cardinal Health accounted for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66% and 24%, respectively, of our gross product revenue for the three months ended September 30, 2021. McKesson and AmerisourceBergen accounted for 69% and 16%, respectively, of our gross product revenue for the nine months ended September 30, 2022. McKesson and Cardinal Health accounted for 73% and 17%, respectively, of our gross product revenue for the nine months ended September 30, 2021.</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Such estimate are based upon contracts with customers and government agencies, statutorily-defined discounts applicable to government-funded programs, estimated payor mix, and other relevant factors. Calculating these amounts involves estimates and judgments.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there are multiple distinct performance obligations, we allocate the transaction price to each distinct performance obligation based on our relative standalone selling price. In assessing whether a promised good or service is distinct in the evaluation of a license arrangement subject to ASC 606, we consider factors such as the research, manufacturing and commercialization capabilities of the licensing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combine that good or service with other promised goods or services until it identifies a bundle of goods or services that is distinct.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 parties for CMOs and CROs and additional product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measurement date (i.e. an exit price). The accounting guidance includes a fair value hierarchy that prioritizes the inputs to valuation techniques used to measure fair value. The three levels of the fair value hierarchy are as follows:</w:t>
      </w:r>
    </w:p>
    <w:p>
      <w:pPr>
        <w:spacing w:after="0" w:line="162" w:lineRule="exact"/>
        <w:rPr>
          <w:sz w:val="20"/>
          <w:szCs w:val="20"/>
          <w:color w:val="auto"/>
        </w:rPr>
      </w:pPr>
    </w:p>
    <w:p>
      <w:pPr>
        <w:ind w:left="800" w:hanging="102"/>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8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60" w:right="119" w:firstLine="638"/>
        <w:spacing w:after="0" w:line="282" w:lineRule="auto"/>
        <w:tabs>
          <w:tab w:leader="none" w:pos="8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equivalents are carried at fair value, determined according to the fair value hierarchy described above.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83"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assumptions used to determine the fair value of the granted stock options were as follows:</w:t>
      </w:r>
    </w:p>
    <w:p>
      <w:pPr>
        <w:spacing w:after="0" w:line="162" w:lineRule="exact"/>
        <w:rPr>
          <w:sz w:val="20"/>
          <w:szCs w:val="20"/>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assumption is based on the U.S. Treasury instruments whose terms were consistent with the expected option term of our stock options.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7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The expected stock price volatility is estimated based on a combination of the historical volatility of a group of publicly traded peer companies and the historical volatility of our share price. Our industry peers consist of several public companies in the biopharmaceutical industry.</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the expected term.</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Change</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5"/>
                <w:szCs w:val="15"/>
                <w:color w:val="auto"/>
              </w:rPr>
            </w:pPr>
          </w:p>
        </w:tc>
        <w:tc>
          <w:tcPr>
            <w:tcW w:w="154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(LOSS),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loss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recorded $12.5 million and $9.0 million in net revenues for the three months ended September 30, 2022 and 2021, respectively. The increase was primarily driven by an increase in new US patients in the third quarter of 2022 and also included a $0.7 million benefit related to a change in estimate as discussed further in NOTE 4—PRODUCT REVENUE in the consolidated financial statements included within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began capitalizing inventory costs once DANYELZA was approved by the FDA in November 2020. Cost of goods sold was $2.5 million and $0.6 million for the three months ended September 30, 2022 and 2021, respectively. The increase in cost of goods sold was primarily driven by a $1.2 million charge related to a batch that did not meet our quality specifications. Our cost of goods sold includes amounts related to materials, third party contract manufacturing, third party packaging services, freight, labor costs for personnel involved in the manufacturing process, third party royalties for approved products, and indirect overhead costs. In periods prior to receiving FDA approval for DANYELZA, we recognized inventory and related manufacturing costs of DANYELZA as research and development expenses. This resulted in inventory being sold during the quarter ended September 30, 2021 for which a portion of the costs had been previously expensed prior to FDA approval. All inventory sold in the quarter ended September 30, 2022 had been produced after we had received FDA approval for DANYELZA.</w:t>
      </w:r>
    </w:p>
    <w:p>
      <w:pPr>
        <w:spacing w:after="0" w:line="19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addition, in 2016, we expensed $1.2 million of minimum royalties related to DANYELZA prior to commercial launch which were fully creditable against earned royalties in future periods. As a result, there was no royalty expense recorded for the three months ended September 30, 2021. If we had not sold previously expensed inventory and if we had not utilized the minimum royalty credit, our cost of goods sold would have been approximately $1.3 million for the three months ended September 30,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0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$22.4 million for the three months ended September 30, 2022, as compared to $23.1 million for the three months ended September 30, 2021. The $0.7 million decrease reflects decreased spending for clinical trials of $1.3 million, partially offset by increased costs for outsourced manufacturing of $0.5 million, which includes the impact of $2.0 million of naxitamab drug product that was designated for use in clinical trials during the three months ended September 30, 2022.</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or SG&amp;A, expenses were $13.6 million for the three months ended September 30, 2022, as compared to $14.0 million for the three months ended September 30, 2021. The $0.4 million decrease in SG&amp;A expenses was primarily attributable to a $2.1 million decrease in salary and stock-based compensation expense, partially offset by $0.7 million increase in commercial expense, $0.4 million increased expense related to vials used under compassionate use programs and $0.4 million increase in legal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(Loss), Net</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loss for the three months ended September 30, 2022 was $1.5 million as compared to $0.2 million for the three months ended September 30, 2021. Our interest and other loss increased by $1.3 million mainly due to increased foreign currency exchange losses recognized in the three months ended September 30, 2022.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Change</w:t>
            </w:r>
          </w:p>
        </w:tc>
        <w:tc>
          <w:tcPr>
            <w:tcW w:w="1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3"/>
            <w:vMerge w:val="continue"/>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5"/>
                <w:szCs w:val="15"/>
                <w:color w:val="auto"/>
              </w:rPr>
            </w:pPr>
          </w:p>
        </w:tc>
        <w:tc>
          <w:tcPr>
            <w:tcW w:w="162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127,478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104,974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(LOSS),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from sale of priority review voucher, net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(62,010)</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loss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recorded $32.8 million and $23.3 million in net revenues for the nine months ended September 30, 2022 and 2021, respectively. The increase was primarily driven by an increase in new US patients in the third quarter of 2022 and also included a $0.7 million benefit related to a change in estimate as discussed further NOTE 4—PRODUCT REVENUE in the consolidated financial statements included within this quarterly report on Form 10-Q.</w:t>
      </w:r>
    </w:p>
    <w:p>
      <w:pPr>
        <w:spacing w:after="0" w:line="18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addition, we recorded $1.0 million and $2.0 million in license revenue for the nine months ended September 30, 2022 and 2021, respectively. The license revenue of $1.0 million for the nine months ended September 30, 2022 was recognized upon the delivery of the updated FDA BLA Dossier for DANYELZA in accordance with the non-refundable license milestone under our sublicense with Adium, and we received this $1.0 million payment in the second quarter of 2022. The license revenue of $2.0 million for the nine months ended September 30, 2021 was attributable to the revenues earned from the entering into of the sublicense agreement with Adium to outlicense DANYELZA and omburtamab in Latin America. As part of this agreement, we received a non-refundable up-front fee of $2.0 million for the transfer of the license and know-how related to the constructs.</w:t>
      </w:r>
    </w:p>
    <w:p>
      <w:pPr>
        <w:spacing w:after="0" w:line="192"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We recognized the above referenced license revenue as we determined the license to be distinct from other promises within the arrangement.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began capitalizing inventory costs once DANYELZA was approved by the FDA in November 2020. Cost of goods sold was $5.5 million and $0.8 million for the nine months ended September 30, 2022 and 2021, respectively. The increase in cost of goods sold was primarily driven by a $1.2 million charge related to a batch that did not meet our quality specifications. Our cost of goods sold includes amounts related to materials, third party contract manufacturing, third party packaging services, freight, labor costs for personnel involved in the manufacturing process, third party royalties for approved products, and indirect overhead costs. In periods prior to receiving FDA approval for DANYELZA, we recognized inventory and related manufacturing costs of DANYELZA as research and development expenses. This resulted in inventory being sold during the nine months ended September 30, 2021 for which a portion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costs had been previously expensed prior to FDA approval. All inventory sold in the nine months ended September 30, 2022, was produced after we had received FDA approval for DANYELZA.</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addition, in 2016, we expensed $1.2 million of minimum royalties related to DANYELZA prior to commercial launch which were fully creditable against earned royalties in future periods. As a result, there was no royalty expense recorded for the nine months ended September 30, 2021. If we had not sold previously expensed inventory and if we had not utilized the minimum royalty credit, our cost of goods sold would have been approximately $2.8 million for the nine months ended September 30,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incurred license royalty expenses of $0.1 million and $0.2 million during the nine months ended September 30, 2022 and 2021, respectively related to licensing revenues which is included in Licensing Revenue on the Consolidated Statements of Net Loss and Comprehensive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7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0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7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56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$ 27,433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$ 22,767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$ 71,785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$ 64,488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$71.8 million for the nine months ended September 30, 2022, as compared to $64.5 million for the nine months ended September 30, 2021. The $7.3 million increase reflects a $4.7 million increase related to outsourced manufacturing primarily related to naxitamab inventory vials that were designated for clinical use during the nine months ended September 30, 2022, a $1.6 million increase for personnel costs, inclusive of stock-based compensation and $0.7 million increase in clinical trials, mainly related to omburtamab, partially offset by a $1.4 million decrease in outsourced research and supplies.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SG&amp;A expenses were $50.1 million for the nine months ended September 30, 2022, as compared to $39.4 million for the nine months ended September 30, 2021. The $10.7 million increase in SG&amp;A expenses was primarily attributable to an $8.9 million increase in severance and share-based compensation expense related to our former Chief Executive Officer as discussed further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consolidated financial statements included within this quarterly report on Form 10-Q, and, to a lesser extent, the launch and commercialization of DANYELZA.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 (Loss), Net</w:t>
      </w:r>
    </w:p>
    <w:p>
      <w:pPr>
        <w:spacing w:after="0" w:line="229"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On December 28, 2020, we announced that we had entered into a definitive agreement to sell our DANYELZA PRV to United Therapeutics Corporation for $105.0 million. The PRV was granted in conjunction with the approval by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FDA of DANYELZA for the treatment of refractory/relapsed high-risk NB. Under the terms of the MSK License, we retained 60% of the net proceeds received from the sale of the PRV, and the remaining 40% was paid to MSK. The transaction closed on January 21, 2021 and we recognized a net gain of $62.0 million during the nine months ended September 30, 2021 related to the sale of the PRV. There were no PRV sales during the nine months ended September 30, 2022.</w:t>
      </w:r>
    </w:p>
    <w:p>
      <w:pPr>
        <w:spacing w:after="0" w:line="18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loss for the nine months ended September 30, 2022 was a loss of $3.1 million as compared to a loss of $0.7 million for the nine months ended September 30, 2021. Our interest and other loss increased by $2.4 million mainly due to increased foreign currency exchange losses.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Except for the quarter ended March 31, 2021, we have incurred significant net operating losses since inception, and expect to continue to incur net operating losses and significant expenses for the foreseeable future. Our net losses may fluctuate significantly from quarter to quarter and year to year. We currently have one approved product, DANYELZA, which launched in the first quarter of 2021. We have financed our operations through September 30, 2022 primarily through gross proceeds from the sale of our common stock of $378.8 million in the years 2015 through 2019, and an additional $115.0 million from the sale of our common stock in 2021, as well as additional funding from the proceeds from the sales of DANYELZA and from proceeds from the sale of the DANYELZA PRV. As of September 30, 2022 and December 31, 2021, we had cash and cash equivalents of $114.5 million and $181.6 million, respectively. We expect that we may need to raise additional capital to continue funding our operations, which we may obtain from additional equity or debt financings, collaborations, licensing arrangements, or other sources.</w:t>
      </w:r>
    </w:p>
    <w:p>
      <w:pPr>
        <w:spacing w:after="0" w:line="19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approval by the FDA of DANYELZA in November 2020 we received a PRV, which we subsequently sold to United Therapeutics Corporation in a transaction that closed in January 2021 based on an agreed valuation of $105.0 million. We were obligated to pay 40% of the net proceeds to MSK. We have used and intend to use the remaining proceeds to fund further research and development and other operational programs.</w:t>
      </w:r>
    </w:p>
    <w:p>
      <w:pPr>
        <w:spacing w:after="0" w:line="18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 AND COMMITMENTS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ind w:left="60"/>
        <w:spacing w:after="0" w:line="226" w:lineRule="auto"/>
        <w:rPr>
          <w:sz w:val="20"/>
          <w:szCs w:val="20"/>
          <w:color w:val="auto"/>
        </w:rPr>
      </w:pPr>
      <w:r>
        <w:rPr>
          <w:rFonts w:ascii="Times New Roman" w:cs="Times New Roman" w:eastAsia="Times New Roman" w:hAnsi="Times New Roman"/>
          <w:sz w:val="14"/>
          <w:szCs w:val="14"/>
          <w:color w:val="auto"/>
        </w:rPr>
        <w:t>Net cash provided by investing activities</w:t>
      </w:r>
    </w:p>
    <w:p>
      <w:pPr>
        <w:ind w:left="60"/>
        <w:spacing w:after="0" w:line="222" w:lineRule="auto"/>
        <w:rPr>
          <w:sz w:val="20"/>
          <w:szCs w:val="20"/>
          <w:color w:val="auto"/>
        </w:rPr>
      </w:pPr>
      <w:r>
        <w:rPr>
          <w:rFonts w:ascii="Times New Roman" w:cs="Times New Roman" w:eastAsia="Times New Roman" w:hAnsi="Times New Roman"/>
          <w:sz w:val="14"/>
          <w:szCs w:val="14"/>
          <w:color w:val="auto"/>
        </w:rPr>
        <w:t>Net cash provided by financing activities</w:t>
      </w:r>
    </w:p>
    <w:p>
      <w:pPr>
        <w:ind w:left="6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increase / (decrease) in cash and cash equivalents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20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(68,693)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gridSpan w:val="4"/>
          </w:tcPr>
          <w:p>
            <w:pPr>
              <w:jc w:val="right"/>
              <w:ind w:right="548"/>
              <w:spacing w:after="0" w:line="106"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 w:type="dxa"/>
            <w:vAlign w:val="bottom"/>
            <w:vMerge w:val="continue"/>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(67,260)</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(61,498)</w:t>
            </w: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(108,130)</w:t>
            </w: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(67,038)</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101,096</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(168,134)</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-505460</wp:posOffset>
            </wp:positionV>
            <wp:extent cx="564896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-316865</wp:posOffset>
            </wp:positionV>
            <wp:extent cx="564896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-128270</wp:posOffset>
            </wp:positionV>
            <wp:extent cx="564896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4559"/>
          </w:cols>
          <w:pgMar w:left="1440" w:top="513" w:right="1440" w:bottom="1440" w:gutter="0" w:footer="0" w:header="0"/>
          <w:type w:val="continuous"/>
        </w:sect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$67.3 million for the nine months ended September 30, 2022, as compared to net cash used in operating activities of $68.7 million for the nine months ended September 30, 2021. The $1.4 million decrease in cash used in operating activities during the nine months ended September 30, 2022, compared to the corresponding period in 2021, was primarily due to working capital changes of $7.1 million, partially offset by a $5.6 million increased use of cash to fund the net loss, net of non-cash adjustments. The $7.1 million decreased cash used for working capital during the nine months ended September 30, 2022, as compared to the corresponding period in 2021, was driven by an increase in accounts receivable collections of $5.7 million for the nine months ended September 30,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did not generate or use cash for investing activities during the nine months ended September 30, 2022. Net cash provided by investing activities was $61.5 million for the nine months ended September 30, 2021. The net change of $61.5 million was primarily the result of the $62.0 million payment related to our share of the gross proceeds received from the sale of our PRV to United Therapeutics Corporation. For additional information on the PRV sale, please refer to the section entitled “Other Income / (Loss), Net”.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nine months ended September 30, 2022, which resulted from proceeds from exercised stock options. Net cash provided by financing activities was $108.2 million for the nine months ended September 30, 2021, which was driven by the net proceeds of $107.7 million received from our public offering in February 2021 and proceeds from exercised stock options of $0.5 million for the nine months ended September 30,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plan to advance the development of other pipeline programs, initiate new research and pre-clinical development efforts and seek marketing approval for any additional product candidates that we successfully develop. If we obtain approval for any additional product candidates, we expect to incur commercialization expenses, which may be significant, related to establishing sales, marketing, manufacturing capabilities, distribution and other commercial infrastructure to commercialize such products. Accordingly, we may need to obtain substantial additional funding in connection with our continuing operations. However, global economic conditions have been worsening, with disruptions to, and volatility in, the credit and financial markets in the U.S.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w:t>
      </w:r>
    </w:p>
    <w:p>
      <w:pPr>
        <w:spacing w:after="0" w:line="19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approval by the FDA of DANYELZA in November 2020 we received a PRV, which we subsequently sold to United Therapeutics Corporation for $105.0 million. We were obligated to pay 40% of the net proceeds to MSK. We have used and intend to use the remaining net proceeds of $62.0 million to fund further research and development and other operational programs.</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February 22, 2021, we completed a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third public offering of $115.0 million, with aggregate net proceeds of approximately $107.7 million after deducting underwriting discounts and commissions and offering expenses.</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$114.5 million as of September 30, 2022. We believe our current cash and cash equivalents are sufficient to fund our operations as currently planned through mid-2024, and have based our estimate of operating capital requirements on assumptions that may prove to be incorrect and we may use all of our available capital resources sooner than we expect. This estimate does not include any potential product revenues for omburtamab, if approved, or any potential net proceeds from the potential receipt and sale of a priority review voucher,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which we expect would be awarded to us if we receive approval of omburtamab. The estimate assumes a regulatory milestone fee for DANYELZA approval in China, but no new partnerships or other new business development-related sources of income and assumes DANYELZA product revenues increase 10% each year for the purpose of this analysis of runway. We hope to see an entirely different growth rate for DANYELZA in the years to come as we execute our refined commercial strategy and continue to deliver clinical data that could potentially lead to expanded indications and greater physician adoption. This estimate also does not reflect the potential impact of any future acquisitions, mergers, dispositions, licensing agreements, collaborations, joint ventures or investments that we may make.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92" w:lineRule="exact"/>
        <w:rPr>
          <w:sz w:val="20"/>
          <w:szCs w:val="20"/>
          <w:color w:val="auto"/>
        </w:rPr>
      </w:pPr>
    </w:p>
    <w:p>
      <w:pPr>
        <w:ind w:left="1040" w:right="9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for developing naxitamab and omburtamab, and conducting pre-clinical studies and clinical trials for our other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pre-clinical development efforts for any future product candidates that we may develop;</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distribution agreements or other arrangements;</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or other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if any, received from commercial sales of our current and future product candidates upon any marketing approvals;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if any, from monetization of any future PRVs, including the PRV that may be granted by the FDA for omburtamab;</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AND COMMITMENTS </w:t>
      </w:r>
      <w:r>
        <w:rPr>
          <w:rFonts w:ascii="Times New Roman" w:cs="Times New Roman" w:eastAsia="Times New Roman" w:hAnsi="Times New Roman"/>
          <w:sz w:val="18"/>
          <w:szCs w:val="18"/>
          <w:color w:val="auto"/>
        </w:rPr>
        <w:t>of our enclosed consolidated financial statements.</w:t>
      </w:r>
    </w:p>
    <w:p>
      <w:pPr>
        <w:spacing w:after="0" w:line="1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w:t>
      </w:r>
    </w:p>
    <w:p>
      <w:pPr>
        <w:spacing w:after="0" w:line="18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As further described below, under various licensing and related agreements with third parties, we have agreed to make milestone and royalty payments to third parties.</w:t>
      </w:r>
    </w:p>
    <w:p>
      <w:pPr>
        <w:spacing w:after="0" w:line="16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three license agreements and certain other agreements with MSK. The license agreements are further described below as the MSK License, the CD33 License, and the SADA License. Additionally, through the SAAA we have established a direct license with MSK relating to the GD2-GD3 Vaccine.</w:t>
      </w:r>
    </w:p>
    <w:p>
      <w:pPr>
        <w:spacing w:after="0" w:line="176"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Under the MSK License and the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based on net sales of products licensed under the applicable agreement and (iii) pay to MSK a percentage of any sublicense fees received by us. Under the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We are also obligated to pay MSK certain clinical, regulatory and sales-based milestone payments under the MSK License and the CD33 License. Certain of the clinical and regulatory milestone payments become due at the earlier of completion of the related milestone activity or the date indicated in the MSK License. Total clinical, regulatory and sales-based milestones potentially due under the MSK License are $2.5 million, $9.0 million and $20.0 million, respectively. In addition, under the CD33 License, we are obligated to make potential payments of $0.6 million, $0.5 million and $7.5 million for clinical, regulatory and sales-based milestones, respectively. We record milestones in the period in which the contingent liability is probable and the amount is reasonably estimable.</w:t>
      </w:r>
    </w:p>
    <w:p>
      <w:pPr>
        <w:spacing w:after="0" w:line="184"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On April 15, 2020, we entered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once a patent has been issued, over the royalty term, commencing on the tenth anniversary of the license agreement. These amounts are nonrefundable but are creditable against royalty payments otherwise due under the SADA License Agreement. Under the SADA License Agreement,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 million and $18.1 million, respectively. There are also sales-based milestones, totaling $23.8 million, that become due should we achieve certain amounts of sales of licensed products. In addition, for each SADA construct generated by MSK and sold for the Company by a sublicensee, we are obligated to pay sales milestones in the total amount of $60.0 million based on the achievement of various levels of cumulative net sales by the sublicensee. Further, under the SADA License Agreement, we have committed to funding scientific research at MSK for an aggregate total of $1.5 million over the next three years, which we will expense as incurred.</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 We remain responsible for any potential downstream payment obligations by MabVax to MSK related to the GD2-GD3 Vaccine that were specified in the MabVax/MSK License Agreement. This includes the obligation to pay development milestones totaling $1.4 million, annual minimum royalties of $10,000, increasing to $25,000 from approval of the first NDA/BLA for a licensed product, over the royalty term, commencing on the second anniversary of the MabVax/Y-mAbs Sublicense and mid-single-digit royalty payments to MSK on sales. Minimum royalties are non-refundable but creditable against royalty payments otherwise due from us to MSK pursuant to the MabVax/MSK License Agreement.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 by 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the CD33 License, and SADA License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CD33 License, the SADA License or the MabVax License. We have entered sublicenses with SciClone and Takeda in 2020 and Adium in 2021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259"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accompanying notes to the consolidated financial statements for a discussion of recent accounting pronouncements.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September 30, 2022 and December 31, 2021, we had cash and cash equivalents of $114.5 million and $181.6 million, respectively. Due to the nature of our investments in money market funds, the carrying value of our cash equivalents approximate their fair value at September 30, 2022. We currently have, and may, from time to time in the future, cash in banks in excess of FDIC insurance limits. We have not experienced any losses to date. We mitigate our risk by maintaining the majority of our cash and equivalents with high quality financial institutions. Our exposure to changes in the general level of U.S. interest rates is considered immaterial, particularly because our cash equivalents are primarily held in highly rated securities including a Treasury money market fund. Due to the short-term nature of such balances, an immediate 100 basis point change in interest rates would not have any significant effect on the fair market value of cash balances.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foreign exchange rate sensitivity to the Danish Kroner (DKK), the currency used in the Kingdom of Denmark, where our wholly owned subsidiary, Y-mAbs Therapeutics A/S, is located. As of September 30, 2022 and December 31, 2021, we had cash and cash equivalents denominated in DKK of $0.5 million and $0.9 million, respectively, and an immediate 10% change, respectively, in the DKK to USD exchange rate would not have any material effect on the fair market value of cash balances with the subsidiary.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evaluated, as of the end of the period covered by this Quarterly Report on Form 10-Q, the effectiveness of our disclosure controls and procedures (as defined in Rules 13a 15(e) and 15d 15(e) under the Securities Exchange Act of 1934, as amended, or the Exchange Act). Based on that evaluation, our Interim Chief Executive Officer and Chief Financial Officer concluded that our disclosure controls and procedures were effective at the reasonable assurance level as of September 30, 2022.</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our organization will be detected.</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 15(f) and 15d 15(f) under the Exchange Act) during the quarter ended September 30, 2022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been named a nominal defendant in a lawsuit filed in the U.S. District Court, Southern District of New York, on August 25, 2021, by one of our stockholders, Deborah Donoghue and in a related lawsuit filed in the U.S. District Court, Southern District of New York, on October 10, 2022 by one of our stockholders, Mark Rubenstein. The suits name our President, Interim Chief Executive Officer and Head of Business Development and Strategy, and member of our board of directors, Mr. Thomas Gad as an additional defendant, and they seek to compel Mr. Gad to disgorge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alleged short swing profits stemming from a certain transaction involving our common stock undertaken by Mr. Gad on March 10, 2021 together with appropriate interest and costs of the lawsuit. On December 17, 2021, Mr. Gad filed a Motion to Dismiss the lawsuit by Ms. Donoghue. On August 8, 2022, the Court denied Mr. Gad’s Motion to Dismiss the lawsuit. As a result, the lawsuit by Ms. Donoghue has entered the discovery phase. Mark Rubenstein is represented by the same lawfirm as was Ms. Donoghue. Mr. Rubenstein had sought to intervene to continue the litigation instigated by Ms. Donahue on her passing, but was denied by the court. We are of the opinion that the claims are without merit and intend to maintain this position in the proceedings. In addition, we have been informed by Mr. Gad that he also believes the claims are without merit, that he has strong defenses against such claims and that he intends to vigorously defend the actions. We have assessed the proceedings and do not believe that it is probable that a gain or a liability will be realized by us. As a result, we did not record any loss or gain contingencies for this matter.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investors may lose all or part of their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22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Since our inception in 2015, we have incurred significant losses each year. As of September 30, 2022 our accumulated deficit was approximately $437.2 million. We have financed our operations principally through private placements, the initial public offering of our common stock in 2018 as well as subsequent public offerings of our common stock in November 2019 and February 2021, and the sale of our PRV granted upon FDA approval of DANYELZA.</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date, we have devoted substantially all our efforts to research and development, and more recently, commercialization of DANYELZA, our only approved product to date and omburtamab. On November 25, 2020, DANYELZA was approved by the FDA for the treatment, in combination with GM CSF, of pediatric patients 1 year of age and older and adult patients with relapsed/refractory, or R/R, high risk neuroblastoma, or NB, in the bone or bone marrow who have demonstrated a partial response, minor response, or stable disease to prior therapy. Although in May 2022 our biologic license application, or BLA, for omburtamab was accepted for priority review by the FDA, in October 2022 an Oncologic Drugs Advisory Committee, or Advisory Committee, to the FDA voted 16 to 0 that the BLA did not provide sufficient evidence to conclude that omburtamab improves overall survival among the target patient population. Thus, no assurance can be given that we will receive regulatory approval for the sale of omburtamab or any of our other product candidates in the near term, or at all. While we would expect to be entitled to receive a PRV if the FDA approves the BLA for omburtamab, we can provide no assurance that we will ultimately obtain FDA approval for omburtamab. In the event the FDA ultimately approves omburtamab, we may no longer be eligible to receive a PRV, and even if we receive a PRV, we may not be successful in selling or otherwise realizing the value of any such PRV. Our other product candidates are in the early stages of clinical development or pre clinical research. As a result, we expect that it will be a number of years, if ever, before we have any of these other product candidates approved and ready for commercialization.</w:t>
      </w:r>
    </w:p>
    <w:p>
      <w:pPr>
        <w:spacing w:after="0" w:line="19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Our only approved product for sale is DANYELZA, which received FDA approval on November 25, 2020. We began limited sales and shipments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DANYELZA in February 2021 and we have not yet generated substantial revenue from product sales, and we do not anticipate generating substantial revenue from product sales until DANYELZA has been on the market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83" w:lineRule="exact"/>
        <w:rPr>
          <w:sz w:val="20"/>
          <w:szCs w:val="20"/>
          <w:color w:val="auto"/>
        </w:rPr>
      </w:pPr>
    </w:p>
    <w:p>
      <w:pPr>
        <w:ind w:left="1040" w:right="539" w:hanging="315"/>
        <w:spacing w:after="0" w:line="312"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commercialization of DANYELZA and our product candidates for which we may obtain regulatory approvals and marketing authorizations, either directly or with a collaborator or distributor;</w:t>
      </w:r>
    </w:p>
    <w:p>
      <w:pPr>
        <w:spacing w:after="0" w:line="13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non-clinical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marketing authorizations and coverage and reimbursements from payors for DANYELZA and other product candidates for which we complete clinical studies;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DANYELZA and our product candidates as viable treatment options;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products, product candidates, related technologies and/or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distribution or other arrangements into which we may enter;</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financing our operations at acceptable terms.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such as omburtamab, in the US,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86"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5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and began our operations on April 30, 2015. Our operations to date have been limited to organizing and staffing our company, business planning, raising capital, commercializing DANYELZA, conducting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clinical trials of DANYELZA and omburtamab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omburtamab and our other product candidates.</w:t>
      </w:r>
    </w:p>
    <w:p>
      <w:pPr>
        <w:spacing w:after="0" w:line="18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$9.0 million, respectively. There are also sales-based milestones that become due should we achieve certain amounts of sales of licensed products with total sales-based milestones potentially due of $20.0 million. Under the MSK CD33 License, we are obligated to make potential payments of $0.6 million, $0.5 million and $7.5 million for clinical, regulatory and sales-based milestones, respectively.</w:t>
      </w:r>
    </w:p>
    <w:p>
      <w:pPr>
        <w:spacing w:after="0" w:line="19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sales-based milestones payments totaling $23.8 million, that become due should we achieve certain amounts of sales of licensed products under the SADA License. In addition, for each of the SADA constructs generated by MSK and sold on our behalf by one of our sublicenses, we may pay sales-based milestone payments in the total amount of $60.0 million based on the achievement of various levels of cumulative net sales by the sublicensee. Under the SADA License Agreement, we also committed to fund scientific research at MSK under a Sponsored Research Agreement for $1.5 million. The scientific research took place over a period that commenced in September 2020 and ended in February 2022.</w:t>
      </w:r>
    </w:p>
    <w:p>
      <w:pPr>
        <w:spacing w:after="0" w:line="195"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entered into a Manufacturing Agreement with MSK’s Radiochemistry and Molecular Imaging Probes Core Facility, or RMIP, pursuant to which RMIP will complete specified manufacturing activities related to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in connection with Study 101. We also remain responsible for any potential downstream payment obligations to MSK related to the GD2-GD3 Vaccine. This includes our obligation to make development and regulatory milestone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totaling $1.4 million, annual minimum royalties of $10,000, increasing to $25,000 from approval of the first new drug application, or NDA, or BLA for a licensed product over the royalty term, and mid single-digit royalty payments to MSK on sales.</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These payments could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spacing w:after="0" w:line="1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grow our sales and marketing team to support sale of DANYELZA and conduct clinical trials of, and seek marketing approval for omburtamab and our other product candidates. We expect to incur commercialization expenses, which may be significant, related to product sales, marketing, manufacturing and distribution of DANYELZA.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we cannot be certain that additional funding will be available on acceptable terms when needed,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0"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securities offerings, debt financings, collaborations, strategic alliances and/or licensing arrangements. To the extent that we raise additional capital through the sale of equity or convertible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disproportionate amount of their attention away from day-to-day activities, which may adversely affect our management’s ability to oversee the commercialization of DANYELZA or other products candidates, if approved, or the development of our product candidates.</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8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focused our efforts and managerial resources on specific products and product candidates and on specific indications such as DANYELZA for the treatment of R/R high-risk NB in bone and/or bone marrow and omburtamab for central nervous system, or CNS, leptomeningeal metastases, or LM, from NB.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 For example, we can provide no assurance that omburtamab will ultimately receive FDA approval. While the FDA is not bound by the Advisory Committee’s recommendations, it generally takes the recommendations into consideration when making its decision, and the Advisory Committee recently convened and voted 16 to 0 that the BLA had not provided sufficient evidence to conclude that omburtamab improves overall survival among the target patient population.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ind w:left="60" w:right="4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on schedule, if at all. In addition, we cannot be sure that we will be able to submit investigational new drug applications, 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satisfactorily in pre-clinical studies and clinical trials have nonetheless failed to obtain marketing approval of their drugs. The nature of the patient populations that we study in our clinical trials means that the treatment effect of our product candidates has to be demonstrated despite being the second or third line of treatment, and in some cases, despite concomitant treatment with radiation or chemotherapy. Some of our target indications, including CNS/LM from NB, may also be difficult to assess via current imaging technology and other testing methods, which may lead to inconclusory or equivocal data regarding treatment effect. Furthermore, because our study populations are small, statistical analyses may not fully adjust for these and other potential bias in the data. Any or all of these factors may mean that we are unable to demonstrate substantial evidence of the effectiveness of omburtamab or our other product candidates to the satisfaction of the FDA or comparable foreign regulatory authorities.</w:t>
      </w:r>
    </w:p>
    <w:p>
      <w:pPr>
        <w:spacing w:after="0" w:line="184"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DANYELZA and our product candidates and related technologies represent novel approaches to cancer treatment generally. Developing and commercializing these products therefore subjects us to a number of challenges. To date we have not generated substantial revenues from sales of DANYELZA. Although the FDA has accepted our BLA for omburtamab for priority review, there can be no assurance that we will receive approval of our BLA and we may never be able to develop another marketable product. Our ability to generate product revenue is highly dependent on our ability to successfully commercialize DANYELZA and to obtain additional regulatory approvals of and successfully commercialize additional product candidates including in particular omburtamab.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of our other product candidates will be successful in clinical studies and they may not receive regulatory approval even if they are successful in clinical studies.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success of our product candidates in development will depend on several factors, including the following:</w:t>
      </w:r>
    </w:p>
    <w:p>
      <w:pPr>
        <w:spacing w:after="0" w:line="225"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our ongoing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and completion of additional clinical trials on a timely basis;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or any comparable foreign regulatory authority for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and reimbursement approvals for our lead product candidates from applicable regulatory authorities;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 party raw materials and drug product suppliers and manufacturers;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scaled production arrangements with third party manufacturers to obtain finished products that are appropriately packaged for sale;</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 including our licensed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 including the hiring of a direct salesforce and creation of marketing campaigns;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physicians and patients, the medical community and third party payors;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the technology that would potentially harm our business.</w:t>
      </w:r>
    </w:p>
    <w:p>
      <w:pPr>
        <w:spacing w:after="0" w:line="18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Many of our other product candidates are based on technology similar to DANYELZA and omburtamab. Therefore, if either DANYELZA or omburtamab encounter safety or efficacy problems, developmental delays, regulatory issues, or other problems, our other development plans and business could be significantly harmed.</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bispecific antibody product candidates, including nivatrotamab and our CD33-BsAb product candidate, are based on the Y-BiClone platform technology. Therefore, safety or efficacy problems, developmental delays, regulatory issues, or other problems, encountered by one bispecific product candidate may affect all our bispecific product candidates and our other development plans and business could be significantly harmed.</w:t>
      </w:r>
    </w:p>
    <w:p>
      <w:pPr>
        <w:spacing w:after="0" w:line="176"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normal business operations have and may in the future, directly or indirectly, be adversely impacted by the still ongoing global COVID-19 pandemic and resulting macroeconomic conditions. COVID-19 and a future outbreak of any highly infectious or contagious diseases, could materially and adversely affect our operations and have a material impact on our financial position.</w:t>
      </w:r>
    </w:p>
    <w:p>
      <w:pPr>
        <w:spacing w:after="0" w:line="180"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and preventative measures taken to contain or mitigate the pandemic have had significant negative impacts on businesses and financial markets worldwide. We continue to monitor our operations and applicable government recommendations, and we have made modifications to our normal operations because of the COVID-19 pandemic, including working from home. 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security breaches.</w:t>
      </w:r>
    </w:p>
    <w:p>
      <w:pPr>
        <w:spacing w:after="0" w:line="18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During 2021, the COVID-19 pandemic was limiting certain commercialization efforts for DANYELZA. Limited hospital access for non patients, social distancing requirements, and precautionary measures due to COVID-19 impacted the ability of our sales personnel to interact in person with customers.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pandemic also led to slower initiation of new clinical trials and a fluctuating rate of recruitment for ongoing clinical trials, which has delayed our clinical development activities and thereby postponed certain accompanying costs. Our ability to recruit and retain patients and principal investigators and site staff who, as healthcare providers, may have heightened exposure to COVID-19 could be further adversely impacted.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clinical development timelines and plans have been and could further be adversely affected by COVID-19, and could be adversely impacted by other health epidemics in regions where we have concentrations of clinical trial sites or other business operations, and could cause significant disruption in the operations of CROs, CMOs and other third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parties and collaborators upon whom we rely. There may be shortages in the raw materials used in the manufacturing of our product candidates or laboratory supplies for our pre-clinical studies and clinical trials, in each case, because of ongoing efforts to address the outbreak. 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83" w:lineRule="exact"/>
        <w:rPr>
          <w:sz w:val="20"/>
          <w:szCs w:val="20"/>
          <w:color w:val="auto"/>
        </w:rPr>
      </w:pPr>
    </w:p>
    <w:p>
      <w:pPr>
        <w:ind w:left="60" w:right="219" w:firstLine="648"/>
        <w:spacing w:after="0" w:line="273" w:lineRule="auto"/>
        <w:rPr>
          <w:sz w:val="20"/>
          <w:szCs w:val="20"/>
          <w:color w:val="auto"/>
        </w:rPr>
      </w:pPr>
      <w:r>
        <w:rPr>
          <w:rFonts w:ascii="Times New Roman" w:cs="Times New Roman" w:eastAsia="Times New Roman" w:hAnsi="Times New Roman"/>
          <w:sz w:val="17"/>
          <w:szCs w:val="17"/>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CMOs, medical institutions, clinical investigators, CROs and consultants with whom we conduct business, are similarly adjusting their operations and assessing their capacity in light of the COVID-19 pandemic. If any of these third parties with whom we conduct business continue to experience shutdowns or business disruptions, our ability to conduct our business in the manner and on the timelines presently planned could be materially and negatively impacted.</w:t>
      </w:r>
    </w:p>
    <w:p>
      <w:pPr>
        <w:spacing w:after="0" w:line="17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COVID-19 is adversely affecting, and is expected to continue to adversely affect, our operations, and COVID-19 or another pandemic may result in material and adverse effects on our ability to successfully operate our business, including:</w:t>
      </w:r>
    </w:p>
    <w:p>
      <w:pPr>
        <w:spacing w:after="0" w:line="176" w:lineRule="exact"/>
        <w:rPr>
          <w:sz w:val="20"/>
          <w:szCs w:val="20"/>
          <w:color w:val="auto"/>
        </w:rPr>
      </w:pPr>
    </w:p>
    <w:p>
      <w:pPr>
        <w:ind w:left="1040" w:right="7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commercialize, and generate revenue from DANYELZA and our product candidates, even if approved, may be adversely affected by the impact of the COVID-19 pandemic. For example, limited hospital access for non-patients, social distancing requirements, and precautionary measures due to COVID-19 have impacted the ability of our sales personnel to interact in-person with customers;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applications, or INDs;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 if patients are affected by the virus or are fearful of visiting or traveling to clinical trial sites because of the outbreak;</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25" w:lineRule="exact"/>
        <w:rPr>
          <w:rFonts w:ascii="Times New Roman" w:cs="Times New Roman" w:eastAsia="Times New Roman" w:hAnsi="Times New Roman"/>
          <w:sz w:val="18"/>
          <w:szCs w:val="18"/>
          <w:color w:val="auto"/>
        </w:rPr>
      </w:pPr>
    </w:p>
    <w:p>
      <w:pPr>
        <w:jc w:val="both"/>
        <w:ind w:left="1040" w:right="59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83"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COVID-19;</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other regulatory authorities to accept data, including from clinical trials in affected geographies or failure to comply with updated FDA or other regulatory guidance and expectations related to the conduct of clinical trials during the COVID-19 pandemic;</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impacts on the healthcare system or regulatory authorities globally could negatively impact our ability to obtain approval to market and sell our products and product candidates, including through the disruption of regulatory activities or health care activities in general;</w:t>
      </w:r>
    </w:p>
    <w:p>
      <w:pPr>
        <w:spacing w:after="0" w:line="175" w:lineRule="exact"/>
        <w:rPr>
          <w:rFonts w:ascii="Times New Roman" w:cs="Times New Roman" w:eastAsia="Times New Roman" w:hAnsi="Times New Roman"/>
          <w:sz w:val="18"/>
          <w:szCs w:val="18"/>
          <w:color w:val="auto"/>
        </w:rPr>
      </w:pPr>
    </w:p>
    <w:p>
      <w:pPr>
        <w:jc w:val="both"/>
        <w:ind w:left="1040" w:right="43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in the preparation and submission of applications for regulatory approval of our product candidates, as well as potential interruptions or delays in FDA’s ability to review applications in a timely manner consistent with past practices, which may impact review and approval times;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scheduling manufacturing inspections in connection with BLA approval;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our ability to ensure business continuity during a disruption.</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Despite our efforts to manage and mitigate these impacts to our company, their ultimate impact also depends on factors beyond our knowledge or control, including the duration and severity of this and any other pandemic, as well as third party actions taken to contain its spread and mitigate its public health effects, and the pace of global economic recovery following containment of the spread. In addition, while we cannot predict the impact that COVID-19 will have on our suppliers, vendors and other business partners and each of their financial conditions, any material adverse effects on these parties could adversely impact us. The ultimate impact of this and any other pandemic on our business remains uncertain and the continued spread of COVID-19 may have further adverse impacts on our business, operations, any pending regulatory approvals, supply chain, and financial position.</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Furthermore, the COVID-19 pandemic has resulted in significant volatility in the global financial markets, and specifically in the trading prices for our common stock and the shares of other biopharmaceutical and biotechnology companies. Global economic conditions have been worsening, with disruptions to, and volatility in, the credit and financial markets in the U.S. and worldwide resulting from the effects of COVID-19 and otherwise. If these conditions persist and deepen, we could experience an inability to access additional capital or our liquidity could otherwise be impacted. A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The COVID-19 pandemic and related macroeconomic conditions may also exacerbate the other risks discussed in this Quarterly Report on Form 10-Q.</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ancillary developments have had and may continue to have an adverse effect on our business.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Russia, Ukraine and Europe and around the globe. Sanctions issued by the U.S. and other countries against Russia in response to its attack on Ukraine and related counter-sanctions issued by Russia have made it very difficult for us to operate in Russia. In light of the continuously evolving and worsening conditions in the region, we have terminated our clinical trials of DANYELZA in Russia and suspended our regulatory activities to obtain marketing authorization for DANYELZA in Russia. This has negatively impacted our plans to commercialize and sell DANYELZA in Russia and may therefore adversely affect our business. At this time, we cannot guarantee that our clinical or regulatory activities will recommence. In addition, the conflict between Russia and Ukraine and related sanctions has had significant ramifications on global financial markets, including volatility in the U.S. and global financial markets experienced, which has led to disruptions to trade, commerce, pricing stability, credit availability, supply chain continuity and reduced access to liquidity globally, and has caused and may continue to cause volatility in the price of our common stock, which may adversely impact our ability to raise capital on favorable terms or at all.</w:t>
      </w:r>
    </w:p>
    <w:p>
      <w:pPr>
        <w:spacing w:after="0" w:line="19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18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5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While we have initiated the commercial launch of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p>
      <w:pPr>
        <w:spacing w:after="0" w:line="180" w:lineRule="exact"/>
        <w:rPr>
          <w:sz w:val="20"/>
          <w:szCs w:val="20"/>
          <w:color w:val="auto"/>
        </w:rPr>
      </w:pPr>
    </w:p>
    <w:p>
      <w:pPr>
        <w:ind w:left="1040" w:right="1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the patients who may receive our products and any future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pricing and reimbursement for DANYELZA and any future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authorization for the development and commercialization of our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alliances;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demand for our products and scale manufacturing to meet that demand;</w:t>
      </w:r>
    </w:p>
    <w:p>
      <w:pPr>
        <w:spacing w:after="0" w:line="225"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relationship with MSK as a user of DANYELZA and any future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product candidates, commercialize DANYELZA or any future approved products, raise capital, expand our business, or continue our operations.</w:t>
      </w:r>
    </w:p>
    <w:p>
      <w:pPr>
        <w:spacing w:after="0" w:line="1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DANYELZA and of any future approved products, will depend upon the degree of market acceptance by physicians, patients, third party payors, and others in the medical community.</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commercial success of DANYELZA, and of any future approved products, will depend in part on market acceptance by physicians, patients, third 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89"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and the prevalence and severity of any side effects;</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our products, including long-term follow-up for all patients who receive the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potential future collaborators, to offer the product for sale at competitive prices;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 any requirement for in-patient versus out-patient administration;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populations to try new therapies and enroll in ongoing clinical trials,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 party payors;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competitive product introductions and other actions by competitors in the marketplace.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only recently established our marketing and sales organization and have only limited experience in marketing and sale of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only recently established our sales and marketing organization and have only limited experience in marketing and sale of biopharmaceutical products. We began small shipments of DANYELZA in February 2021. Other than our commercialization partnerships for DANYELZA and omburtamab covering certain territories outside the United States with SciClone Pharmaceuticals International Ltd, Takeda Israel, Swixx Biopharma AG and Adium Pharma S.A.,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w:t>
      </w:r>
    </w:p>
    <w:p>
      <w:pPr>
        <w:spacing w:after="0" w:line="194"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on our own after obtaining any marketing approval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maintain and grow our commercialization infrastructure;</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DANYELZA or any future approved products, in particular in light of current reduced in-person access to medical institutions and personnel and other significant disruptions to the healthcare system and community due to COVID-19;</w:t>
      </w:r>
    </w:p>
    <w:p>
      <w:pPr>
        <w:spacing w:after="0" w:line="179"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our sales personnel, which may put us at a competitive disadvantage relative to companies with more extensive offerings;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 party payors and governmental agencies.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Conversely, our revenues from the sale of drugs or the profitability of these revenues to us are likely to be lower from arrangements that we enter into with third parties to perform sales and marketing services (such as with SciClone Pharmaceuticals International Ltd, Takeda Israel, Swixx Biopharma AG and Adium Pharma S.A.)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7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manufacturing organizations as well as established marketing and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omburtamab or our other product candidates or may develop proprietary technologies or secure patent protection that we may need for the commercialization of DANYELZA and the development of our product candidates and related technologies.</w:t>
      </w:r>
    </w:p>
    <w:p>
      <w:pPr>
        <w:spacing w:after="0" w:line="196" w:lineRule="exact"/>
        <w:rPr>
          <w:sz w:val="20"/>
          <w:szCs w:val="20"/>
          <w:color w:val="auto"/>
        </w:rPr>
      </w:pPr>
    </w:p>
    <w:p>
      <w:pPr>
        <w:ind w:left="60" w:right="59" w:firstLine="648"/>
        <w:spacing w:after="0" w:line="221" w:lineRule="auto"/>
        <w:rPr>
          <w:sz w:val="20"/>
          <w:szCs w:val="20"/>
          <w:color w:val="auto"/>
        </w:rPr>
      </w:pPr>
      <w:r>
        <w:rPr>
          <w:rFonts w:ascii="Times New Roman" w:cs="Times New Roman" w:eastAsia="Times New Roman" w:hAnsi="Times New Roman"/>
          <w:sz w:val="18"/>
          <w:szCs w:val="18"/>
          <w:color w:val="auto"/>
        </w:rPr>
        <w:t>Specifically, MacroGenics, Inc. and Daiichi Sankyo Co. are developing antibodies against the B7-H3 molecule that is the target of omburtamab. With respect to DANYELZA, which targets GD2 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its efforts to develop a humanized version of Unituxin, and its plans to develop Unituxin in R/R NB, DANYELZA faces competition from Qarziba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(dinutuximab beta), a similar antibody product against GD2 developed by Apeiron Biologics AG, or Apeiron. EUSA Pharma (UK) Ltd., or EUSA, has acquired global commercialization rights to Qarziba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(dinutuximab beta) and it is currently being commercialized in Europe and was approved by the EMA to treat high-risk NB and R/R NB. In January 2020, EUSA and BeiGene Ltd., or BeiGene, announced an exclusive collaboration to commercialize Qarziba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mainland China and in August 2021 EUSA and BeiGene announced that the China National Medical Products Administration (“NMPA”) had granted Qarziba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conditional approval for the treatment of high-risk NB and R/R NB. EUSA has previously announced plans to file for registration of dinutuximab beta in the United States for the treatment of R/R NB.</w:t>
      </w:r>
    </w:p>
    <w:p>
      <w:pPr>
        <w:spacing w:after="0" w:line="20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mainland China, DANYELZA, if approved, will not be the first approved antibody treatment for R/R NB. If approved in Europe, DANYELZA will not be the first approved antibody treatment for R/R NB in Europe. We may not be the first to market in other geographies, which may affect the price or demand for DANYELZA. Similarly, we may not be the first to market for any of our other future products, if approved. Additionally, the availability and price of our competitors’ products could limit the demand and the price we are able to charge for our DANYELZA or for any other future products, if approved. We may not be able to implement our business plan if the acceptance of DANYELZA or for any other future products, if approved,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spacing w:after="0" w:line="175"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Our current target patient populations are based on our beliefs and estimates regarding the incidence or prevalence of certain types of cancers that may be addressable by DANYELZA, omburtamab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7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current target patient populations are small as we have so far focused our clinical development efforts for DANYELZA and omburtamab on rare pediatric cancers. By way of example, only approximately 700 children are diagnosed with high-risk NB in the United States each year. Even if we obtain significant market share for DANYELZA, or omburtamab or our other product candidates, if approved, 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spacing w:after="0" w:line="18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DANYELZA is approved only as second-line treatment for patients with R/R high-risk NB in bone and/or bone marrow, and we expect to initially seek approval of our product candidate omburtamab also as second-line therapy for patients who have relapsed from systemic disease. Even if we would seek approval as front-line or third-line therapy for DANYELZA, omburtamab or another product candidate there is no guarantee that any will be approved. In addition, we may have to conduct additional clinical trials prior to gaining approval for front-line or third-line therapy.</w:t>
      </w:r>
    </w:p>
    <w:p>
      <w:pPr>
        <w:spacing w:after="0" w:line="17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p>
    <w:p>
      <w:pPr>
        <w:spacing w:after="0" w:line="175" w:lineRule="exact"/>
        <w:rPr>
          <w:sz w:val="20"/>
          <w:szCs w:val="20"/>
          <w:color w:val="auto"/>
        </w:rPr>
      </w:pPr>
    </w:p>
    <w:p>
      <w:pPr>
        <w:jc w:val="both"/>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p>
      <w:pPr>
        <w:spacing w:after="0" w:line="158"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our product candidates and or related technologies;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spacing w:after="0" w:line="19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8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 both for our approved product DANYELZA and our current clinical trials and we anticipate this also to be the case for our future products, if approved, and clinical trials.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88"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anxiety, localized edema and irritability. DANYELZA has been approved with a boxed warning for serious infusion reactions and neurotoxicity.</w:t>
      </w:r>
    </w:p>
    <w:p>
      <w:pPr>
        <w:spacing w:after="0" w:line="16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92"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seize the product;</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product, change the way such product is administered to patients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narrow the indications for use or, as the FDA did in its approval of DANYELZA for the treatment of R/R high-risk NB rather than NB that was not R/R;</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boxed warning, as the FDA did in its approval of DANYELZA, or a contraindication, or impose distribution or use restrictions;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7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subject to fines, injunctions or the imposition of civil or criminal penalties;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76"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1" w:lineRule="auto"/>
        <w:rPr>
          <w:sz w:val="20"/>
          <w:szCs w:val="20"/>
          <w:color w:val="auto"/>
        </w:rPr>
      </w:pPr>
      <w:r>
        <w:rPr>
          <w:rFonts w:ascii="Times New Roman" w:cs="Times New Roman" w:eastAsia="Times New Roman" w:hAnsi="Times New Roman"/>
          <w:sz w:val="18"/>
          <w:szCs w:val="18"/>
          <w:color w:val="auto"/>
        </w:rPr>
        <w:t>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90"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0" w:lineRule="exact"/>
        <w:rPr>
          <w:sz w:val="20"/>
          <w:szCs w:val="20"/>
          <w:color w:val="auto"/>
        </w:rPr>
      </w:pPr>
    </w:p>
    <w:p>
      <w:pPr>
        <w:ind w:left="60" w:right="179"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do not know whether any clinical trials we may conduct will demonstrate consistent or adequate efficacy and safety sufficient to obtain marketing approval to market our product candidates. We have multiple clinical trials of omburtamab, currently ongoing. In the event that an adverse safety issue, clinical hold or other adverse finding occurs in one or more of our clinical trials of omburtamab, such event could adversely affect our other clinical trials of omburtamab or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Biologics License Application, or BLA, to the FDA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has set an action date of November 30, 2022 under the Prescription Drug User Fee Act and convened an Advisory Committee, which met on October 28, 2022 and voted 16 to 0 that we had not provided sufficient evidence to conclude that omburtamab improves overall survival among the target patient population. The FDA is not bound by the Advisory Committee’s recommendations but generally takes the recommendation into consideration when making its decision, and we can provide no assurance that omburtamab will ultimately receive FDA approval. We may receive a Complete Response Letter from the FDA for our omburtamab BLA, which would mean that the application is not approvable in its present form and would require resubmission, potentially with additional clinical studies.</w:t>
      </w:r>
    </w:p>
    <w:p>
      <w:pPr>
        <w:spacing w:after="0" w:line="21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is the case for our BLA for omburtamab, analysis of the clinical data may rely on external control comparator populations to demonstrate efficacy, rather than blinded, placebo-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omburtamab or any of our other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1"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Other than DANYELZA, the product candidates and related technologies we have licensed have not yet led, and may never lead, to approved products. Our only approved product DANYELZA was only approved in late 2020 by the FDA and launched in the United States in early 2021. Further, DANYELZA was only approved by the Israeli Ministry of Health in Israel, in August 2022. Hence its commercial potential cannot be judged with accuracy at this point in time. Even if we are successful in continuing to build our pipeline, obtaining regulatory approvals and commercializing our other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obtain marketing approval for omburtamab or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90" w:lineRule="exact"/>
        <w:rPr>
          <w:sz w:val="20"/>
          <w:szCs w:val="20"/>
          <w:color w:val="auto"/>
        </w:rPr>
      </w:pPr>
    </w:p>
    <w:p>
      <w:pPr>
        <w:ind w:left="4420" w:right="2899" w:hanging="3695"/>
        <w:spacing w:after="0" w:line="783" w:lineRule="auto"/>
        <w:tabs>
          <w:tab w:leader="none" w:pos="10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identifying additional product candidates;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 party payors, as applicable.</w:t>
      </w:r>
    </w:p>
    <w:p>
      <w:pPr>
        <w:spacing w:after="0" w:line="16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US market and the Israeli Ministry of Health in Israel for Israel, no assurance can be given that it will be successfully commercialized, widely accepted in the marketplace or more effective than other commercially available alternatives.</w:t>
      </w:r>
    </w:p>
    <w:p>
      <w:pPr>
        <w:spacing w:after="0" w:line="183"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83"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We currently have in place several agreements with MSK, including the MSK License, the CD33 License,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because it is a hospital where patients are treated, may become a major source for the distribution and administration of DANYELZA and omburtamab, if approved.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w:t>
      </w:r>
    </w:p>
    <w:p>
      <w:pPr>
        <w:spacing w:after="0" w:line="17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of strategic collaborations is time 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Further, arrangements with third parties, such as our arrangement with MSK or other current or potential future collaborations that we may enter into, are subject to numerous risks, including the following:</w:t>
      </w:r>
    </w:p>
    <w:p>
      <w:pPr>
        <w:spacing w:after="0" w:line="162" w:lineRule="exact"/>
        <w:rPr>
          <w:sz w:val="20"/>
          <w:szCs w:val="20"/>
          <w:color w:val="auto"/>
        </w:rPr>
      </w:pPr>
    </w:p>
    <w:p>
      <w:pPr>
        <w:ind w:left="1040" w:right="7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have significant discretion in determining the efforts and resources that they will apply to a collaboration;</w:t>
      </w:r>
    </w:p>
    <w:p>
      <w:pPr>
        <w:spacing w:after="0" w:line="161"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delay clinical trials, provide insufficient funding for a clinical trial, stop a clinical trial,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could independently develop, or develop with others,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p>
      <w:pPr>
        <w:spacing w:after="0" w:line="179"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party with marketing and distribution rights to one or more products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such third party that cause the delay or termination of the research, development or commercialization of our products or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infringe the intellectual property rights of others,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75"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own or co-own intellectual property covering our products that results from our collaborating with them, and in such cases, we would not have the exclusive right to commercialize such intellectual property.</w:t>
      </w:r>
    </w:p>
    <w:p>
      <w:pPr>
        <w:spacing w:after="0" w:line="176"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76"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may involve the controlled use of potentially hazardous substances, including chemical and biological materials, by us or third parties, such as CROs and CMOs. We label an antibody with Iodine-131 to generate our product candidate omburtamab, and we also use Iodine-124 and Lutetium-177-labeled antibody treatments. Our uses involve the inherent risk of exposure from beta ray emissions, which can alter or harm healthy cells in the body. We, our CROs, our CMOs and other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97"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 consist primarily of waste disposal expenses. However, compliance could become expensive, and current or future environmental laws or regulations may impair our research, development, production and commercialization efforts. Furthermore, failure to comply with these laws and regulations may result in substantial fines, penalties or other sanctions.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6"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94"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 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79"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DANYELZA for commercial supply and our product candidates for our ongoing and planned pre-clinical studies and clinical studies. We also are highly dependent on our CMO SpectronRx to perform radiolabeling of our omburtamab product candidate. Our business could be harmed if those third parties fail to provide us with sufficient quantities of DANYELZA or our product candidates, or fail to do so at acceptable quantities, quality levels or prices or fail to maintain adequate compliance with CMC guidelines of the FDA.</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own any facility that may be used for commercial or clinical-scale manufacturing and processing and we rely on outside vendors to manufacture DANYELZA for commercial supply and for supplies and processing of our product candidates for pre-clinical studies and clinical trials. Omburtamab and our other product candidates have only been manufactured or processed on a limited basis and we and our CMO may not be able to continue manufacturing omburtamab or any of our other product candidates. The manufacturing process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 party research institution collaborators.</w:t>
      </w:r>
    </w:p>
    <w:p>
      <w:pPr>
        <w:spacing w:after="0" w:line="18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To date, we have obtained the active pharmaceutical ingredient, or API, of DANYELZA and omburtamab from a limited number of third party manufacturers. We have engaged a separate third party manufacturer to conduct fill-and-finish and labeling services, as well as for the storage and distribution of DANYELZA and omburtamab to clinical sites and for commercial use. We do not have a long-term supply agreement with any of these third party API manufacturers, and we purchase our required drug supplies on a purchase order basis.</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rely also on CMOs and third party collaborators for the manufacture of DANYELZA for commercial supply, and we expect that this will be the manufacturing arrangement for any of our other potential products, if approved. If we are unable to establish agreements with CMOs on acceptable terms, or at all, our business and results of operations may be materially adversely affected.</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our current CMO, EMD/Merck, for the production of omburtamab since this manufacturing process uses a hybridoma cell line in a relatively small scale (200 liters) cGMP manufacturing process. Many manufacturers refuse to allow hybridoma cell lines to be used in their facilities due to the risk of contamination. In addition, the relatively small scale of the cGMP system required for manufacture of omburtamab may increase the risk that we are unable to establish an alternative manufacturing arrangement on commercially reasonable terms because the small scale may lead to less commercially attractive terms for us. We also are highly dependent on our CMO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SpectronRx to perform radiolabeling of our omburtamab product candidate. Our agreement with SpectronRx is due to expire in December 2022 and there can be no guarantee that the agreement will be extended or renewed in a timely manner and on favorable terms, or at all, which could require us to delay the omburtamab launch date (if approved by the FDA at all).</w:t>
      </w:r>
    </w:p>
    <w:p>
      <w:pPr>
        <w:spacing w:after="0" w:line="180"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following additional risks with respect to the third party manufacture of our antibody-based cancer treatments:</w:t>
      </w:r>
    </w:p>
    <w:p>
      <w:pPr>
        <w:spacing w:after="0" w:line="162" w:lineRule="exact"/>
        <w:rPr>
          <w:sz w:val="20"/>
          <w:szCs w:val="20"/>
          <w:color w:val="auto"/>
        </w:rPr>
      </w:pPr>
    </w:p>
    <w:p>
      <w:pPr>
        <w:ind w:left="1040" w:right="339" w:hanging="315"/>
        <w:spacing w:after="0" w:line="25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of DANYELZA or omburtamab, the respective BLA submissions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 such potential new manufacturer. Any such potential new manufacturer would further need to pass cGMP compliance inspections by the FDA.</w:t>
      </w:r>
    </w:p>
    <w:p>
      <w:pPr>
        <w:spacing w:after="0" w:line="187"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such third party would have to be educated in, or develop substantially equivalent processes for, production of our product and/or product candidates.</w:t>
      </w:r>
    </w:p>
    <w:p>
      <w:pPr>
        <w:spacing w:after="0" w:line="161" w:lineRule="exact"/>
        <w:rPr>
          <w:rFonts w:ascii="Times New Roman" w:cs="Times New Roman" w:eastAsia="Times New Roman" w:hAnsi="Times New Roman"/>
          <w:sz w:val="18"/>
          <w:szCs w:val="18"/>
          <w:color w:val="auto"/>
        </w:rPr>
      </w:pPr>
    </w:p>
    <w:p>
      <w:pPr>
        <w:ind w:left="1040" w:right="499" w:hanging="315"/>
        <w:spacing w:after="0" w:line="312"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third party manufacturers might be unable to timely manufacture our product and/or product candidates or to produce the quantity and quality required to meet our clinical and commercial needs.</w:t>
      </w:r>
    </w:p>
    <w:p>
      <w:pPr>
        <w:spacing w:after="0" w:line="139" w:lineRule="exact"/>
        <w:rPr>
          <w:rFonts w:ascii="Times New Roman" w:cs="Times New Roman" w:eastAsia="Times New Roman" w:hAnsi="Times New Roman"/>
          <w:sz w:val="17"/>
          <w:szCs w:val="17"/>
          <w:color w:val="auto"/>
        </w:rPr>
      </w:pPr>
    </w:p>
    <w:p>
      <w:pPr>
        <w:ind w:left="1040" w:right="39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 party manufacturers may not be able to execute our manufacturing procedures and other logistical support requirements appropriately.</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 party manufacturers may not perform as agreed, according to our schedule or specifications, or at all. Any such third party manufacturer may not devote sufficient resources to our product candidates, may give greater priority to the supply of other products over our product candidates, or may not remain in the contract manufacturing business for the time required to supply our clinical trials or commercial needs.</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risk of cross-contamination from other drug substances if more than one product is manufactured at a third party manufacturer’s production facilities.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58"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party manufacturers are subject to ongoing periodic unannounced inspection by the FDA and corresponding state agencies to ensure strict compliance with cGMPs and other government regulations and corresponding foreign standards. We do not have control over third party manufacturers’ compliance with these and or any other applicable regulations and standards, and any of our third party manufacturers could fail to comply with applicable government regulations.</w:t>
      </w:r>
    </w:p>
    <w:p>
      <w:pPr>
        <w:spacing w:after="0" w:line="183"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 party manufacturers in the manufacturing process for our products.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 party manufacturers could breach, terminate or choose not to renew their agreement with us at a time that is costly or inconvenient for us.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p>
      <w:pPr>
        <w:spacing w:after="0" w:line="175" w:lineRule="exact"/>
        <w:rPr>
          <w:rFonts w:ascii="Times New Roman" w:cs="Times New Roman" w:eastAsia="Times New Roman" w:hAnsi="Times New Roman"/>
          <w:sz w:val="18"/>
          <w:szCs w:val="18"/>
          <w:color w:val="auto"/>
        </w:rPr>
      </w:pPr>
    </w:p>
    <w:p>
      <w:pPr>
        <w:ind w:left="1040" w:right="219" w:hanging="315"/>
        <w:spacing w:after="0" w:line="312" w:lineRule="auto"/>
        <w:tabs>
          <w:tab w:leader="none" w:pos="10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third party manufacturers could potentially mislabel commercial or clinical supplies, which may result in the wrong dose amounts being supplied or active drug or placebo not being properly identified;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 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p>
      <w:pPr>
        <w:spacing w:after="0" w:line="175" w:lineRule="exact"/>
        <w:rPr>
          <w:rFonts w:ascii="Times New Roman" w:cs="Times New Roman" w:eastAsia="Times New Roman" w:hAnsi="Times New Roman"/>
          <w:sz w:val="18"/>
          <w:szCs w:val="18"/>
          <w:color w:val="auto"/>
        </w:rPr>
      </w:pPr>
    </w:p>
    <w:p>
      <w:pPr>
        <w:jc w:val="both"/>
        <w:ind w:left="1040" w:right="279" w:hanging="315"/>
        <w:spacing w:after="0" w:line="26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interrupted if third 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 party manufacturers may have unacceptable or inconsistent product quality success rates and yields and may have inadequate quality control systems.</w:t>
      </w:r>
    </w:p>
    <w:p>
      <w:pPr>
        <w:spacing w:after="0" w:line="162" w:lineRule="exact"/>
        <w:rPr>
          <w:sz w:val="20"/>
          <w:szCs w:val="20"/>
          <w:color w:val="auto"/>
        </w:rPr>
      </w:pPr>
    </w:p>
    <w:p>
      <w:pPr>
        <w:ind w:left="60" w:right="179" w:firstLine="648"/>
        <w:spacing w:after="0" w:line="230" w:lineRule="auto"/>
        <w:rPr>
          <w:sz w:val="20"/>
          <w:szCs w:val="20"/>
          <w:color w:val="auto"/>
        </w:rPr>
      </w:pPr>
      <w:r>
        <w:rPr>
          <w:rFonts w:ascii="Times New Roman" w:cs="Times New Roman" w:eastAsia="Times New Roman" w:hAnsi="Times New Roman"/>
          <w:sz w:val="18"/>
          <w:szCs w:val="18"/>
          <w:color w:val="auto"/>
        </w:rPr>
        <w:t xml:space="preserve">Each of these risks could delay or prevent the completion of our clinical trials, could delay any additional BLA submissions or the approval of any of our product candidates by the FDA, result in higher costs or adversely impact commercialization of our product candidates. Any shortage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We are currently experiencing a shortage in the supply of Iodine-131, one of the components of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 xml:space="preserve">I-omburtamab product candidate, from our single source supplier. This shortage, if not remedied before the commercial launch of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 xml:space="preserve">I-omburtamab, if approved, could adversely affect sales of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w:t>
      </w:r>
    </w:p>
    <w:p>
      <w:pPr>
        <w:spacing w:after="0" w:line="93"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us until deficiencies are remedied.</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CMOs to manufacture DANYELZA and our product candidates must be approved by the FDA pursuant to inspections conducted after submittal of a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adversely affect our commercialization of approved products, such as DANYELZA, and delay clinical development or marketing approval of other product candidates, such as omburtamab. We do not currently have arrangements in place for redundant supply of DANYELZA and omburtamab and we currently use only a single third party manufacturer for fill-and-finish services for DANYELZA or omburtamab. If any of our current CMOs cannot perform as agreed, we may be required to replace such manufacturer and we may incur added costs and delays in identifying and qualifying any such replacement. The FDA has recently visited and inspected the site of EMD Millipore Corporation (now part of the Merck KGaA group of companies), or EMD/Merck, in Martillac, France, where the omburtamab drug substance is manufactured and Vela Labs, GmbH, and Seibersdorf Labor GmbH in Austria where an analytical release test of omburtamab drug substance is performed and manufacture of clinical and commercial supply is planned. Substantial delays in the approval process, or our inability to obtain approval for any reason for omburtamab would have a material adverse effect upon our business, results of operations and financial condition. The FDA may also decide to inspect the fill and finish site at Patheon/Thermo Fisher in Ferentino, Italy. If the FDA is not able to timely conduct an inspection for any reason, including due to COVID-19 travel restrictions or otherwise, there may be adverse consequences to the approval process. We also expect that the EMA will require an inspection of the manufacturing facilities for omburtamab in connection with our Marketing Authorization Application, or MAA, submission for omburtamab. If the EMA is unable to conclude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that these manufacturing facilities are in compliance with cGMP there may be adverse consequences to the approval process, and we may not obtain a MA for omburtamab in Europe on a timely basis or at all. In addition, if the EMA is not able to timely conduct an inspection for any reason, including due to COVID-19 travel restrictions or otherwise, there may be adverse consequences to the approval process, and we may not obtain MAA approval on a timely basis or at all.</w:t>
      </w:r>
    </w:p>
    <w:p>
      <w:pPr>
        <w:spacing w:after="0" w:line="176" w:lineRule="exact"/>
        <w:rPr>
          <w:sz w:val="20"/>
          <w:szCs w:val="20"/>
          <w:color w:val="auto"/>
        </w:rPr>
      </w:pPr>
    </w:p>
    <w:p>
      <w:pPr>
        <w:jc w:val="both"/>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reliant in significant part on outside scientists and their third 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80"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 party research institutions for both clinical trial and pre-clinical research.</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Currently, MSK is conducting a clinical trial to address relapsed osteosarcoma using DANYELZA. MSK is also conducting a clinical trial to address desmoplastic small round cell tumors, or DSRCT for our omburtamab product candidate. Under the terms of the MCTA, we are obligated to pay for costs associated with these clinical trials. We are conducting clinical trials at MSK for CNS/LM from NB and diffuse intrinsic pontine glioma, or DIPG for omburtamab.</w:t>
      </w:r>
    </w:p>
    <w:p>
      <w:pPr>
        <w:spacing w:after="0" w:line="18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agreed to fund certain research and development costs under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DANYELZA and our product candidates are biologics and the manufacture of DANYELZA and our product candidates is complex. We, or any of our third 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8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 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195"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such change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spacing w:after="0" w:line="180"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Finally, in May 2021, we entered into an exclusive distribution agreement with Adium Pharma S.A., or Adium, for Latin America. We may enter into further strategic collaborations for the development, marketing and commercialization of all or some of our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205"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potential collaborations involving our product candidates pose risks to us, including the following:</w:t>
      </w:r>
    </w:p>
    <w:p>
      <w:pPr>
        <w:spacing w:after="0" w:line="162" w:lineRule="exact"/>
        <w:rPr>
          <w:sz w:val="20"/>
          <w:szCs w:val="20"/>
          <w:color w:val="auto"/>
        </w:rPr>
      </w:pPr>
    </w:p>
    <w:p>
      <w:pPr>
        <w:ind w:left="1040" w:right="1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drugs that compete directly or indirectly with our drugs or product candidates;</w:t>
      </w:r>
    </w:p>
    <w:p>
      <w:pPr>
        <w:spacing w:after="0" w:line="161"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drugs may not commit sufficient resources to the marketing and distribution of such drug or drugs;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58"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any collaboration arrangement that we enter into, such as if we undergo a change of control;</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restricted under then-existing collaboration agreements from entering into future agreements on certain terms with potential collaborators;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discoveries, data, proprietary information, trade secrets, or compounds and use this knowledge to compete with us in the future; and</w:t>
      </w:r>
    </w:p>
    <w:p>
      <w:pPr>
        <w:spacing w:after="0" w:line="161"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potential future collaborators or acquirers.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collaboration agreements, if any, may not lead to development or commercialization of product candidates in the most efficient manner, or at all.</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8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decisions by third party payors may have an adverse effect on pricing and market acceptance. If there is not sufficient coverage and reimbursement for our products, it is less likely that our products will be widely used.</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Market acceptance and sales of DANYELZA and any other potential products, if approved, will depend on coverage and reimbursement policies and may be affected by future healthcare reform measures. Government authorities and third party payors, such as private health insurers and health maintenance organizations, decide which drugs they will reimburse and establish payment levels and, in some cases, utilization management strategies, such as tiered formularies and prior authorization. To date, although a number of third party providers have established coverage policies and provided reimbursement for DANYELZA, no third party provider has established coverage policies or provided reimbursement for any of our other product candidates and we cannot assure you that coverage and reimbursement will be readily available for DANYELZA or any products that we develop or that the reimbursement level will be adequate to allow us to operate profitably. Furthermore, we cannot be certain that coverage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89" w:lineRule="auto"/>
        <w:rPr>
          <w:sz w:val="20"/>
          <w:szCs w:val="20"/>
          <w:color w:val="auto"/>
        </w:rPr>
      </w:pPr>
      <w:r>
        <w:rPr>
          <w:rFonts w:ascii="Times New Roman" w:cs="Times New Roman" w:eastAsia="Times New Roman" w:hAnsi="Times New Roman"/>
          <w:sz w:val="17"/>
          <w:szCs w:val="17"/>
          <w:color w:val="auto"/>
        </w:rPr>
        <w:t>reimbursement policies will not reduce the demand for, or the price paid for, our products. If coverage and reimbursement is not available or is available on a limited basis, or if the coverage and reimbursement amount is inadequate, we may not be able to successfully commercialize DANYELZA or any of our other potential products, if approved.</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market approval and other legal compliance matters</w:t>
      </w:r>
    </w:p>
    <w:p>
      <w:pPr>
        <w:spacing w:after="0" w:line="22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R/R high-risk NB in bone and/or bone marrow. We cannot predict when or if, and in which other territories, we, or any of our potential future collaborators, will obtain marketing approval to commercialize DANYELZA or any of our product candidates.</w:t>
      </w:r>
    </w:p>
    <w:p>
      <w:pPr>
        <w:spacing w:after="0" w:line="18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Although we have received a Biologics License for DANYELZA for R/R high-risk NB in bone and/or bone marrow, we intend to discuss with the FDA submission of additional BLAs for approval of DANYELZA to treat additional indications that currently lack an FDA-approved treatment option. We are currently waiting for the FDA to take action on the BLA that we submitted for omburtamab for the treatment of CNS/LM from NB, and if approved for that indication, despite the recent negative Advisory Committee recommendation with respect to our BLA for omburtamab, we may consider to discuss with the FDA submission of additional BLAs for approval of omburtamab for the treatment of additional indications with high unmet need.</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 such as omburtamab.</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some, but only limited, experience in completing a submission of a BLA to the FDA, or similar approval submissions to comparable foreign authorities. The FDA issued a Refusal to File letter regarding our original BLA submission for omburtamab, and there can be no guarantee that we will not receive another Refusal to File letter on any future BLA that we may submit.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candidatesand the small size of our target patient populations, to create further challenges in obtaining regulatory approval from the FDA and other regulatory authorities. For example, for product candidates targeting ultra rare diseases, such as CNS/LM from NB, where the very small patient population makes it difficult or impossible to conduct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two traditional, adequate and well-controlled studies, the FDA or comparable foreign regulatory authorities may need to exercise flexibility in approving therapies for such diseases.</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on October 28, 2022, which voted 16 to 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of omburtamab or other product candidates based on the completed clinical trials. Accordingly, the regulatory approval pathway for our product candidates may be uncertain, complex, expensive, and lengthy, and approval may not be obtained.</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4"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Any marketing approval we ultimately obtain may be limited or subject to restrictions or post-approval commitments that render the approved product not commercially viable.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clinical trials can be delayed or terminated for a variety of reasons, including delays or failures related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begin a trial, if applicable;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begin and complete the planned trials;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Institutional Review Board or IRB;</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not complying with GCPs, or dropping out of a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conflicts with new or existing laws or regulations;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qualified materials under cGMPs for use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Russian invasion of Ukraine;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See the risk factor above “—</w:t>
      </w:r>
      <w:r>
        <w:rPr>
          <w:rFonts w:ascii="Times New Roman" w:cs="Times New Roman" w:eastAsia="Times New Roman" w:hAnsi="Times New Roman"/>
          <w:sz w:val="18"/>
          <w:szCs w:val="18"/>
          <w:i w:val="1"/>
          <w:iCs w:val="1"/>
          <w:color w:val="auto"/>
        </w:rPr>
        <w:t>If we encounter difficulties enrolling patients in our clinical trials, our clinical development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delayed or otherwise adversely affected</w:t>
      </w:r>
      <w:r>
        <w:rPr>
          <w:rFonts w:ascii="Times New Roman" w:cs="Times New Roman" w:eastAsia="Times New Roman" w:hAnsi="Times New Roman"/>
          <w:sz w:val="18"/>
          <w:szCs w:val="18"/>
          <w:color w:val="auto"/>
        </w:rPr>
        <w:t>.” for additional information on risks related to patient enrollment.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7"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third 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Our product candidates, including omburtamab, could fail to receive marketing approval for many reasons, including the following:</w:t>
      </w:r>
    </w:p>
    <w:p>
      <w:pPr>
        <w:spacing w:after="0" w:line="162" w:lineRule="exact"/>
        <w:rPr>
          <w:sz w:val="20"/>
          <w:szCs w:val="20"/>
          <w:color w:val="auto"/>
        </w:rPr>
      </w:pPr>
    </w:p>
    <w:p>
      <w:pPr>
        <w:ind w:left="1040" w:right="1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fail to approve the manufacturing processes or facilities of third party manufacturers with which we contract for clinical and commercial supplies;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fail to approve any companion diagnostics that may be required in connection with approval of our therapeutic product candidates;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clinical trial results may result in our failing to obtain marketing approval to market omburtamab or any of our other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82"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72"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EMA or comparable foreign regulatory authorities, may disagree with our regulatory plans, including our plans to seek conditional marketing authorization, and we may fail to obtain regulatory approval of DANYELZA, omburtamab or our other product candidates, which would prevent DANYELZA, omburtamab or our other product candidates from being marketed abroad. Any approval we are granted for our product candidates in the United States, such as the approval of DANYELZA, would not assure approval of our product candidates in foreign jurisdictions.</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On April 27, 2021 we submitted a MAA, to the EMA for omburtamab for the treatment of pediatric patients with CNS/LM from NB.</w:t>
      </w:r>
    </w:p>
    <w:p>
      <w:pPr>
        <w:spacing w:after="0" w:line="162" w:lineRule="exact"/>
        <w:rPr>
          <w:sz w:val="20"/>
          <w:szCs w:val="20"/>
          <w:color w:val="auto"/>
        </w:rPr>
      </w:pPr>
    </w:p>
    <w:p>
      <w:pPr>
        <w:ind w:left="60" w:right="99" w:firstLine="693"/>
        <w:spacing w:after="0" w:line="254" w:lineRule="auto"/>
        <w:rPr>
          <w:sz w:val="20"/>
          <w:szCs w:val="20"/>
          <w:color w:val="auto"/>
        </w:rPr>
      </w:pPr>
      <w:r>
        <w:rPr>
          <w:rFonts w:ascii="Times New Roman" w:cs="Times New Roman" w:eastAsia="Times New Roman" w:hAnsi="Times New Roman"/>
          <w:sz w:val="18"/>
          <w:szCs w:val="18"/>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76"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applicant will be in a position to provide the comprehensive clinical data;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unmet medical needs will be fulfilled; and</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are still required.</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76"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3"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w:t>
      </w:r>
    </w:p>
    <w:p>
      <w:pPr>
        <w:spacing w:after="0" w:line="18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decide to voluntarily withdraw our MAA for omburtamab for the treatment of pediatric patients with CNS/LM from NB submitted to EMA, if we determine based on feed-back received from the EMA, that it is unlikely that a continued application process will lead to approval for omburtamab for the treatment of CNS/LM from NB.</w:t>
      </w:r>
    </w:p>
    <w:p>
      <w:pPr>
        <w:spacing w:after="0" w:line="176" w:lineRule="exact"/>
        <w:rPr>
          <w:sz w:val="20"/>
          <w:szCs w:val="20"/>
          <w:color w:val="auto"/>
        </w:rPr>
      </w:pPr>
    </w:p>
    <w:p>
      <w:pPr>
        <w:ind w:left="60" w:right="919" w:firstLine="693"/>
        <w:spacing w:after="0" w:line="282" w:lineRule="auto"/>
        <w:rPr>
          <w:sz w:val="20"/>
          <w:szCs w:val="20"/>
          <w:color w:val="auto"/>
        </w:rPr>
      </w:pPr>
      <w:r>
        <w:rPr>
          <w:rFonts w:ascii="Times New Roman" w:cs="Times New Roman" w:eastAsia="Times New Roman" w:hAnsi="Times New Roman"/>
          <w:sz w:val="18"/>
          <w:szCs w:val="18"/>
          <w:color w:val="auto"/>
        </w:rPr>
        <w:t>Failure to obtain regulatory approval to market any of our product candidates outside of the US would significantly harm our business, results of operations, and prospects.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99" w:firstLine="648"/>
        <w:spacing w:after="0" w:line="235" w:lineRule="auto"/>
        <w:rPr>
          <w:sz w:val="20"/>
          <w:szCs w:val="20"/>
          <w:color w:val="auto"/>
        </w:rPr>
      </w:pPr>
      <w:r>
        <w:rPr>
          <w:rFonts w:ascii="Times New Roman" w:cs="Times New Roman" w:eastAsia="Times New Roman" w:hAnsi="Times New Roman"/>
          <w:sz w:val="18"/>
          <w:szCs w:val="18"/>
          <w:color w:val="auto"/>
        </w:rPr>
        <w:t xml:space="preserve">In June 2017,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received BTD for the treatment of pediatric patients with R/R NB who have CNS/LM from NB. We may seek BTD for some or all of our other product candidates, but we may never receive another BTD, or, if received, such designation for a product candidate may not result in a faster development or regulatory review or approval process compared to drugs considered for approval under conventional FDA procedures. BTD does not change the standards for product approval nor assure ultimate approval by the FDA.</w:t>
      </w:r>
    </w:p>
    <w:p>
      <w:pPr>
        <w:spacing w:after="0" w:line="201"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be able to obtain or maintain Orphan Drug Designation, or ODD, or Rare Pediatric Disease Designation, or RPDD.</w:t>
      </w:r>
    </w:p>
    <w:p>
      <w:pPr>
        <w:spacing w:after="0" w:line="159" w:lineRule="exact"/>
        <w:rPr>
          <w:sz w:val="20"/>
          <w:szCs w:val="20"/>
          <w:color w:val="auto"/>
        </w:rPr>
      </w:pPr>
    </w:p>
    <w:p>
      <w:pPr>
        <w:ind w:left="60" w:right="99" w:firstLine="648"/>
        <w:spacing w:after="0" w:line="227" w:lineRule="auto"/>
        <w:rPr>
          <w:sz w:val="20"/>
          <w:szCs w:val="20"/>
          <w:color w:val="auto"/>
        </w:rPr>
      </w:pPr>
      <w:r>
        <w:rPr>
          <w:rFonts w:ascii="Times New Roman" w:cs="Times New Roman" w:eastAsia="Times New Roman" w:hAnsi="Times New Roman"/>
          <w:sz w:val="18"/>
          <w:szCs w:val="18"/>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September 2021 the FDA granted RPDD for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 xml:space="preserve">Lu-omburtamab-DTPA for the treatment of medulloblastoma. In July 2021, the European Commission granted orphan medicinal product designation, or OMPD, for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 xml:space="preserve">Lu-omburtamab-DTPA for the treatment of medulloblastoma. In November 2018, the European Commission granted orphan medicinal product designation, or OMPD, for naxitamab (DANYELZA) for the treatment of NB. In February 2017, the European Commission granted OMPD to omburtamab for the treatment of NB. In August 2016, the FDA granted ODD to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the treatment of NB. In 2013, the FDA granted ODD to DANYELZA for the treatment of NB.</w:t>
      </w:r>
    </w:p>
    <w:p>
      <w:pPr>
        <w:spacing w:after="0" w:line="19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87"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A drug that receives RPDD before September 30, 2024, will continue to be eligible for a PRV if the drug is approved by the FDA before September 30, 2026. If the BLA for omburtamab is not approved prior to September 30, 2026, regardless of whether it meets the criteria for a rare pediatric disease PRV, it will not be eligible for a PRV.</w:t>
      </w:r>
    </w:p>
    <w:p>
      <w:pPr>
        <w:spacing w:after="0" w:line="1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to meet the needs of patients with the rare disease or condition. Further, even if we, or any future collaborators, obtain orphan drug exclusivity for a product candidate,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 up. As of October 1, 2022 we have enrolled 84 patients and we anticipate completing the study no later than by March 31, 2027. Other post-marketing requirements associated with the approval 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92"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7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75" w:lineRule="exact"/>
        <w:rPr>
          <w:sz w:val="20"/>
          <w:szCs w:val="20"/>
          <w:color w:val="auto"/>
        </w:rPr>
      </w:pPr>
    </w:p>
    <w:p>
      <w:pPr>
        <w:ind w:left="60" w:right="659" w:firstLine="648"/>
        <w:spacing w:after="0" w:line="312" w:lineRule="auto"/>
        <w:rPr>
          <w:sz w:val="20"/>
          <w:szCs w:val="20"/>
          <w:color w:val="auto"/>
        </w:rPr>
      </w:pPr>
      <w:r>
        <w:rPr>
          <w:rFonts w:ascii="Times New Roman" w:cs="Times New Roman" w:eastAsia="Times New Roman" w:hAnsi="Times New Roman"/>
          <w:sz w:val="17"/>
          <w:szCs w:val="17"/>
          <w:color w:val="auto"/>
        </w:rPr>
        <w:t>DANYELZA and any of our product candidates for which we, or our potential future collaborators, obtain marketing approval in the future, will be subject to continual review by the FDA and other regulatory authorities.</w:t>
      </w:r>
    </w:p>
    <w:p>
      <w:pPr>
        <w:spacing w:after="0" w:line="14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76"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drugs, manufacturers or manufacturing processes;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drugs from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drugs;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 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drugs;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expect healthcare reform measures that may be adopted in the future may result in more rigorous coverage criteria and in additional downward pressure on the price that we receive for DANYELZA and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8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price controls or other changes in pricing regulation could restrict the amount that we are able to charge for DANYELZA and omburtamab, if approved, or any of our other product candidates that may be approved in the future, which would adversely affect our revenue and results of operations.</w:t>
      </w:r>
    </w:p>
    <w:p>
      <w:pPr>
        <w:spacing w:after="0" w:line="17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 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94"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Current government regulations and possible future legislation regarding health care may affect coverage and reimbursement for medical treatment by third party payors, which may render DANYELZA or our other product candidates, if approved, not commercially viable or may adversely affect our anticipated future revenues and gross margins.</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6" w:lineRule="exact"/>
        <w:rPr>
          <w:sz w:val="20"/>
          <w:szCs w:val="20"/>
          <w:color w:val="auto"/>
        </w:rPr>
      </w:pPr>
    </w:p>
    <w:p>
      <w:pPr>
        <w:ind w:left="60" w:right="2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providers, physicians and third 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5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relationships with healthcare providers, physicians and third 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 party payors and patients may expose us to broadly applicable fraud and abuse and other healthcare laws and regulations that may constrain the business or financial arrangements and relationships through which we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market, sell and distribute DANYELZA and other our products for which we obtain marketing approval. Restrictions under applicable federal and state healthcare laws and regulations include the following:</w:t>
      </w:r>
    </w:p>
    <w:p>
      <w:pPr>
        <w:spacing w:after="0" w:line="162" w:lineRule="exact"/>
        <w:rPr>
          <w:sz w:val="20"/>
          <w:szCs w:val="20"/>
          <w:color w:val="auto"/>
        </w:rPr>
      </w:pPr>
    </w:p>
    <w:p>
      <w:pPr>
        <w:ind w:left="1040" w:right="79" w:hanging="315"/>
        <w:spacing w:after="0" w:line="274" w:lineRule="auto"/>
        <w:tabs>
          <w:tab w:leader="none" w:pos="10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2" w:lineRule="exact"/>
        <w:rPr>
          <w:rFonts w:ascii="Times New Roman" w:cs="Times New Roman" w:eastAsia="Times New Roman" w:hAnsi="Times New Roman"/>
          <w:sz w:val="17"/>
          <w:szCs w:val="17"/>
          <w:color w:val="auto"/>
        </w:rPr>
      </w:pPr>
    </w:p>
    <w:p>
      <w:pPr>
        <w:ind w:left="1040" w:right="79" w:hanging="315"/>
        <w:spacing w:after="0" w:line="256"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7"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7"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Privacy Provisions—as amended by HITECH and its implementing regulations, HIPAA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88" w:lineRule="exact"/>
        <w:rPr>
          <w:rFonts w:ascii="Times New Roman" w:cs="Times New Roman" w:eastAsia="Times New Roman" w:hAnsi="Times New Roman"/>
          <w:sz w:val="18"/>
          <w:szCs w:val="18"/>
          <w:color w:val="auto"/>
        </w:rPr>
      </w:pPr>
    </w:p>
    <w:p>
      <w:pPr>
        <w:ind w:left="1040" w:right="259" w:hanging="315"/>
        <w:spacing w:after="0" w:line="254"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9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FDCA—the FDCA, which prohibits, among other things, the adulteration or misbranding of drugs, biologics and medical devices; and</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Laws—analogous state and foreign fraud and abuse laws and regulations, such as state anti-kickback and false claims laws that may apply to sales or marketing arrangements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spacing w:after="0" w:line="282" w:lineRule="auto"/>
        <w:rPr>
          <w:sz w:val="20"/>
          <w:szCs w:val="20"/>
          <w:color w:val="auto"/>
        </w:rPr>
      </w:pPr>
      <w:r>
        <w:rPr>
          <w:rFonts w:ascii="Times New Roman" w:cs="Times New Roman" w:eastAsia="Times New Roman" w:hAnsi="Times New Roman"/>
          <w:sz w:val="18"/>
          <w:szCs w:val="18"/>
          <w:color w:val="auto"/>
        </w:rPr>
        <w:t>claims involving healthcare items or services reimbursed by non-governmental third party payors, including private insurers.</w:t>
      </w:r>
    </w:p>
    <w:p>
      <w:pPr>
        <w:spacing w:after="0" w:line="16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Europe, the collection and processing of personal data—including health data—is governed by the European Union-wide General Data Protection Regulation, or GDPR. GDPR applies to us through the activities of our wholly-owned subsidiary Y-mAbs Therapeutics A/S, and also to most businesses, regardless of location, that provides goods or services to residents in the EU, which includes our clinical trial activities in European Union Member States. The GDPR imposes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pseudonymized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related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20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3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Successful sales of DANYELZA and our product candidates, if approved, depend on the availability of adequate coverage and reimbursement from third party payors. In addition, because DANYELZA and our product candidates represent relatively new approaches to the treatment of cancer, we cannot accurately estimate the potential revenue from DANYELZA or our product candidates.</w:t>
      </w:r>
    </w:p>
    <w:p>
      <w:pPr>
        <w:spacing w:after="0" w:line="180"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generally rely on third 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58"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color w:val="auto"/>
        </w:rPr>
        <w:t>Government authorities and third party payors, such as private health insurers and health maintenance organizations, decide which drugs and treatments they will cover and the amount of reimbursement. Coverage and reimbursement by a third party payor may depend upon a number of factors, including the third party payor’s determination that use of a product is:</w:t>
      </w:r>
    </w:p>
    <w:p>
      <w:pPr>
        <w:spacing w:after="0" w:line="180" w:lineRule="exact"/>
        <w:rPr>
          <w:sz w:val="20"/>
          <w:szCs w:val="20"/>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 party payors. As a result, obtaining coverage and reimbursement approval of a product from a government or other third 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 party providers have established coverage policies and provided reimbursement for DANYELZA, no third party provider has established coverage policies or provided reimbursement for any of our other product candidates. Even if we obtain coverage for DANYELZA or any other product, the resulting reimbursement payment rates might not be adequate for us to achieve or sustain profitability or may require co-payments that patients find unacceptably high. Additionally, third party payors may not cover, or provide adequate reimbursement for, long-term follow-up evaluations required following the use of our products, if approved.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w:t>
      </w:r>
    </w:p>
    <w:p>
      <w:pPr>
        <w:spacing w:after="0" w:line="19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date DANYELZA has been approved for sale in the United States and Israel only, but we intend to seek approval to market our products in both the United States as well as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 party payors for our product candidates and may be affected by existing and future health care reform measures.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3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9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7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radioimmunotherapy product candidates have very limited shelf lives that make them susceptible to damage and loss, which could adversely affect our business, financial condition and operating results.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radioimmunotherapy product candidates have a very limited shelf life once radiolabeled with radioactive elements. These product candidates require reliable transportation or radiolabeling production facilities located in close proximity to our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delivery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spacing w:after="0" w:line="18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94"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 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8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proprietary technology licensed from MSK and MIT and may depend on other third party licensors in the future. If we lose our existing licenses or are unable to acquire or license additional proprietary rights from MSK, MIT or other third parties, we may not be able to continue developing our products.</w:t>
      </w:r>
    </w:p>
    <w:p>
      <w:pPr>
        <w:spacing w:after="0" w:line="17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 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9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acquire or in-license any relevant third 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 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 party intellectual property or to maintain the existing intellectual property rights we have, we may have to abandon development of such program and our business and financial condition could suffer.</w:t>
      </w:r>
    </w:p>
    <w:p>
      <w:pPr>
        <w:spacing w:after="0" w:line="192" w:lineRule="exact"/>
        <w:rPr>
          <w:sz w:val="20"/>
          <w:szCs w:val="20"/>
          <w:color w:val="auto"/>
        </w:rPr>
      </w:pPr>
    </w:p>
    <w:p>
      <w:pPr>
        <w:jc w:val="both"/>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The licensing and acquisition of third party intellectual property rights is a competitive practice, and companies that may be more established, or have greater resources than we do, may also be pursuing strategies to license or acquire third 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3"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81"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85" w:lineRule="exact"/>
        <w:rPr>
          <w:sz w:val="20"/>
          <w:szCs w:val="20"/>
          <w:color w:val="auto"/>
        </w:rPr>
      </w:pPr>
    </w:p>
    <w:p>
      <w:pPr>
        <w:ind w:left="60" w:right="1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5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 party patent rights.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7"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0" w:lineRule="exact"/>
        <w:rPr>
          <w:sz w:val="20"/>
          <w:szCs w:val="20"/>
          <w:color w:val="auto"/>
        </w:rPr>
      </w:pPr>
    </w:p>
    <w:p>
      <w:pPr>
        <w:ind w:left="1040" w:right="19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pharmaceutical compounds used in our products or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parallel importation of products into the U.S., EU member states and/or other jurisdictions, which may reduce our profit margin;</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 to any in-licensed patents and patent applications funded by U.S. government grants, leading to the loss of patent rights;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products or product candidates and proprietary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patent term extensions or supplementary protection certificates covering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 or products;</w:t>
      </w:r>
    </w:p>
    <w:p>
      <w:pPr>
        <w:spacing w:after="0" w:line="161" w:lineRule="exact"/>
        <w:rPr>
          <w:rFonts w:ascii="Times New Roman" w:cs="Times New Roman" w:eastAsia="Times New Roman" w:hAnsi="Times New Roman"/>
          <w:sz w:val="18"/>
          <w:szCs w:val="18"/>
          <w:color w:val="auto"/>
        </w:rPr>
      </w:pPr>
    </w:p>
    <w:p>
      <w:pPr>
        <w:jc w:val="both"/>
        <w:ind w:left="1040" w:right="6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61"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products, product candidates or diagnostic tests we develop may be covered by third parties’ patents or other proprietary rights;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spacing w:after="0" w:line="180"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2022 through 2037,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2031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is also a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exclude others from practicing one or more of our inventions in the relevant country or jurisdiction, which could have a material adverse effect on our business.</w:t>
      </w:r>
    </w:p>
    <w:p>
      <w:pPr>
        <w:spacing w:after="0" w:line="15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72" w:lineRule="exact"/>
        <w:rPr>
          <w:sz w:val="20"/>
          <w:szCs w:val="20"/>
          <w:color w:val="auto"/>
        </w:rPr>
      </w:pPr>
    </w:p>
    <w:p>
      <w:pPr>
        <w:ind w:left="60" w:right="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3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8"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In addition, because some patent applications in the United States may be maintained in secrecy until the patents are issued, patent applications in the United States and many foreign jurisdictions are typically not published until</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162" w:lineRule="exact"/>
        <w:rPr>
          <w:sz w:val="20"/>
          <w:szCs w:val="20"/>
          <w:color w:val="auto"/>
        </w:rPr>
      </w:pPr>
    </w:p>
    <w:p>
      <w:pPr>
        <w:ind w:left="1040" w:right="23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7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7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or processes so they do not infringe, which may not be possible or may require substantial monetary expenditures and time.</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with patents throughout the world.</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6"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could adversely affect our business.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trade names, service marks and domain names, then we may not be able to compete effectively, resulting in a material adverse effect on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7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April 27, 2022, we announced certain management changes, including that our Chief Executive Officer had stepped down, effective immediately, and that our current Chairman, President and Head of Business Development &amp; Strategy had stepped down as Chairman and had assumed the role of Interim Chief Executive Officer. We cannot assure you that we will be able to identify, attract and hire a suitable replacement for our Chief Executive Officer in a timely fashion or that the loss of our Chief Executive Officer and certain additional management changes will not have an adverse impact on our business operations. The loss of the services of our Chief Executive Officer or other members of our executive management team and the failure to find appropriate replacements in a timely fashion could impede the achievement of our research, development and commercialization objectives.</w:t>
      </w:r>
    </w:p>
    <w:p>
      <w:pPr>
        <w:spacing w:after="0" w:line="19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6"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expect to continue to expand our development and regulatory capabilities and our sales and marketing capabilities, and as a result, we may encounter difficulties in managing our growth, which could disrupt our operations.</w:t>
      </w:r>
    </w:p>
    <w:p>
      <w:pPr>
        <w:spacing w:after="0" w:line="175"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expanded and continue to expect to experience significant growth in the number of our employees and the scope of our operations, particularly in the areas of sales and marketing, clinical operations, regulatory affairs and drug development.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and may divert our management and business development resources. Any inability to manage growth could delay the execution of our business plans or disrupt our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5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2022, our executive officers, directors and our stockholders, which own more than 5% of our outstanding common stock beneficially own shares representing approximately 33.54% of our common stock. As a result, if these stockholders were to choose to act together, they would be able to exert significant influence over all 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transaction in which the person acquired in excess of 15% of our outstanding voting stock, unless the merger or combination is approved in a prescribed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60" w:right="379" w:firstLine="648"/>
        <w:spacing w:after="0" w:line="272" w:lineRule="auto"/>
        <w:rPr>
          <w:sz w:val="20"/>
          <w:szCs w:val="20"/>
          <w:color w:val="auto"/>
        </w:rPr>
      </w:pPr>
      <w:r>
        <w:rPr>
          <w:rFonts w:ascii="Times New Roman" w:cs="Times New Roman" w:eastAsia="Times New Roman" w:hAnsi="Times New Roman"/>
          <w:sz w:val="17"/>
          <w:szCs w:val="17"/>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w:t>
      </w:r>
    </w:p>
    <w:p>
      <w:pPr>
        <w:spacing w:after="0" w:line="2"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50 percentage point cumulative change (by value) in the equity ownership of certain stockholders over a rolling three year period), the corporation’s ability to use its pre-change net operating loss carryforwards and other pre-change tax attributes to offset its post-change taxable income or taxes may be limited. We have performed an analysis of our Section 382 ownership changes through March 31, 2021. Due to the large annual limitation, we believe that it is more likely than not that none of the net operating loss carryforwards will expire as a result of the limitation from the ownership change under Section 382.</w:t>
      </w:r>
    </w:p>
    <w:p>
      <w:pPr>
        <w:spacing w:after="0" w:line="186"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for the foreseeable future, capital appreciation, if any, of our common stock will be the source of gain associated with investment in our common stock.</w:t>
      </w:r>
    </w:p>
    <w:p>
      <w:pPr>
        <w:spacing w:after="0" w:line="13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spacing w:after="0" w:line="176"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common stock by stockholders may have an adverse effect on the then prevailing market price of our common stock.</w:t>
      </w:r>
    </w:p>
    <w:p>
      <w:pPr>
        <w:spacing w:after="0" w:line="15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Sales of our common stock may be made by holders of our public float or by holders of restricted securities in compliance with the provisions of Rule 144 of the Securities Act of 1933, or the Securities Act. There were 43,668,130 shares of common stock outstanding as of November 2, 2022. Of these shares of our common stock, 6,900,000 shares sold in our initial public offering in 2018, 5,134,750 shares sold in our public offering in 2019 and 2,804,878 shares sold in our public offering in February 2021 are freely tradable, without restriction, in the public market. As of November 2, 2022 holders of approximately 2,005,347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w:t>
      </w:r>
    </w:p>
    <w:p>
      <w:pPr>
        <w:spacing w:after="0" w:line="19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0"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have been and may in the future be adversely affected by macroeconomic conditions and by geopolitical events, including the recent global conflict resulting from the invasion of Ukraine by Russia, and sanctions related thereto, which resulted in the suspension of our clinical trial and regulatory activities in Russia.</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as well as from international conflicts, terrorism or other geopolitical events, such as the Russian invasion of Ukraine, and related sanctions and other economic disruptions or concerns.</w:t>
      </w:r>
    </w:p>
    <w:p>
      <w:pPr>
        <w:spacing w:after="0" w:line="18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For example, during March 2020, a global pandemic was declared by the World Health Organization related to the rapidly growing outbreak of COVID-19. The global spread of COVID-19 has created, and continues to create, significant volatility, uncertainty and economic disruption, including significant volatility in the capital markets. The extent to which the COVID-19 pandemic affects our business, operations, financial results and the trading price of our common stock will depend on numerous evolving factors that we may not be able to accurately predict, including: the duration and scope of the pandemic or possible resurgence of the pandemic or continued emergence of new strains of COVID-19; the availability of an effective vaccine and the speed with which it is administered to the public;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Coronavirus Aid, Relief, and Economic Security Act and recent increases to the federal prime interest rate). The ultimate impact of the COVID-19 pandemic on our results of operations and financial condition is dependent on future developments, including the duration of the pandemic and the related extent of its severity, as well as its impact on macroeconomic conditions such as the rate of inflation in the U.S. economy, which are uncertain and cannot be predicted at this time. If the global response to contain the COVID-19 pandemic escalates further or is unsuccessful, or if governmental decisions to ease pandemic related restrictions are ineffective, premature or counterproductive, we could experience a material adverse effect on our business, financial condition, results of operations and cash flows.</w:t>
      </w:r>
    </w:p>
    <w:p>
      <w:pPr>
        <w:spacing w:after="0" w:line="193"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Additionally, the global economy and financial markets may also be adversely affected by the current or anticipated impact of military conflict, terrorism or other geopolitical events. Sanctions imposed by the United States and other countries in response to such conflicts, may also adversely impact the financial markets and the global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While it is difficult to anticipate the ultimate impact of any of the foregoing on our company in particular, the conflict and actions taken in response to the conflict has caused us to terminate our clinical trials and suspend our regulatory activities to obtain marketing authorization for DANYELZA in Russia. Additional actions that we or others may take in response to the conflict could increase our costs, disrupt our supply chain, impair our ability to raise or access additional capital when needed on acceptable terms, if at all, or otherwise adversely affect our business, financial condition, and results of operations. For additional detail regarding this conflict, see the risk factor above “—</w:t>
      </w:r>
      <w:r>
        <w:rPr>
          <w:rFonts w:ascii="Times New Roman" w:cs="Times New Roman" w:eastAsia="Times New Roman" w:hAnsi="Times New Roman"/>
          <w:sz w:val="18"/>
          <w:szCs w:val="18"/>
          <w:i w:val="1"/>
          <w:iCs w:val="1"/>
          <w:color w:val="auto"/>
        </w:rPr>
        <w:t>Russia’s invasion of Ukraine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ancillary developments may have an adverse effect on our business.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75"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6" w:lineRule="exact"/>
        <w:rPr>
          <w:sz w:val="20"/>
          <w:szCs w:val="20"/>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integration;</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in future periods, which may adversely affect our stock price.</w:t>
      </w:r>
    </w:p>
    <w:p>
      <w:pPr>
        <w:spacing w:after="0" w:line="22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obtained and plan to continue to seek regulatory approval of our product candidates outside of the United States, and submitted a MAA for omburtamab to the EMA in April 2021 for the treatment of pediatric patients with CNS/LM from NB. We also have existing commercialization collaborations in certain territories outside the United States such as with SciClone, Takeda Israel, Swixx Biopharma AG and Adium. Takeda Israel obtained regulatory approval for DANYELZA in Israel in August 2022. Accordingly, we and our existing and potential collaborators in jurisdictions outside the US, are subject to additional risks related to operating in foreign countries, including:</w:t>
      </w:r>
    </w:p>
    <w:p>
      <w:pPr>
        <w:spacing w:after="0" w:line="187" w:lineRule="exact"/>
        <w:rPr>
          <w:sz w:val="20"/>
          <w:szCs w:val="20"/>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local transfer pricing regulations and withholding of payroll taxes;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OFAC, Anti-Money Laundering Program as required by the Bank Secrecy Act and its implementing regulations, or comparable foreign laws;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current and planned international operations may materially adversely affect our ability to attain or maintain profitable operations.</w:t>
      </w:r>
    </w:p>
    <w:p>
      <w:pPr>
        <w:spacing w:after="0" w:line="15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59"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Our operations, and those of our third 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cyber security attacks and other natural or man-made disasters or business interruptions, for which we are predominantly self-insured, and other severe hazards or global health crises, such as an outbreak of Ebola or the ongoing global COVID-19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 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DANYELZA, omburtamab and our other product candidates including SpectronRx to perform radiolabeling of omburtamab. Our ability to obtain clinical supplies of our product candidates could be disrupted if the operations of these suppliers are affected by a man made or natural disaster or other business interruption. Damage or extended periods of interruption to our third 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394"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potential future revenue;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left="60" w:right="139" w:firstLine="648"/>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EMA and other similar foreign regulatory bodies; provide true, complete and accurate information to the FDA, the EMA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59"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7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$3.25 per share and as high as $55.22 per share through November 2, 2022. From November 2, 2021 through November 2, 2022 our stock price has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ranged from a low of $3.25 to a high of $28.50.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and commercialize DANYELZA and any other product candidates, if approved;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any of our product candidates;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product candidates or our competitors’ products and product candidates, including the FDA’s decision whether to approve our omburtamab BLA;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or termination of collaborations for our products and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revenues and expenses related to any of our products,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discover, develop, acquire or in-license additional product candidates or products;</w:t>
      </w:r>
    </w:p>
    <w:p>
      <w:pPr>
        <w:spacing w:after="0" w:line="236" w:lineRule="exact"/>
        <w:rPr>
          <w:rFonts w:ascii="Times New Roman" w:cs="Times New Roman" w:eastAsia="Times New Roman" w:hAnsi="Times New Roman"/>
          <w:sz w:val="17"/>
          <w:szCs w:val="17"/>
          <w:color w:val="auto"/>
        </w:rPr>
      </w:pPr>
    </w:p>
    <w:p>
      <w:pPr>
        <w:ind w:left="1040" w:right="57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actual or anticipated changes in forecasts of financial performance, or changes in development timelines;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investor sentiment in the pharmaceutical and biotechnology sectors;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such as an increased rate of inflation, increased cost of goods, supply chain disruptions and uncertain global financial markets, and geopolitical events, such as the conflict between Ukraine and Russia and related sanctions;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 . Recently, multiple plaintiffs’ law firms publicly issued announcements stating that they are investigating potential securities law claims on behalf of our investors. Class action and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188"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and large accelerated filer for the year ended December 31, 2021, we were required to provide management’s attestation on internal controls pursuant to Section 404 of the Sarbanes-Oxley Act, and our independent registered public accounting firm was required to attest to the effectiveness of our internal control over financial reporting pursuant to Section 404 of the Sarbanes-Oxley Act. However, as of the last business day of our second fiscal quarter, we determined that we requalify as a smaller reporting company and as a non-accelerated filer for the year ended December 31, 2022. We will therefore no longer be required to include an attestation report on internal control over financial reporting issued by our independent registered public accounting firm in our Annual Report on Form 10-K for the fiscal year ended December 31, 2022.</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inability to operate controls effectively could cause material weaknesses in our internal control over financial reporting in the future, could have a material adverse impact on our company and financial statements and we may not be able to accurately or timely report our financial condition or results of operations, which may adversely affect investor confidence in us and, as a result, the value of our common stock. In addition, we may be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financial statements, investor confidence in us and, as a result, the value of our common stock.</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of our common stock. Internal control deficiencies could also result in a restatement of our financial results in the future. We could become subject to stockholder or other third 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67" w:lineRule="exact"/>
        <w:rPr>
          <w:sz w:val="20"/>
          <w:szCs w:val="20"/>
          <w:color w:val="auto"/>
        </w:rPr>
      </w:pPr>
    </w:p>
    <w:p>
      <w:pPr>
        <w:ind w:left="60" w:right="8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w:t>
      </w:r>
    </w:p>
    <w:p>
      <w:pPr>
        <w:spacing w:after="0" w:line="20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 chain and production continuity, which may impact our ability to achieve our business objectives. Changes in environmental and climate change laws or regulations could lead to additional operational restrictions and compliance requirements upon us or our third party providers or otherwise could negatively impact our business.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pacing w:after="0" w:line="184" w:lineRule="exact"/>
        <w:rPr>
          <w:sz w:val="20"/>
          <w:szCs w:val="20"/>
          <w:color w:val="auto"/>
        </w:rPr>
      </w:pPr>
    </w:p>
    <w:p>
      <w:pPr>
        <w:ind w:left="60" w:right="5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 party research institution collaborators, CROs, CMOs, other contractors or consultants, may fail or suffer security breaches.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CROs, CMOs, other contractors and consultants are vulnerable to damage from computer viruses, cyber 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 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confidential or proprietary information, we could incur liability and the further development and commercialization of our product candidates could be delayed.</w:t>
      </w:r>
    </w:p>
    <w:p>
      <w:pPr>
        <w:spacing w:after="0" w:line="158"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or unauthorized access to our computer systems or those of third parties that we utilize in our operations, including those relating to cybersecurity or arising from cyber attacks, could result in a loss or degradation of service, unauthorized disclosure of data, including member and corporate information, or theft of intellectual property which could adversely impact our business.</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state sponsored attacks, rogue employees, power loss, telecommunications failures, and cybersecurity risks. Interruptions in these systems, or with the internet in general, could hinder our ability to operate. Service interruptions, errors in our software or the unavailability of computer systems used in our operations could diminish the overall attractiveness of our business.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computer systems and those of third parties we use in our operations are subject to cybersecurity threats, including cyber attacks such as computer viruses, denial of service attacks, physical or electronic break ins and similar disruptions. Additionally, outside parties may attempt to induce or deceive employees or users to disclose sensitive or confidential information in order to gain access to data. Any attempt by hackers to obtain our data (including patient, clinical trial and corporate information) or intellectual property, disrupt our business, or otherwise access our systems, or those of third parties we use, if successful, could harm our business, be expensive to remedy and damage our reputation. We have implemented commercially reasonable systems and processes to thwart hackers and otherwise protect our data and systems, but the techniques used to gain unauthorized access to data and software are constantly evolving, and we may be unable to anticipate or prevent unauthorized access. There is no assurance that hackers may not have a material impact on our business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such efforts may limit the functionality of or otherwise negatively impact our operations and systems. Any significant disruption to our systems could adversely affect our business and results of operation. Further, a penetration of our systems or a third party’s systems or other misappropriation or misuse of personal information could subject us to business, regulatory, litigation and reputation risk and divert internal resources to respond to such an event, which could have a negative effect on our business, financial condition and results of operations.</w:t>
      </w:r>
    </w:p>
    <w:p>
      <w:pPr>
        <w:spacing w:after="0" w:line="19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utilize our own communications and computer hardware systems located either in our facilities or in that of a third party provider. In addition, we utilize third party “cloud” computing services in connection with our business operations. Problems faced by us or our third party “cloud” computing or other network providers, including technological or business-related disruptions, as well as natural disasters, cybersecurity threats and regulatory interference, could adversely impact the experience of our members.</w:t>
      </w:r>
    </w:p>
    <w:p>
      <w:pPr>
        <w:spacing w:after="0" w:line="179" w:lineRule="exact"/>
        <w:rPr>
          <w:sz w:val="20"/>
          <w:szCs w:val="20"/>
          <w:color w:val="auto"/>
        </w:rPr>
      </w:pPr>
    </w:p>
    <w:p>
      <w:pPr>
        <w:ind w:left="60" w:right="45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and others are subject to a variety of laws, regulations, or industry standards, including with respect to cybersecurity, that may have a material adverse effect on our business, results of operations, or financial condition</w:t>
      </w:r>
    </w:p>
    <w:p>
      <w:pPr>
        <w:spacing w:after="0" w:line="13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March 9, 2022, the SEC issued a proposed rule intended to enhance and standardize disclosures regarding cybersecurity risk management, strategy, governance, and cybersecurity incident reporting by public companies, such as us, that are subject to the reporting requirements of the Securities Exchange Act of 1934. The proposed rule would require current reporting about material cybersecurity incidents and periodic disclosures about policies and procedures to identify and manage cybersecurity risks, management’s role in implementing cybersecurity policies and procedures, and the board of directors’ cybersecurity expertise and its oversight of cybersecurity risk.</w:t>
      </w:r>
    </w:p>
    <w:p>
      <w:pPr>
        <w:spacing w:after="0" w:line="187"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To date, we have not experienced a significant compromise, significant data loss or any material financial losses related to cybersecurity attacks, but our systems and those of our customers and third party service providers are under constant threat and it is possible that we could experience a significant event in the future. Risks and exposures related to cybersecurity attacks are expected to remain high for the foreseeable future due to the rapidly evolving nature and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sophistication of these threats, as well as due to the expanding use of Internet banking, mobile banking and other technology-based products and services by us and our customers.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right="159" w:firstLine="648"/>
        <w:spacing w:after="0" w:line="260"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Exhibit Index is incorporated herein by reference.</w:t>
      </w:r>
    </w:p>
    <w:p>
      <w:pPr>
        <w:spacing w:after="0" w:line="195" w:lineRule="exact"/>
        <w:rPr>
          <w:sz w:val="20"/>
          <w:szCs w:val="20"/>
          <w:color w:val="auto"/>
        </w:rPr>
      </w:pPr>
    </w:p>
    <w:p>
      <w:pPr>
        <w:ind w:left="1000" w:right="99" w:hanging="764"/>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30">
        <w:r>
          <w:rPr>
            <w:rFonts w:ascii="Times New Roman" w:cs="Times New Roman" w:eastAsia="Times New Roman" w:hAnsi="Times New Roman"/>
            <w:sz w:val="18"/>
            <w:szCs w:val="18"/>
            <w:u w:val="single" w:color="auto"/>
            <w:color w:val="0000EE"/>
          </w:rPr>
          <w:t>Amended and Restated Certificate of Incorporation of the Registrant (incorporated by reference to Exhibit 3.1</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to the Registrant’s Current Report on Form 8-K (File No. 001-38650) filed with the Securities and Exchange</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Commission on September 26, 2018)</w:t>
        </w:r>
      </w:hyperlink>
    </w:p>
    <w:p>
      <w:pPr>
        <w:spacing w:after="0" w:line="176" w:lineRule="exact"/>
        <w:rPr>
          <w:rFonts w:ascii="Times New Roman" w:cs="Times New Roman" w:eastAsia="Times New Roman" w:hAnsi="Times New Roman"/>
          <w:sz w:val="18"/>
          <w:szCs w:val="18"/>
          <w:u w:val="single" w:color="auto"/>
          <w:color w:val="0000EE"/>
        </w:rPr>
      </w:pPr>
    </w:p>
    <w:p>
      <w:pPr>
        <w:ind w:left="1000" w:right="179" w:hanging="764"/>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31">
        <w:r>
          <w:rPr>
            <w:rFonts w:ascii="Times New Roman" w:cs="Times New Roman" w:eastAsia="Times New Roman" w:hAnsi="Times New Roman"/>
            <w:sz w:val="18"/>
            <w:szCs w:val="18"/>
            <w:u w:val="single" w:color="auto"/>
            <w:color w:val="0000EE"/>
          </w:rPr>
          <w:t>Amended and Restated Bylaws of the Registrant (incorporated by reference to Exhibit 3.2 to the Registrant’s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Current Report on Form 8-K (File No. 001-38650)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September 26, 2018)</w:t>
        </w:r>
      </w:hyperlink>
    </w:p>
    <w:p>
      <w:pPr>
        <w:spacing w:after="0" w:line="176" w:lineRule="exact"/>
        <w:rPr>
          <w:rFonts w:ascii="Times New Roman" w:cs="Times New Roman" w:eastAsia="Times New Roman" w:hAnsi="Times New Roman"/>
          <w:sz w:val="18"/>
          <w:szCs w:val="18"/>
          <w:u w:val="single" w:color="auto"/>
          <w:color w:val="0000EE"/>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Stock Option Grant Notice and Stock Option Agreement under the 2018 Equity Incentive Plan</w:t>
      </w:r>
    </w:p>
    <w:p>
      <w:pPr>
        <w:spacing w:after="0" w:line="225" w:lineRule="exact"/>
        <w:rPr>
          <w:rFonts w:ascii="Times New Roman" w:cs="Times New Roman" w:eastAsia="Times New Roman" w:hAnsi="Times New Roman"/>
          <w:sz w:val="18"/>
          <w:szCs w:val="18"/>
          <w:u w:val="single" w:color="auto"/>
          <w:color w:val="0000EE"/>
        </w:rPr>
      </w:pPr>
    </w:p>
    <w:p>
      <w:pPr>
        <w:ind w:left="1000" w:right="719" w:hanging="85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Form of Stock Option Grant Notice and Stock Option Agreement for directors under the 2018 Equity Incentive Plan</w:t>
      </w:r>
    </w:p>
    <w:p>
      <w:pPr>
        <w:spacing w:after="0" w:line="162" w:lineRule="exact"/>
        <w:rPr>
          <w:rFonts w:ascii="Times New Roman" w:cs="Times New Roman" w:eastAsia="Times New Roman" w:hAnsi="Times New Roman"/>
          <w:sz w:val="18"/>
          <w:szCs w:val="18"/>
          <w:u w:val="single" w:color="auto"/>
          <w:color w:val="0000EE"/>
        </w:rPr>
      </w:pPr>
    </w:p>
    <w:p>
      <w:pPr>
        <w:ind w:left="1000" w:right="959" w:hanging="85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Separation Agreement and General Release, effective as of September 22, 2022, between Y-mAbs Therapeutics, Inc. and Claus Juan Møller San Pedro</w:t>
      </w:r>
    </w:p>
    <w:p>
      <w:pPr>
        <w:spacing w:after="0" w:line="162" w:lineRule="exact"/>
        <w:rPr>
          <w:rFonts w:ascii="Times New Roman" w:cs="Times New Roman" w:eastAsia="Times New Roman" w:hAnsi="Times New Roman"/>
          <w:sz w:val="18"/>
          <w:szCs w:val="18"/>
          <w:u w:val="single" w:color="auto"/>
          <w:color w:val="0000EE"/>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Rule 13a-14(a) or Rule 15d-14(a) of the Securities</w:t>
      </w:r>
    </w:p>
    <w:p>
      <w:pPr>
        <w:spacing w:after="0" w:line="27"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0000EE"/>
        </w:rPr>
        <w:t>Exchange Act of 1934, as adopted pursuant to Section 302 of the Sarbanes-Oxley Act of 2002</w:t>
      </w:r>
    </w:p>
    <w:p>
      <w:pPr>
        <w:spacing w:after="0" w:line="207" w:lineRule="exact"/>
        <w:rPr>
          <w:rFonts w:ascii="Times New Roman" w:cs="Times New Roman" w:eastAsia="Times New Roman" w:hAnsi="Times New Roman"/>
          <w:sz w:val="18"/>
          <w:szCs w:val="18"/>
          <w:u w:val="single" w:color="auto"/>
          <w:color w:val="0000EE"/>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Rule 13a-14(a) or Rule 15d-14(a) of the Securities</w:t>
      </w:r>
    </w:p>
    <w:p>
      <w:pPr>
        <w:spacing w:after="0" w:line="27" w:lineRule="exact"/>
        <w:rPr>
          <w:rFonts w:ascii="Times New Roman" w:cs="Times New Roman" w:eastAsia="Times New Roman" w:hAnsi="Times New Roman"/>
          <w:sz w:val="18"/>
          <w:szCs w:val="18"/>
          <w:u w:val="single" w:color="auto"/>
          <w:color w:val="0000EE"/>
        </w:rPr>
      </w:pPr>
    </w:p>
    <w:p>
      <w:pPr>
        <w:ind w:left="1000"/>
        <w:spacing w:after="0"/>
        <w:rPr>
          <w:sz w:val="20"/>
          <w:szCs w:val="20"/>
          <w:color w:val="auto"/>
        </w:rPr>
      </w:pPr>
      <w:r>
        <w:rPr>
          <w:rFonts w:ascii="Times New Roman" w:cs="Times New Roman" w:eastAsia="Times New Roman" w:hAnsi="Times New Roman"/>
          <w:sz w:val="18"/>
          <w:szCs w:val="18"/>
          <w:u w:val="single" w:color="auto"/>
          <w:color w:val="0000EE"/>
        </w:rPr>
        <w:t>Exchange Act of 1934, as adopted pursuant to Section 302 of the Sarbanes-Oxley Act of 2002</w:t>
      </w:r>
    </w:p>
    <w:p>
      <w:pPr>
        <w:spacing w:after="0" w:line="207" w:lineRule="exact"/>
        <w:rPr>
          <w:rFonts w:ascii="Times New Roman" w:cs="Times New Roman" w:eastAsia="Times New Roman" w:hAnsi="Times New Roman"/>
          <w:sz w:val="18"/>
          <w:szCs w:val="18"/>
          <w:u w:val="single" w:color="auto"/>
          <w:color w:val="0000EE"/>
        </w:rPr>
      </w:pPr>
    </w:p>
    <w:p>
      <w:pPr>
        <w:ind w:left="1000" w:right="599" w:hanging="85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 Act of 2002</w:t>
      </w:r>
    </w:p>
    <w:p>
      <w:pPr>
        <w:spacing w:after="0" w:line="162" w:lineRule="exact"/>
        <w:rPr>
          <w:rFonts w:ascii="Times New Roman" w:cs="Times New Roman" w:eastAsia="Times New Roman" w:hAnsi="Times New Roman"/>
          <w:sz w:val="18"/>
          <w:szCs w:val="18"/>
          <w:u w:val="single" w:color="auto"/>
          <w:color w:val="0000EE"/>
        </w:rPr>
      </w:pPr>
    </w:p>
    <w:p>
      <w:pPr>
        <w:ind w:left="1000" w:right="639" w:hanging="854"/>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 of 2002</w:t>
      </w:r>
    </w:p>
    <w:p>
      <w:pPr>
        <w:spacing w:after="0" w:line="162" w:lineRule="exact"/>
        <w:rPr>
          <w:rFonts w:ascii="Times New Roman" w:cs="Times New Roman" w:eastAsia="Times New Roman" w:hAnsi="Times New Roman"/>
          <w:sz w:val="18"/>
          <w:szCs w:val="18"/>
          <w:u w:val="single" w:color="auto"/>
          <w:color w:val="0000EE"/>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57"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000" w:right="119" w:hanging="944"/>
        <w:spacing w:after="0" w:line="282" w:lineRule="auto"/>
        <w:tabs>
          <w:tab w:leader="none" w:pos="10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7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14141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9"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ind w:left="380" w:right="819" w:hanging="330"/>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4"/>
          </w:tcPr>
          <w:p>
            <w:pPr>
              <w:ind w:left="1420"/>
              <w:spacing w:after="0"/>
              <w:rPr>
                <w:sz w:val="20"/>
                <w:szCs w:val="20"/>
                <w:color w:val="auto"/>
              </w:rPr>
            </w:pPr>
            <w:r>
              <w:rPr>
                <w:rFonts w:ascii="Times New Roman" w:cs="Times New Roman" w:eastAsia="Times New Roman" w:hAnsi="Times New Roman"/>
                <w:sz w:val="18"/>
                <w:szCs w:val="18"/>
                <w:b w:val="1"/>
                <w:bCs w:val="1"/>
                <w:color w:val="auto"/>
              </w:rPr>
              <w:t>Y-MABS THERAPEUTICS, INC.</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2022</w:t>
            </w:r>
          </w:p>
        </w:tc>
        <w:tc>
          <w:tcPr>
            <w:tcW w:w="574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By:/s/ Thomas Gad</w:t>
            </w:r>
          </w:p>
        </w:tc>
      </w:tr>
      <w:tr>
        <w:trPr>
          <w:trHeight w:val="191"/>
        </w:trPr>
        <w:tc>
          <w:tcPr>
            <w:tcW w:w="3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Thomas Gad</w:t>
            </w: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Founder, President, Interim Chief Executive</w:t>
            </w: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and Head of Business Development and</w:t>
            </w:r>
          </w:p>
        </w:tc>
      </w:t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Strategy</w:t>
            </w:r>
          </w:p>
        </w:tc>
      </w:tr>
      <w:tr>
        <w:trPr>
          <w:trHeight w:val="234"/>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2022</w:t>
            </w:r>
          </w:p>
        </w:tc>
        <w:tc>
          <w:tcPr>
            <w:tcW w:w="180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 Kruse</w:t>
            </w:r>
          </w:p>
        </w:tc>
      </w:tr>
      <w:tr>
        <w:trPr>
          <w:trHeight w:val="211"/>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Name: Bo Kruse</w:t>
            </w:r>
          </w:p>
        </w:tc>
      </w:tr>
    </w:tbl>
    <w:p>
      <w:pPr>
        <w:ind w:left="6780"/>
        <w:spacing w:after="0"/>
        <w:rPr>
          <w:sz w:val="20"/>
          <w:szCs w:val="20"/>
          <w:color w:val="auto"/>
        </w:rPr>
      </w:pPr>
      <w:r>
        <w:rPr>
          <w:rFonts w:ascii="Times New Roman" w:cs="Times New Roman" w:eastAsia="Times New Roman" w:hAnsi="Times New Roman"/>
          <w:sz w:val="18"/>
          <w:szCs w:val="18"/>
          <w:color w:val="auto"/>
        </w:rPr>
        <w:t>Title: EVP, Chief Financial</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Y-MABS THERAPEUTICS, INC.</w:t>
      </w:r>
    </w:p>
    <w:p>
      <w:pPr>
        <w:spacing w:after="0" w:line="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2018 EQUITY INCENTIVE PLAN</w:t>
      </w:r>
    </w:p>
    <w:p>
      <w:pPr>
        <w:ind w:left="294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194" w:lineRule="exact"/>
        <w:rPr>
          <w:sz w:val="20"/>
          <w:szCs w:val="20"/>
          <w:color w:val="auto"/>
        </w:rPr>
      </w:pPr>
    </w:p>
    <w:p>
      <w:pPr>
        <w:jc w:val="both"/>
        <w:ind w:left="200" w:right="219" w:firstLine="441"/>
        <w:spacing w:after="0" w:line="243" w:lineRule="auto"/>
        <w:rPr>
          <w:sz w:val="20"/>
          <w:szCs w:val="20"/>
          <w:color w:val="auto"/>
        </w:rPr>
      </w:pPr>
      <w:r>
        <w:rPr>
          <w:rFonts w:ascii="Times New Roman" w:cs="Times New Roman" w:eastAsia="Times New Roman" w:hAnsi="Times New Roman"/>
          <w:sz w:val="20"/>
          <w:szCs w:val="20"/>
          <w:color w:val="auto"/>
        </w:rPr>
        <w:t>Y-mAbs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2018 Equity Incentive Plan,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option to purchase the number of shares of the Company’s Common Stock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each of which are incorporated herein by reference. Unless otherwise defined herein, the terms defined in the Plan shall have the same defined meanings in this Grant Notice and the Stock Option Agreement.</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w:t>
            </w: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Commencement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96"/>
              </w:rPr>
              <w:t>per</w:t>
            </w:r>
          </w:p>
        </w:tc>
        <w:tc>
          <w:tcPr>
            <w:tcW w:w="500" w:type="dxa"/>
            <w:vAlign w:val="bottom"/>
          </w:tcPr>
          <w:p>
            <w:pPr>
              <w:spacing w:after="0"/>
              <w:rPr>
                <w:sz w:val="22"/>
                <w:szCs w:val="22"/>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gridSpan w:val="2"/>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500" w:type="dxa"/>
            <w:vAlign w:val="bottom"/>
          </w:tcPr>
          <w:p>
            <w:pPr>
              <w:spacing w:after="0"/>
              <w:rPr>
                <w:sz w:val="22"/>
                <w:szCs w:val="22"/>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Price: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Number</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of</w:t>
            </w:r>
          </w:p>
        </w:tc>
        <w:tc>
          <w:tcPr>
            <w:tcW w:w="500" w:type="dxa"/>
            <w:vAlign w:val="bottom"/>
          </w:tcPr>
          <w:p>
            <w:pPr>
              <w:spacing w:after="0"/>
              <w:rPr>
                <w:sz w:val="22"/>
                <w:szCs w:val="22"/>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Subject</w:t>
            </w: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5"/>
              </w:rPr>
              <w:t>to</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the</w:t>
            </w:r>
          </w:p>
        </w:tc>
        <w:tc>
          <w:tcPr>
            <w:tcW w:w="500" w:type="dxa"/>
            <w:vAlign w:val="bottom"/>
          </w:tcPr>
          <w:p>
            <w:pPr>
              <w:spacing w:after="0"/>
              <w:rPr>
                <w:sz w:val="19"/>
                <w:szCs w:val="19"/>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Option:</w:t>
            </w:r>
          </w:p>
        </w:tc>
        <w:tc>
          <w:tcPr>
            <w:tcW w:w="640" w:type="dxa"/>
            <w:vAlign w:val="bottom"/>
          </w:tcPr>
          <w:p>
            <w:pPr>
              <w:spacing w:after="0"/>
              <w:rPr>
                <w:sz w:val="23"/>
                <w:szCs w:val="23"/>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Expiration Date:</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bl>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[[EMPLOYEES &amp; CONSULTANTS– use this text]</w:t>
      </w:r>
    </w:p>
    <w:p>
      <w:pPr>
        <w:spacing w:after="0" w:line="220"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Twenty-five percent (25%) of the Shares subject to the Option shall vest and become exercisable on the twelve (12) month anniversary of the Vesting Commencement Date, and one forty-eighth (1/48th) of the Shares subject to the Option shall vest each month over the next three (3) years thereafter on the same day of the month as the Vesting Commencement Date (and if there is no corresponding day, on the last day of the month), in each case, subject to Participant continuing to be a Service Provider through the applicable vesting date.</w:t>
      </w:r>
    </w:p>
    <w:p>
      <w:pPr>
        <w:spacing w:after="0" w:line="184"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19"/>
          <w:szCs w:val="19"/>
          <w:color w:val="auto"/>
        </w:rPr>
        <w:t>This Option will be exercisable with respect to the Shares which have vested as per the above vesting schedule until a date no later than the earlier of (1) the Option's original Term/Expiration Date set forth above, or (2) the 10th anniversary of the original Date of Grant set forth above. Notwithstanding the foregoing sentence, in no event may this Option be exercised after the Term/Expiration Date as provided above and may be subject to earlier termination as provided in the Stock Option Agreement and/or the Plan.</w:t>
      </w:r>
    </w:p>
    <w:p>
      <w:pPr>
        <w:spacing w:after="0" w:line="149" w:lineRule="exact"/>
        <w:rPr>
          <w:sz w:val="20"/>
          <w:szCs w:val="20"/>
          <w:color w:val="auto"/>
        </w:rPr>
      </w:pPr>
    </w:p>
    <w:p>
      <w:pPr>
        <w:ind w:left="200"/>
        <w:spacing w:after="0" w:line="230" w:lineRule="exact"/>
        <w:tabs>
          <w:tab w:leader="none" w:pos="2020" w:val="left"/>
          <w:tab w:leader="none" w:pos="508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Incentive Stock Option</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531495</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5" w:name="page116"/>
    <w:bookmarkEnd w:id="115"/>
    <w:p>
      <w:pPr>
        <w:jc w:val="both"/>
        <w:ind w:left="200" w:right="380"/>
        <w:spacing w:after="0" w:line="244"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upon any questions arising under the Plan, this Grant Notice or the Stock Option Agreement.</w:t>
      </w: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6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Y-MABS THERAPEUTICS, INC.:</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w:t>
            </w:r>
          </w:p>
        </w:tc>
        <w:tc>
          <w:tcPr>
            <w:tcW w:w="346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Print Name:</w:t>
            </w:r>
          </w:p>
        </w:tc>
        <w:tc>
          <w:tcPr>
            <w:tcW w:w="3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2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4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Address:</w:t>
            </w:r>
          </w:p>
        </w:tc>
        <w:tc>
          <w:tcPr>
            <w:tcW w:w="3460" w:type="dxa"/>
            <w:vAlign w:val="bottom"/>
            <w:tcBorders>
              <w:bottom w:val="single" w:sz="8" w:color="auto"/>
            </w:tcBorders>
          </w:tcPr>
          <w:p>
            <w:pPr>
              <w:spacing w:after="0" w:line="20" w:lineRule="exact"/>
              <w:rPr>
                <w:sz w:val="1"/>
                <w:szCs w:val="1"/>
                <w:color w:val="auto"/>
              </w:rPr>
            </w:pPr>
          </w:p>
        </w:tc>
        <w:tc>
          <w:tcPr>
            <w:tcW w:w="4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Address:</w:t>
            </w: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20" w:type="dxa"/>
            <w:vAlign w:val="bottom"/>
            <w:vMerge w:val="continue"/>
          </w:tcPr>
          <w:p>
            <w:pPr>
              <w:spacing w:after="0"/>
              <w:rPr>
                <w:sz w:val="19"/>
                <w:szCs w:val="19"/>
                <w:color w:val="auto"/>
              </w:rPr>
            </w:pPr>
          </w:p>
        </w:tc>
        <w:tc>
          <w:tcPr>
            <w:tcW w:w="3460" w:type="dxa"/>
            <w:vAlign w:val="bottom"/>
          </w:tcPr>
          <w:p>
            <w:pPr>
              <w:spacing w:after="0"/>
              <w:rPr>
                <w:sz w:val="19"/>
                <w:szCs w:val="19"/>
                <w:color w:val="auto"/>
              </w:rPr>
            </w:pPr>
          </w:p>
        </w:tc>
        <w:tc>
          <w:tcPr>
            <w:tcW w:w="44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3460" w:type="dxa"/>
            <w:vAlign w:val="bottom"/>
            <w:tcBorders>
              <w:top w:val="single" w:sz="8" w:color="auto"/>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33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9"/>
        </w:trPr>
        <w:tc>
          <w:tcPr>
            <w:tcW w:w="7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346" w:right="127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Pursuant to the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Stock Option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attached, Y-mAbs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to the Participant an Option under the Company’s 2018 Equity Incentive Plan, as may be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purchase the number of Shares indicated in the Grant Notice.</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200" w:right="239" w:firstLine="441"/>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Wherever the following terms are used in this Agreement they shall have the meanings specified below, unless the context clearly indicates otherwise. Capitalized terms not specifically defined herein shall have the meanings specified in the Plan and the Grant Notice.</w:t>
      </w:r>
    </w:p>
    <w:p>
      <w:pPr>
        <w:spacing w:after="0" w:line="176"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229"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In consideration of the Participant’s past and/or continued employment with or service to the Company or any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irrevocably grants to the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pacing w:after="0" w:line="18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the Shares subject to the Option shall be as set forth in the Grant Notice, without commission or other charge;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price per share of the Shares subject to the Option shall not be less than 100% of the Fair Market Value of a Share on the Grant Date. Notwithstanding the foregoing, if this Option is designated as an Incentive Stock Option and the Participant is a Greater Than 10% Stockholder as of the Date of Grant, the exercise price per share of the Shares subject to the Option shall not be less than 110% of the Fair Market Value of a Share on the Grant Date.</w:t>
      </w:r>
    </w:p>
    <w:p>
      <w:pPr>
        <w:spacing w:after="0" w:line="187"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Consideration to the Company</w:t>
      </w:r>
      <w:r>
        <w:rPr>
          <w:rFonts w:ascii="Times New Roman" w:cs="Times New Roman" w:eastAsia="Times New Roman" w:hAnsi="Times New Roman"/>
          <w:sz w:val="18"/>
          <w:szCs w:val="18"/>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39" w:firstLine="890"/>
        <w:spacing w:after="0" w:line="282" w:lineRule="auto"/>
        <w:tabs>
          <w:tab w:leader="none" w:pos="13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3.2, 3.3, 5.11 and 5.17 hereof, the Option shall become vested and exercisable in such amounts and at such times as are set forth in the Grant Notice.</w:t>
      </w:r>
    </w:p>
    <w:p>
      <w:pPr>
        <w:spacing w:after="0" w:line="161"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Option which has not become vested and exercisable at the date of the Participant’s Termination of Service shall thereafter become vested and exercisable, except as may be otherwise provided by the Administrator or as set forth in a written agreement between the Company and the Participant.</w:t>
      </w:r>
    </w:p>
    <w:p>
      <w:pPr>
        <w:spacing w:after="0" w:line="175"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3.1(a) hereof and the Grant Notice, but subject to Section 3.1(b) hereof, in the event of a Change in Control the Option shall be treated pursuant to Sections 9.2 and 9.3 of the Plan.</w:t>
      </w:r>
    </w:p>
    <w:p>
      <w:pPr>
        <w:spacing w:after="0" w:line="162"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76" w:lineRule="exact"/>
        <w:rPr>
          <w:sz w:val="20"/>
          <w:szCs w:val="20"/>
          <w:color w:val="auto"/>
        </w:rPr>
      </w:pPr>
    </w:p>
    <w:p>
      <w:pPr>
        <w:jc w:val="both"/>
        <w:ind w:left="200" w:right="219" w:firstLine="441"/>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the first to occur of the following events:</w:t>
      </w:r>
    </w:p>
    <w:p>
      <w:pPr>
        <w:spacing w:after="0" w:line="54" w:lineRule="exact"/>
        <w:rPr>
          <w:sz w:val="20"/>
          <w:szCs w:val="20"/>
          <w:color w:val="auto"/>
        </w:rPr>
      </w:pPr>
    </w:p>
    <w:p>
      <w:pPr>
        <w:ind w:left="200" w:right="219" w:firstLine="890"/>
        <w:spacing w:after="0" w:line="282" w:lineRule="auto"/>
        <w:tabs>
          <w:tab w:leader="none" w:pos="13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the Grant Notice, which shall in no event be more than ten (10) years from the Grant Date;</w:t>
      </w:r>
    </w:p>
    <w:p>
      <w:pPr>
        <w:spacing w:after="0" w:line="161"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159" w:lineRule="exact"/>
        <w:rPr>
          <w:rFonts w:ascii="Times New Roman" w:cs="Times New Roman" w:eastAsia="Times New Roman" w:hAnsi="Times New Roman"/>
          <w:sz w:val="18"/>
          <w:szCs w:val="18"/>
          <w:color w:val="auto"/>
        </w:rPr>
      </w:pPr>
    </w:p>
    <w:p>
      <w:pPr>
        <w:jc w:val="both"/>
        <w:ind w:left="200" w:right="219" w:firstLine="890"/>
        <w:spacing w:after="0" w:line="257" w:lineRule="auto"/>
        <w:tabs>
          <w:tab w:leader="none" w:pos="13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three (3) months from the date of the Participant’s Termination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if on the last day of this three-month period, the Participant is prevented from trading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due to a black-out period under the Company’s insider trading compliance policy, the period will be extended to expire on the day immediately before the beginning of the following black-out period but in no event later than the Expiration Date set forth in the Grant Notice) unless such termination occurs by reason of the Participant’s death or disability; or</w:t>
      </w:r>
    </w:p>
    <w:p>
      <w:pPr>
        <w:spacing w:after="0" w:line="184"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one (1) year from the date of the Participant’s Termination of Service by reason of the Participant’s death or disability.</w:t>
      </w:r>
    </w:p>
    <w:p>
      <w:pPr>
        <w:spacing w:after="0" w:line="162"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Special Tax Consequences</w:t>
      </w:r>
      <w:r>
        <w:rPr>
          <w:rFonts w:ascii="Times New Roman" w:cs="Times New Roman" w:eastAsia="Times New Roman" w:hAnsi="Times New Roman"/>
          <w:sz w:val="18"/>
          <w:szCs w:val="18"/>
          <w:color w:val="auto"/>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925830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8" w:name="page119"/>
    <w:bookmarkEnd w:id="118"/>
    <w:p>
      <w:pPr>
        <w:ind w:left="640"/>
        <w:spacing w:after="0"/>
        <w:rPr>
          <w:sz w:val="20"/>
          <w:szCs w:val="20"/>
          <w:color w:val="auto"/>
        </w:rPr>
      </w:pPr>
      <w:r>
        <w:rPr>
          <w:rFonts w:ascii="Times New Roman" w:cs="Times New Roman" w:eastAsia="Times New Roman" w:hAnsi="Times New Roman"/>
          <w:sz w:val="18"/>
          <w:szCs w:val="18"/>
          <w:color w:val="auto"/>
        </w:rPr>
        <w:t>3.5 Tax Indemnity.</w:t>
      </w:r>
    </w:p>
    <w:p>
      <w:pPr>
        <w:spacing w:after="0" w:line="225" w:lineRule="exact"/>
        <w:rPr>
          <w:sz w:val="20"/>
          <w:szCs w:val="20"/>
          <w:color w:val="auto"/>
        </w:rPr>
      </w:pPr>
    </w:p>
    <w:p>
      <w:pPr>
        <w:jc w:val="both"/>
        <w:ind w:left="200" w:right="219" w:firstLine="890"/>
        <w:spacing w:after="0" w:line="256" w:lineRule="auto"/>
        <w:tabs>
          <w:tab w:leader="none" w:pos="13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to indemnify and keep indemnified the Company, any Subsidiary and the Participant’s employing company, if different, from and against any liability for or obligation to pay any Tax Liability (a “Tax Liability”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spacing w:after="0" w:line="187" w:lineRule="exact"/>
        <w:rPr>
          <w:rFonts w:ascii="Times New Roman" w:cs="Times New Roman" w:eastAsia="Times New Roman" w:hAnsi="Times New Roman"/>
          <w:sz w:val="18"/>
          <w:szCs w:val="18"/>
          <w:color w:val="auto"/>
        </w:rPr>
      </w:pPr>
    </w:p>
    <w:p>
      <w:pPr>
        <w:jc w:val="both"/>
        <w:ind w:left="200" w:right="219" w:firstLine="890"/>
        <w:spacing w:after="0" w:line="261" w:lineRule="auto"/>
        <w:tabs>
          <w:tab w:leader="none" w:pos="13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cannot be exercised until the Participant has made such arrangements as the Company may require for the satisfaction of any Tax Liability that may arise in connection with the exercise of the Option and/or the acquisition of the Shares by the Participant. The Company shall not be required to issue, allot or transfer Shares until the Participant has satisfied this obligation.</w:t>
      </w:r>
    </w:p>
    <w:p>
      <w:pPr>
        <w:spacing w:after="0" w:line="179" w:lineRule="exact"/>
        <w:rPr>
          <w:rFonts w:ascii="Times New Roman" w:cs="Times New Roman" w:eastAsia="Times New Roman" w:hAnsi="Times New Roman"/>
          <w:sz w:val="18"/>
          <w:szCs w:val="18"/>
          <w:color w:val="auto"/>
        </w:rPr>
      </w:pPr>
    </w:p>
    <w:p>
      <w:pPr>
        <w:jc w:val="both"/>
        <w:ind w:left="200" w:right="219" w:firstLine="890"/>
        <w:spacing w:after="0" w:line="255" w:lineRule="auto"/>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2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Except as provided in Section 5.3 hereof, during the lifetime of the Participant, only the Participant may exercise the Option or any portion thereof, unless it has been disposed of pursuant to a DRO. After the death of the Participant, any exercisable portion of the Option may, prior to the time when the Option becomes unexercisable under Section 3.3 hereof, be exercised by the deceased the Participant’s personal representative or by any person empowered to do so under the deceased the Participant’s will or under the then applicable laws of descent and distribution.</w:t>
      </w:r>
    </w:p>
    <w:p>
      <w:pPr>
        <w:spacing w:after="0" w:line="187"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76"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80" w:lineRule="exact"/>
        <w:rPr>
          <w:sz w:val="20"/>
          <w:szCs w:val="20"/>
          <w:color w:val="auto"/>
        </w:rPr>
      </w:pPr>
    </w:p>
    <w:p>
      <w:pPr>
        <w:jc w:val="both"/>
        <w:ind w:left="200" w:right="219" w:firstLine="890"/>
        <w:spacing w:after="0" w:line="266" w:lineRule="auto"/>
        <w:tabs>
          <w:tab w:leader="none" w:pos="13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both"/>
        <w:ind w:left="200" w:right="219" w:firstLine="890"/>
        <w:spacing w:after="0" w:line="261" w:lineRule="auto"/>
        <w:tabs>
          <w:tab w:leader="none" w:pos="13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spacing w:after="0" w:line="179" w:lineRule="exact"/>
        <w:rPr>
          <w:rFonts w:ascii="Times New Roman" w:cs="Times New Roman" w:eastAsia="Times New Roman" w:hAnsi="Times New Roman"/>
          <w:sz w:val="18"/>
          <w:szCs w:val="18"/>
          <w:color w:val="auto"/>
        </w:rPr>
      </w:pPr>
    </w:p>
    <w:p>
      <w:pPr>
        <w:jc w:val="both"/>
        <w:ind w:left="200" w:right="239" w:firstLine="890"/>
        <w:spacing w:after="0" w:line="266" w:lineRule="auto"/>
        <w:tabs>
          <w:tab w:leader="none" w:pos="13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75"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4.1 hereof by any person or persons other than the Participant, appropriate proof of the right of such person or persons to exercise the Option.</w:t>
      </w:r>
    </w:p>
    <w:p>
      <w:pPr>
        <w:spacing w:after="0" w:line="176"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62" w:lineRule="exact"/>
        <w:rPr>
          <w:sz w:val="20"/>
          <w:szCs w:val="20"/>
          <w:color w:val="auto"/>
        </w:rPr>
      </w:pPr>
    </w:p>
    <w:p>
      <w:pPr>
        <w:ind w:left="200" w:right="219" w:firstLine="441"/>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shall be by any of the following, or a combination thereof, at the election of the Participant:</w:t>
      </w:r>
    </w:p>
    <w:p>
      <w:pPr>
        <w:spacing w:after="0" w:line="54" w:lineRule="exact"/>
        <w:rPr>
          <w:sz w:val="20"/>
          <w:szCs w:val="20"/>
          <w:color w:val="auto"/>
        </w:rPr>
      </w:pPr>
    </w:p>
    <w:p>
      <w:pPr>
        <w:ind w:left="1340" w:hanging="250"/>
        <w:spacing w:after="0"/>
        <w:tabs>
          <w:tab w:leader="none" w:pos="1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225" w:lineRule="exact"/>
        <w:rPr>
          <w:rFonts w:ascii="Times New Roman" w:cs="Times New Roman" w:eastAsia="Times New Roman" w:hAnsi="Times New Roman"/>
          <w:sz w:val="18"/>
          <w:szCs w:val="18"/>
          <w:color w:val="auto"/>
        </w:rPr>
      </w:pPr>
    </w:p>
    <w:p>
      <w:pPr>
        <w:jc w:val="both"/>
        <w:ind w:left="200" w:right="219" w:firstLine="890"/>
        <w:spacing w:after="0" w:line="261" w:lineRule="auto"/>
        <w:tabs>
          <w:tab w:leader="none" w:pos="13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79" w:lineRule="exact"/>
        <w:rPr>
          <w:rFonts w:ascii="Times New Roman" w:cs="Times New Roman" w:eastAsia="Times New Roman" w:hAnsi="Times New Roman"/>
          <w:sz w:val="18"/>
          <w:szCs w:val="18"/>
          <w:color w:val="auto"/>
        </w:rPr>
      </w:pPr>
    </w:p>
    <w:p>
      <w:pPr>
        <w:jc w:val="both"/>
        <w:ind w:left="200" w:right="219" w:firstLine="890"/>
        <w:spacing w:after="0" w:line="256" w:lineRule="auto"/>
        <w:tabs>
          <w:tab w:leader="none" w:pos="13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legal consideration acceptable to the Administrator (including, without limitation,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at such time as may be required by the Company, but in any event not later than the settlement of such sale).</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w:t>
      </w:r>
    </w:p>
    <w:p>
      <w:pPr>
        <w:spacing w:after="0" w:line="75" w:lineRule="exact"/>
        <w:rPr>
          <w:sz w:val="20"/>
          <w:szCs w:val="20"/>
          <w:color w:val="auto"/>
        </w:rPr>
      </w:pPr>
    </w:p>
    <w:p>
      <w:pPr>
        <w:ind w:left="1340" w:hanging="250"/>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on which such Shares are then listed;</w:t>
      </w:r>
    </w:p>
    <w:p>
      <w:pPr>
        <w:spacing w:after="0" w:line="225"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left="200" w:right="239" w:firstLine="890"/>
        <w:spacing w:after="0" w:line="282" w:lineRule="auto"/>
        <w:tabs>
          <w:tab w:leader="none" w:pos="13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which the Administrator shall, in its absolute discretion, determine to be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ind w:left="200" w:right="219" w:firstLine="890"/>
        <w:spacing w:after="0" w:line="282" w:lineRule="auto"/>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such Shares, including payment of any applicable withholding tax, which may be in one or more of the forms of consideration permitted under Section 4.4 hereof; and</w:t>
      </w:r>
    </w:p>
    <w:p>
      <w:pPr>
        <w:spacing w:after="0" w:line="161" w:lineRule="exact"/>
        <w:rPr>
          <w:rFonts w:ascii="Times New Roman" w:cs="Times New Roman" w:eastAsia="Times New Roman" w:hAnsi="Times New Roman"/>
          <w:sz w:val="18"/>
          <w:szCs w:val="18"/>
          <w:color w:val="auto"/>
        </w:rPr>
      </w:pPr>
    </w:p>
    <w:p>
      <w:pPr>
        <w:ind w:left="200" w:right="239" w:firstLine="890"/>
        <w:spacing w:after="0" w:line="282" w:lineRule="auto"/>
        <w:tabs>
          <w:tab w:leader="none" w:pos="1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Option as the Administrator may from time to time establish for reasons of administrative convenience.</w:t>
      </w:r>
    </w:p>
    <w:p>
      <w:pPr>
        <w:spacing w:after="0" w:line="162"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Whole Shares</w:t>
      </w:r>
      <w:r>
        <w:rPr>
          <w:rFonts w:ascii="Times New Roman" w:cs="Times New Roman" w:eastAsia="Times New Roman" w:hAnsi="Times New Roman"/>
          <w:sz w:val="18"/>
          <w:szCs w:val="18"/>
          <w:color w:val="auto"/>
        </w:rPr>
        <w:t>. The Option may only be exercised for whole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Not Transferable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19" w:firstLine="890"/>
        <w:spacing w:after="0" w:line="253" w:lineRule="auto"/>
        <w:tabs>
          <w:tab w:leader="none" w:pos="13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194" w:lineRule="exact"/>
        <w:rPr>
          <w:rFonts w:ascii="Times New Roman" w:cs="Times New Roman" w:eastAsia="Times New Roman" w:hAnsi="Times New Roman"/>
          <w:sz w:val="18"/>
          <w:szCs w:val="18"/>
          <w:color w:val="auto"/>
        </w:rPr>
      </w:pPr>
    </w:p>
    <w:p>
      <w:pPr>
        <w:jc w:val="both"/>
        <w:ind w:left="200" w:right="219" w:firstLine="890"/>
        <w:spacing w:after="0" w:line="258" w:lineRule="auto"/>
        <w:tabs>
          <w:tab w:leader="none" w:pos="13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only the Participant may exercise the Option (or any portion thereof), unless it has been disposed of pursuant to a DRO;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the Participant’s will or under the then-applicable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both"/>
        <w:ind w:left="200" w:right="219" w:firstLine="935"/>
        <w:spacing w:after="0" w:line="253" w:lineRule="auto"/>
        <w:tabs>
          <w:tab w:leader="none" w:pos="13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Option shall not be effective without the prior written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Participant understands that the Participant may suffer adverse tax consequences as a result of the grant, vesting and/or exercise of the Option, and/or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spacing w:after="0" w:line="183"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Adjustments Upon Specified Events</w:t>
      </w:r>
      <w:r>
        <w:rPr>
          <w:rFonts w:ascii="Times New Roman" w:cs="Times New Roman" w:eastAsia="Times New Roman" w:hAnsi="Times New Roman"/>
          <w:sz w:val="18"/>
          <w:szCs w:val="18"/>
          <w:color w:val="auto"/>
        </w:rPr>
        <w:t>.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Article IX of the Plan.</w:t>
      </w:r>
    </w:p>
    <w:p>
      <w:pPr>
        <w:spacing w:after="0" w:line="189" w:lineRule="exact"/>
        <w:rPr>
          <w:sz w:val="20"/>
          <w:szCs w:val="20"/>
          <w:color w:val="auto"/>
        </w:rPr>
      </w:pPr>
    </w:p>
    <w:p>
      <w:pPr>
        <w:jc w:val="both"/>
        <w:ind w:left="200" w:right="219" w:firstLine="441"/>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8"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2" w:name="page123"/>
    <w:bookmarkEnd w:id="122"/>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6"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89"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183"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spacing w:after="0" w:line="180" w:lineRule="exact"/>
        <w:rPr>
          <w:sz w:val="20"/>
          <w:szCs w:val="20"/>
          <w:color w:val="auto"/>
        </w:rPr>
      </w:pPr>
    </w:p>
    <w:p>
      <w:pPr>
        <w:jc w:val="both"/>
        <w:ind w:left="200" w:right="219" w:firstLine="441"/>
        <w:spacing w:after="0" w:line="25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this Option is designated as an Incentive Stock Option, the Participant shall give prompt notice to the Company of any disposition or other transfer of any Shares acquired under this Agreement if such disposition or transfer is made (a) within two (2) years from the Grant Date with respect to such Shares or</w:t>
      </w:r>
    </w:p>
    <w:p>
      <w:pPr>
        <w:spacing w:after="0" w:line="1" w:lineRule="exact"/>
        <w:rPr>
          <w:sz w:val="20"/>
          <w:szCs w:val="20"/>
          <w:color w:val="auto"/>
        </w:rPr>
      </w:pPr>
    </w:p>
    <w:p>
      <w:pPr>
        <w:jc w:val="both"/>
        <w:ind w:left="200" w:right="239" w:firstLine="9"/>
        <w:spacing w:after="0" w:line="255" w:lineRule="auto"/>
        <w:tabs>
          <w:tab w:leader="none" w:pos="4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(1)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spacing w:after="0" w:line="186"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Not a Contract of Service Relationship</w:t>
      </w:r>
      <w:r>
        <w:rPr>
          <w:rFonts w:ascii="Times New Roman" w:cs="Times New Roman" w:eastAsia="Times New Roman" w:hAnsi="Times New Roman"/>
          <w:sz w:val="18"/>
          <w:szCs w:val="18"/>
          <w:color w:val="auto"/>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ind w:left="64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w:t>
      </w:r>
    </w:p>
    <w:p>
      <w:pPr>
        <w:spacing w:after="0" w:line="225"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d this Agreement constitute the entire agreement of the parties and supersede in their entirety all prior undertakings and agreements of the Company and the Participant with respect to the subject matter hereof.</w:t>
      </w:r>
    </w:p>
    <w:p>
      <w:pPr>
        <w:spacing w:after="0" w:line="162"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94"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Limitation on the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24" w:name="page125"/>
    <w:bookmarkEnd w:id="124"/>
    <w:p>
      <w:pPr>
        <w:ind w:left="770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Y-MABS THERAPEUTICS, INC.</w:t>
      </w:r>
    </w:p>
    <w:p>
      <w:pPr>
        <w:spacing w:after="0" w:line="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2018 EQUITY INCENTIVE PLAN</w:t>
      </w:r>
    </w:p>
    <w:p>
      <w:pPr>
        <w:ind w:left="294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194" w:lineRule="exact"/>
        <w:rPr>
          <w:sz w:val="20"/>
          <w:szCs w:val="20"/>
          <w:color w:val="auto"/>
        </w:rPr>
      </w:pPr>
    </w:p>
    <w:p>
      <w:pPr>
        <w:jc w:val="both"/>
        <w:ind w:left="200" w:right="219" w:firstLine="441"/>
        <w:spacing w:after="0" w:line="243" w:lineRule="auto"/>
        <w:rPr>
          <w:sz w:val="20"/>
          <w:szCs w:val="20"/>
          <w:color w:val="auto"/>
        </w:rPr>
      </w:pPr>
      <w:r>
        <w:rPr>
          <w:rFonts w:ascii="Times New Roman" w:cs="Times New Roman" w:eastAsia="Times New Roman" w:hAnsi="Times New Roman"/>
          <w:sz w:val="20"/>
          <w:szCs w:val="20"/>
          <w:color w:val="auto"/>
        </w:rPr>
        <w:t>Y-mAbs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2018 Equity Incentive Plan, as may be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option to purchase the number of shares of the Company’s Common Stock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each of which are incorporated herein by reference. Unless otherwise defined herein, the terms defined in the Plan shall have the same defined meanings in this Grant Notice and the Stock Option Agreement.</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w:t>
            </w: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9"/>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Commencement</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w w:val="96"/>
              </w:rPr>
              <w:t>per</w:t>
            </w:r>
          </w:p>
        </w:tc>
        <w:tc>
          <w:tcPr>
            <w:tcW w:w="500" w:type="dxa"/>
            <w:vAlign w:val="bottom"/>
          </w:tcPr>
          <w:p>
            <w:pPr>
              <w:spacing w:after="0"/>
              <w:rPr>
                <w:sz w:val="22"/>
                <w:szCs w:val="22"/>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80" w:type="dxa"/>
            <w:vAlign w:val="bottom"/>
            <w:gridSpan w:val="2"/>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500" w:type="dxa"/>
            <w:vAlign w:val="bottom"/>
          </w:tcPr>
          <w:p>
            <w:pPr>
              <w:spacing w:after="0"/>
              <w:rPr>
                <w:sz w:val="22"/>
                <w:szCs w:val="22"/>
                <w:color w:val="auto"/>
              </w:rPr>
            </w:pPr>
          </w:p>
        </w:tc>
      </w:tr>
      <w:tr>
        <w:trPr>
          <w:trHeight w:val="262"/>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Price:</w:t>
            </w:r>
          </w:p>
        </w:tc>
        <w:tc>
          <w:tcPr>
            <w:tcW w:w="640" w:type="dxa"/>
            <w:vAlign w:val="bottom"/>
          </w:tcPr>
          <w:p>
            <w:pPr>
              <w:spacing w:after="0"/>
              <w:rPr>
                <w:sz w:val="22"/>
                <w:szCs w:val="22"/>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Number</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of</w:t>
            </w:r>
          </w:p>
        </w:tc>
        <w:tc>
          <w:tcPr>
            <w:tcW w:w="500" w:type="dxa"/>
            <w:vAlign w:val="bottom"/>
          </w:tcPr>
          <w:p>
            <w:pPr>
              <w:spacing w:after="0"/>
              <w:rPr>
                <w:sz w:val="22"/>
                <w:szCs w:val="22"/>
                <w:color w:val="auto"/>
              </w:rPr>
            </w:pP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Subject</w:t>
            </w: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5"/>
              </w:rPr>
              <w:t>to</w:t>
            </w:r>
          </w:p>
        </w:tc>
        <w:tc>
          <w:tcPr>
            <w:tcW w:w="940" w:type="dxa"/>
            <w:vAlign w:val="bottom"/>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the</w:t>
            </w:r>
          </w:p>
        </w:tc>
        <w:tc>
          <w:tcPr>
            <w:tcW w:w="500" w:type="dxa"/>
            <w:vAlign w:val="bottom"/>
          </w:tcPr>
          <w:p>
            <w:pPr>
              <w:spacing w:after="0"/>
              <w:rPr>
                <w:sz w:val="19"/>
                <w:szCs w:val="19"/>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Option:</w:t>
            </w:r>
          </w:p>
        </w:tc>
        <w:tc>
          <w:tcPr>
            <w:tcW w:w="640" w:type="dxa"/>
            <w:vAlign w:val="bottom"/>
          </w:tcPr>
          <w:p>
            <w:pPr>
              <w:spacing w:after="0"/>
              <w:rPr>
                <w:sz w:val="23"/>
                <w:szCs w:val="23"/>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1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Expiration Date:</w:t>
            </w: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bl>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[[BOARD MEMBERS FIRST TIME GRANT – use this text]</w:t>
      </w:r>
    </w:p>
    <w:p>
      <w:pPr>
        <w:spacing w:after="0" w:line="22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One thirty-sixth (1/36th) of the Shares subject to the Option shall vest and become exercisable each month over the next three (3) years following the Vesting Commencement Date on the same day of the month as the Vesting Commencement Date (and if there is no corresponding day, on the last day of the month), in each case, subject to Participant continuing to be a Service Provider through each applicable vesting date.</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MEMBERS - ANNUAL GRANT – use this text]</w:t>
      </w:r>
    </w:p>
    <w:p>
      <w:pPr>
        <w:spacing w:after="0" w:line="220" w:lineRule="exact"/>
        <w:rPr>
          <w:sz w:val="20"/>
          <w:szCs w:val="20"/>
          <w:color w:val="auto"/>
        </w:rPr>
      </w:pPr>
    </w:p>
    <w:p>
      <w:pPr>
        <w:jc w:val="both"/>
        <w:ind w:left="200" w:right="219"/>
        <w:spacing w:after="0" w:line="222" w:lineRule="auto"/>
        <w:rPr>
          <w:sz w:val="20"/>
          <w:szCs w:val="20"/>
          <w:color w:val="auto"/>
        </w:rPr>
      </w:pPr>
      <w:r>
        <w:rPr>
          <w:rFonts w:ascii="Times New Roman" w:cs="Times New Roman" w:eastAsia="Times New Roman" w:hAnsi="Times New Roman"/>
          <w:sz w:val="20"/>
          <w:szCs w:val="20"/>
          <w:color w:val="auto"/>
        </w:rPr>
        <w:t>1/12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of the Shares subject to the Option shall vest and become exercisable each month over the next 12 months following the Vesting Commencement Date on the same day of the month as the Vesting Commencement Date (and if there is no corresponding day, on the last day of the month), in each case, subject to Participant continuing to be a Service Provider through each applicable vesting date. ]</w:t>
      </w:r>
    </w:p>
    <w:p>
      <w:pPr>
        <w:spacing w:after="0" w:line="187" w:lineRule="exact"/>
        <w:rPr>
          <w:sz w:val="20"/>
          <w:szCs w:val="20"/>
          <w:color w:val="auto"/>
        </w:rPr>
      </w:pPr>
    </w:p>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This Option will be exercisable with respect to the Shares which have vested as per the above vesting schedule until a date no later than the earlier of (1) the Option's original Term/Expiration Date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5" w:name="page126"/>
    <w:bookmarkEnd w:id="125"/>
    <w:p>
      <w:pPr>
        <w:jc w:val="both"/>
        <w:ind w:left="200" w:right="380"/>
        <w:spacing w:after="0" w:line="273" w:lineRule="auto"/>
        <w:rPr>
          <w:sz w:val="20"/>
          <w:szCs w:val="20"/>
          <w:color w:val="auto"/>
        </w:rPr>
      </w:pPr>
      <w:r>
        <w:rPr>
          <w:rFonts w:ascii="Times New Roman" w:cs="Times New Roman" w:eastAsia="Times New Roman" w:hAnsi="Times New Roman"/>
          <w:sz w:val="19"/>
          <w:szCs w:val="19"/>
          <w:color w:val="auto"/>
        </w:rPr>
        <w:t>above, or (2) the 10th anniversary of the original Date of Grant set forth above. Notwithstanding the foregoing sentence, in no event may this Option be exercised after the Term/Expiration Date as provided above and may be subject to earlier termination as provided in the Stock Option Agreement and/or the Plan.</w:t>
      </w:r>
    </w:p>
    <w:p>
      <w:pPr>
        <w:spacing w:after="0" w:line="140" w:lineRule="exact"/>
        <w:rPr>
          <w:sz w:val="20"/>
          <w:szCs w:val="20"/>
          <w:color w:val="auto"/>
        </w:rPr>
      </w:pPr>
    </w:p>
    <w:p>
      <w:pPr>
        <w:ind w:left="200"/>
        <w:spacing w:after="0" w:line="230" w:lineRule="exact"/>
        <w:tabs>
          <w:tab w:leader="none" w:pos="2020" w:val="left"/>
          <w:tab w:leader="none" w:pos="508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Incentive Stock Option</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20"/>
          <w:szCs w:val="20"/>
          <w:color w:val="auto"/>
        </w:rPr>
        <w:t>Nonqualified Stock Option</w:t>
      </w:r>
    </w:p>
    <w:p>
      <w:pPr>
        <w:spacing w:after="0" w:line="260" w:lineRule="exact"/>
        <w:rPr>
          <w:sz w:val="20"/>
          <w:szCs w:val="20"/>
          <w:color w:val="auto"/>
        </w:rPr>
      </w:pPr>
    </w:p>
    <w:p>
      <w:pPr>
        <w:jc w:val="both"/>
        <w:ind w:left="200" w:right="380"/>
        <w:spacing w:after="0" w:line="244" w:lineRule="auto"/>
        <w:rPr>
          <w:sz w:val="20"/>
          <w:szCs w:val="20"/>
          <w:color w:val="auto"/>
        </w:rPr>
      </w:pPr>
      <w:r>
        <w:rPr>
          <w:rFonts w:ascii="Times New Roman" w:cs="Times New Roman" w:eastAsia="Times New Roman" w:hAnsi="Times New Roman"/>
          <w:sz w:val="20"/>
          <w:szCs w:val="20"/>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upon any questions arising under the Plan, this Grant Notice or the Stock Option Agreement.</w:t>
      </w: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6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Y-MABS THERAPEUTICS, INC.:</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w:t>
            </w:r>
          </w:p>
        </w:tc>
        <w:tc>
          <w:tcPr>
            <w:tcW w:w="346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Print Name:</w:t>
            </w:r>
          </w:p>
        </w:tc>
        <w:tc>
          <w:tcPr>
            <w:tcW w:w="3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2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4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0" w:type="dxa"/>
            <w:vAlign w:val="bottom"/>
            <w:vMerge w:val="continue"/>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Address:</w:t>
            </w:r>
          </w:p>
        </w:tc>
        <w:tc>
          <w:tcPr>
            <w:tcW w:w="3460" w:type="dxa"/>
            <w:vAlign w:val="bottom"/>
            <w:tcBorders>
              <w:bottom w:val="single" w:sz="8" w:color="auto"/>
            </w:tcBorders>
          </w:tcPr>
          <w:p>
            <w:pPr>
              <w:spacing w:after="0" w:line="20" w:lineRule="exact"/>
              <w:rPr>
                <w:sz w:val="1"/>
                <w:szCs w:val="1"/>
                <w:color w:val="auto"/>
              </w:rPr>
            </w:pPr>
          </w:p>
        </w:tc>
        <w:tc>
          <w:tcPr>
            <w:tcW w:w="4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Address:</w:t>
            </w: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20" w:type="dxa"/>
            <w:vAlign w:val="bottom"/>
            <w:vMerge w:val="continue"/>
          </w:tcPr>
          <w:p>
            <w:pPr>
              <w:spacing w:after="0"/>
              <w:rPr>
                <w:sz w:val="19"/>
                <w:szCs w:val="19"/>
                <w:color w:val="auto"/>
              </w:rPr>
            </w:pPr>
          </w:p>
        </w:tc>
        <w:tc>
          <w:tcPr>
            <w:tcW w:w="3460" w:type="dxa"/>
            <w:vAlign w:val="bottom"/>
          </w:tcPr>
          <w:p>
            <w:pPr>
              <w:spacing w:after="0"/>
              <w:rPr>
                <w:sz w:val="19"/>
                <w:szCs w:val="19"/>
                <w:color w:val="auto"/>
              </w:rPr>
            </w:pPr>
          </w:p>
        </w:tc>
        <w:tc>
          <w:tcPr>
            <w:tcW w:w="44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3460" w:type="dxa"/>
            <w:vAlign w:val="bottom"/>
            <w:tcBorders>
              <w:top w:val="single" w:sz="8" w:color="auto"/>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33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9"/>
        </w:trPr>
        <w:tc>
          <w:tcPr>
            <w:tcW w:w="7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118" w:right="127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Pursuant to the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to which this Stock Option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attached, Y-mAbs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to the Participant an Option under the Company’s 2018 Equity Incentive Plan, as may be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purchase the number of Shares indicated in the Grant Notice.</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200" w:right="239" w:firstLine="441"/>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Wherever the following terms are used in this Agreement they shall have the meanings specified below, unless the context clearly indicates otherwise. Capitalized terms not specifically defined herein shall have the meanings specified in the Plan and the Grant Notice.</w:t>
      </w:r>
    </w:p>
    <w:p>
      <w:pPr>
        <w:spacing w:after="0" w:line="176"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229"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In consideration of the Participant’s past and/or continued employment with or service to the Company or any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irrevocably grants to the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pacing w:after="0" w:line="18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the Shares subject to the Option shall be as set forth in the Grant Notice, without commission or other charge;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price per share of the Shares subject to the Option shall not be less than 100% of the Fair Market Value of a Share on the Grant Date. Notwithstanding the foregoing, if this Option is designated as an Incentive Stock Option and the Participant is a Greater Than 10% Stockholder as of the Date of Grant, the exercise price per share of the Shares subject to the Option shall not be less than 110% of the Fair Market Value of a Share on the Grant Date.</w:t>
      </w:r>
    </w:p>
    <w:p>
      <w:pPr>
        <w:spacing w:after="0" w:line="187"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Consideration to the Company</w:t>
      </w:r>
      <w:r>
        <w:rPr>
          <w:rFonts w:ascii="Times New Roman" w:cs="Times New Roman" w:eastAsia="Times New Roman" w:hAnsi="Times New Roman"/>
          <w:sz w:val="18"/>
          <w:szCs w:val="18"/>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39" w:firstLine="890"/>
        <w:spacing w:after="0" w:line="282" w:lineRule="auto"/>
        <w:tabs>
          <w:tab w:leader="none" w:pos="13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3.2, 3.3, 5.11 and 5.17 hereof, the Option shall become vested and exercisable in such amounts and at such times as are set forth in the Grant Notice.</w:t>
      </w:r>
    </w:p>
    <w:p>
      <w:pPr>
        <w:spacing w:after="0" w:line="161"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Option which has not become vested and exercisable at the date of the Participant’s Termination of Service shall thereafter become vested and exercisable, except as may be otherwise provided by the Administrator or as set forth in a written agreement between the Company and the Participant.</w:t>
      </w:r>
    </w:p>
    <w:p>
      <w:pPr>
        <w:spacing w:after="0" w:line="175"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3.1(a) hereof and the Grant Notice, but subject to Section 3.1(b) hereof, in the event of a Change in Control the Option shall be treated pursuant to Sections 9.2 and 9.3 of the Plan.</w:t>
      </w:r>
    </w:p>
    <w:p>
      <w:pPr>
        <w:spacing w:after="0" w:line="162"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76" w:lineRule="exact"/>
        <w:rPr>
          <w:sz w:val="20"/>
          <w:szCs w:val="20"/>
          <w:color w:val="auto"/>
        </w:rPr>
      </w:pPr>
    </w:p>
    <w:p>
      <w:pPr>
        <w:jc w:val="both"/>
        <w:ind w:left="200" w:right="219" w:firstLine="441"/>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the first to occur of the following events:</w:t>
      </w:r>
    </w:p>
    <w:p>
      <w:pPr>
        <w:spacing w:after="0" w:line="54" w:lineRule="exact"/>
        <w:rPr>
          <w:sz w:val="20"/>
          <w:szCs w:val="20"/>
          <w:color w:val="auto"/>
        </w:rPr>
      </w:pPr>
    </w:p>
    <w:p>
      <w:pPr>
        <w:ind w:left="200" w:right="219" w:firstLine="890"/>
        <w:spacing w:after="0" w:line="282" w:lineRule="auto"/>
        <w:tabs>
          <w:tab w:leader="none" w:pos="13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the Grant Notice, which shall in no event be more than ten (10) years from the Grant Date;</w:t>
      </w:r>
    </w:p>
    <w:p>
      <w:pPr>
        <w:spacing w:after="0" w:line="161"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at the time the Option was granted, was a Greater Than 10% Stockholder, the expiration of five (5) years from the Grant Date;</w:t>
      </w:r>
    </w:p>
    <w:p>
      <w:pPr>
        <w:spacing w:after="0" w:line="159" w:lineRule="exact"/>
        <w:rPr>
          <w:rFonts w:ascii="Times New Roman" w:cs="Times New Roman" w:eastAsia="Times New Roman" w:hAnsi="Times New Roman"/>
          <w:sz w:val="18"/>
          <w:szCs w:val="18"/>
          <w:color w:val="auto"/>
        </w:rPr>
      </w:pPr>
    </w:p>
    <w:p>
      <w:pPr>
        <w:jc w:val="both"/>
        <w:ind w:left="200" w:right="219" w:firstLine="890"/>
        <w:spacing w:after="0" w:line="257" w:lineRule="auto"/>
        <w:tabs>
          <w:tab w:leader="none" w:pos="13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three (3) months from the date of the Participant’s Termination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if on the last day of this three-month period, the Participant is prevented from trading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due to a black-out period under the Company’s insider trading compliance policy, the period will be extended to expire on the day immediately before the beginning of the following black-out period but in no event later than the Expiration Date set forth in the Grant Notice) unless such termination occurs by reason of the Participant’s death or disability; or</w:t>
      </w:r>
    </w:p>
    <w:p>
      <w:pPr>
        <w:spacing w:after="0" w:line="184" w:lineRule="exact"/>
        <w:rPr>
          <w:rFonts w:ascii="Times New Roman" w:cs="Times New Roman" w:eastAsia="Times New Roman" w:hAnsi="Times New Roman"/>
          <w:sz w:val="18"/>
          <w:szCs w:val="18"/>
          <w:color w:val="auto"/>
        </w:rPr>
      </w:pPr>
    </w:p>
    <w:p>
      <w:pPr>
        <w:ind w:left="200" w:right="219" w:firstLine="890"/>
        <w:spacing w:after="0" w:line="282" w:lineRule="auto"/>
        <w:tabs>
          <w:tab w:leader="none" w:pos="13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one (1) year from the date of the Participant’s Termination of Service by reason of the Participant’s death or disability.</w:t>
      </w:r>
    </w:p>
    <w:p>
      <w:pPr>
        <w:spacing w:after="0" w:line="162"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Special Tax Consequences</w:t>
      </w:r>
      <w:r>
        <w:rPr>
          <w:rFonts w:ascii="Times New Roman" w:cs="Times New Roman" w:eastAsia="Times New Roman" w:hAnsi="Times New Roman"/>
          <w:sz w:val="18"/>
          <w:szCs w:val="18"/>
          <w:color w:val="auto"/>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925830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8"/>
          <w:szCs w:val="18"/>
          <w:color w:val="auto"/>
        </w:rPr>
        <w:t>3.5 Tax Indemnity.</w:t>
      </w:r>
    </w:p>
    <w:p>
      <w:pPr>
        <w:spacing w:after="0" w:line="225" w:lineRule="exact"/>
        <w:rPr>
          <w:sz w:val="20"/>
          <w:szCs w:val="20"/>
          <w:color w:val="auto"/>
        </w:rPr>
      </w:pPr>
    </w:p>
    <w:p>
      <w:pPr>
        <w:jc w:val="both"/>
        <w:ind w:left="200" w:right="219" w:firstLine="890"/>
        <w:spacing w:after="0" w:line="256" w:lineRule="auto"/>
        <w:tabs>
          <w:tab w:leader="none" w:pos="13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to indemnify and keep indemnified the Company, any Subsidiary and the Participant’s employing company, if different, from and against any liability for or obligation to pay any Tax Liability (a “Tax Liability”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spacing w:after="0" w:line="187" w:lineRule="exact"/>
        <w:rPr>
          <w:rFonts w:ascii="Times New Roman" w:cs="Times New Roman" w:eastAsia="Times New Roman" w:hAnsi="Times New Roman"/>
          <w:sz w:val="18"/>
          <w:szCs w:val="18"/>
          <w:color w:val="auto"/>
        </w:rPr>
      </w:pPr>
    </w:p>
    <w:p>
      <w:pPr>
        <w:jc w:val="both"/>
        <w:ind w:left="200" w:right="219" w:firstLine="890"/>
        <w:spacing w:after="0" w:line="261" w:lineRule="auto"/>
        <w:tabs>
          <w:tab w:leader="none" w:pos="13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cannot be exercised until the Participant has made such arrangements as the Company may require for the satisfaction of any Tax Liability that may arise in connection with the exercise of the Option and/or the acquisition of the Shares by the Participant. The Company shall not be required to issue, allot or transfer Shares until the Participant has satisfied this obligation.</w:t>
      </w:r>
    </w:p>
    <w:p>
      <w:pPr>
        <w:spacing w:after="0" w:line="179" w:lineRule="exact"/>
        <w:rPr>
          <w:rFonts w:ascii="Times New Roman" w:cs="Times New Roman" w:eastAsia="Times New Roman" w:hAnsi="Times New Roman"/>
          <w:sz w:val="18"/>
          <w:szCs w:val="18"/>
          <w:color w:val="auto"/>
        </w:rPr>
      </w:pPr>
    </w:p>
    <w:p>
      <w:pPr>
        <w:jc w:val="both"/>
        <w:ind w:left="200" w:right="219" w:firstLine="890"/>
        <w:spacing w:after="0" w:line="255" w:lineRule="auto"/>
        <w:tabs>
          <w:tab w:leader="none" w:pos="1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2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Except as provided in Section 5.3 hereof, during the lifetime of the Participant, only the Participant may exercise the Option or any portion thereof, unless it has been disposed of pursuant to a DRO. After the death of the Participant, any exercisable portion of the Option may, prior to the time when the Option becomes unexercisable under Section 3.3 hereof, be exercised by the deceased the Participant’s personal representative or by any person empowered to do so under the deceased the Participant’s will or under the then applicable laws of descent and distribution.</w:t>
      </w:r>
    </w:p>
    <w:p>
      <w:pPr>
        <w:spacing w:after="0" w:line="187"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76"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80" w:lineRule="exact"/>
        <w:rPr>
          <w:sz w:val="20"/>
          <w:szCs w:val="20"/>
          <w:color w:val="auto"/>
        </w:rPr>
      </w:pPr>
    </w:p>
    <w:p>
      <w:pPr>
        <w:jc w:val="both"/>
        <w:ind w:left="200" w:right="219" w:firstLine="890"/>
        <w:spacing w:after="0" w:line="266" w:lineRule="auto"/>
        <w:tabs>
          <w:tab w:leader="none" w:pos="132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jc w:val="both"/>
        <w:ind w:left="200" w:right="219" w:firstLine="890"/>
        <w:spacing w:after="0" w:line="261" w:lineRule="auto"/>
        <w:tabs>
          <w:tab w:leader="none" w:pos="13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spacing w:after="0" w:line="179" w:lineRule="exact"/>
        <w:rPr>
          <w:rFonts w:ascii="Times New Roman" w:cs="Times New Roman" w:eastAsia="Times New Roman" w:hAnsi="Times New Roman"/>
          <w:sz w:val="18"/>
          <w:szCs w:val="18"/>
          <w:color w:val="auto"/>
        </w:rPr>
      </w:pPr>
    </w:p>
    <w:p>
      <w:pPr>
        <w:jc w:val="both"/>
        <w:ind w:left="200" w:right="239" w:firstLine="890"/>
        <w:spacing w:after="0" w:line="266" w:lineRule="auto"/>
        <w:tabs>
          <w:tab w:leader="none" w:pos="13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75"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4.1 hereof by any person or persons other than the Participant, appropriate proof of the right of such person or persons to exercise the Option.</w:t>
      </w:r>
    </w:p>
    <w:p>
      <w:pPr>
        <w:spacing w:after="0" w:line="176"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62" w:lineRule="exact"/>
        <w:rPr>
          <w:sz w:val="20"/>
          <w:szCs w:val="20"/>
          <w:color w:val="auto"/>
        </w:rPr>
      </w:pPr>
    </w:p>
    <w:p>
      <w:pPr>
        <w:ind w:left="200" w:right="219" w:firstLine="441"/>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shall be by any of the following, or a combination thereof, at the election of the Participant:</w:t>
      </w:r>
    </w:p>
    <w:p>
      <w:pPr>
        <w:spacing w:after="0" w:line="54" w:lineRule="exact"/>
        <w:rPr>
          <w:sz w:val="20"/>
          <w:szCs w:val="20"/>
          <w:color w:val="auto"/>
        </w:rPr>
      </w:pPr>
    </w:p>
    <w:p>
      <w:pPr>
        <w:ind w:left="1340" w:hanging="250"/>
        <w:spacing w:after="0"/>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225" w:lineRule="exact"/>
        <w:rPr>
          <w:rFonts w:ascii="Times New Roman" w:cs="Times New Roman" w:eastAsia="Times New Roman" w:hAnsi="Times New Roman"/>
          <w:sz w:val="18"/>
          <w:szCs w:val="18"/>
          <w:color w:val="auto"/>
        </w:rPr>
      </w:pPr>
    </w:p>
    <w:p>
      <w:pPr>
        <w:jc w:val="both"/>
        <w:ind w:left="200" w:right="219" w:firstLine="890"/>
        <w:spacing w:after="0" w:line="261" w:lineRule="auto"/>
        <w:tabs>
          <w:tab w:leader="none" w:pos="13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79" w:lineRule="exact"/>
        <w:rPr>
          <w:rFonts w:ascii="Times New Roman" w:cs="Times New Roman" w:eastAsia="Times New Roman" w:hAnsi="Times New Roman"/>
          <w:sz w:val="18"/>
          <w:szCs w:val="18"/>
          <w:color w:val="auto"/>
        </w:rPr>
      </w:pPr>
    </w:p>
    <w:p>
      <w:pPr>
        <w:jc w:val="both"/>
        <w:ind w:left="200" w:right="219" w:firstLine="890"/>
        <w:spacing w:after="0" w:line="256" w:lineRule="auto"/>
        <w:tabs>
          <w:tab w:leader="none" w:pos="13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legal consideration acceptable to the Administrator (including, without limitation,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at such time as may be required by the Company, but in any event not later than the settlement of such sale).</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w:t>
      </w:r>
    </w:p>
    <w:p>
      <w:pPr>
        <w:spacing w:after="0" w:line="75" w:lineRule="exact"/>
        <w:rPr>
          <w:sz w:val="20"/>
          <w:szCs w:val="20"/>
          <w:color w:val="auto"/>
        </w:rPr>
      </w:pPr>
    </w:p>
    <w:p>
      <w:pPr>
        <w:ind w:left="1340" w:hanging="250"/>
        <w:spacing w:after="0"/>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on which such Shares are then listed;</w:t>
      </w:r>
    </w:p>
    <w:p>
      <w:pPr>
        <w:spacing w:after="0" w:line="225" w:lineRule="exact"/>
        <w:rPr>
          <w:rFonts w:ascii="Times New Roman" w:cs="Times New Roman" w:eastAsia="Times New Roman" w:hAnsi="Times New Roman"/>
          <w:sz w:val="18"/>
          <w:szCs w:val="18"/>
          <w:color w:val="auto"/>
        </w:rPr>
      </w:pPr>
    </w:p>
    <w:p>
      <w:pPr>
        <w:jc w:val="both"/>
        <w:ind w:left="200" w:right="219" w:firstLine="890"/>
        <w:spacing w:after="0" w:line="266" w:lineRule="auto"/>
        <w:tabs>
          <w:tab w:leader="none" w:pos="13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left="200" w:right="239" w:firstLine="890"/>
        <w:spacing w:after="0" w:line="282" w:lineRule="auto"/>
        <w:tabs>
          <w:tab w:leader="none" w:pos="13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which the Administrator shall, in its absolute discretion, determine to be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ind w:left="200" w:right="219" w:firstLine="890"/>
        <w:spacing w:after="0" w:line="282"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such Shares, including payment of any applicable withholding tax, which may be in one or more of the forms of consideration permitted under Section 4.4 hereof; and</w:t>
      </w:r>
    </w:p>
    <w:p>
      <w:pPr>
        <w:spacing w:after="0" w:line="161" w:lineRule="exact"/>
        <w:rPr>
          <w:rFonts w:ascii="Times New Roman" w:cs="Times New Roman" w:eastAsia="Times New Roman" w:hAnsi="Times New Roman"/>
          <w:sz w:val="18"/>
          <w:szCs w:val="18"/>
          <w:color w:val="auto"/>
        </w:rPr>
      </w:pPr>
    </w:p>
    <w:p>
      <w:pPr>
        <w:ind w:left="200" w:right="239" w:firstLine="890"/>
        <w:spacing w:after="0" w:line="282" w:lineRule="auto"/>
        <w:tabs>
          <w:tab w:leader="none" w:pos="13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Option as the Administrator may from time to time establish for reasons of administrative convenience.</w:t>
      </w:r>
    </w:p>
    <w:p>
      <w:pPr>
        <w:spacing w:after="0" w:line="162"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Whole Shares</w:t>
      </w:r>
      <w:r>
        <w:rPr>
          <w:rFonts w:ascii="Times New Roman" w:cs="Times New Roman" w:eastAsia="Times New Roman" w:hAnsi="Times New Roman"/>
          <w:sz w:val="18"/>
          <w:szCs w:val="18"/>
          <w:color w:val="auto"/>
        </w:rPr>
        <w:t>. The Option may only be exercised for whole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Not Transferable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19" w:firstLine="890"/>
        <w:spacing w:after="0" w:line="253" w:lineRule="auto"/>
        <w:tabs>
          <w:tab w:leader="none" w:pos="13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194" w:lineRule="exact"/>
        <w:rPr>
          <w:rFonts w:ascii="Times New Roman" w:cs="Times New Roman" w:eastAsia="Times New Roman" w:hAnsi="Times New Roman"/>
          <w:sz w:val="18"/>
          <w:szCs w:val="18"/>
          <w:color w:val="auto"/>
        </w:rPr>
      </w:pPr>
    </w:p>
    <w:p>
      <w:pPr>
        <w:jc w:val="both"/>
        <w:ind w:left="200" w:right="219" w:firstLine="890"/>
        <w:spacing w:after="0" w:line="258" w:lineRule="auto"/>
        <w:tabs>
          <w:tab w:leader="none" w:pos="13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only the Participant may exercise the Option (or any portion thereof), unless it has been disposed of pursuant to a DRO;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the Participant’s will or under the then-applicable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jc w:val="both"/>
        <w:ind w:left="200" w:right="219" w:firstLine="935"/>
        <w:spacing w:after="0" w:line="253" w:lineRule="auto"/>
        <w:tabs>
          <w:tab w:leader="none" w:pos="13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Option shall not be effective without the prior written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Participant understands that the Participant may suffer adverse tax consequences as a result of the grant, vesting and/or exercise of the Option, and/or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spacing w:after="0" w:line="183" w:lineRule="exact"/>
        <w:rPr>
          <w:sz w:val="20"/>
          <w:szCs w:val="20"/>
          <w:color w:val="auto"/>
        </w:rPr>
      </w:pPr>
    </w:p>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Adjustments Upon Specified Events</w:t>
      </w:r>
      <w:r>
        <w:rPr>
          <w:rFonts w:ascii="Times New Roman" w:cs="Times New Roman" w:eastAsia="Times New Roman" w:hAnsi="Times New Roman"/>
          <w:sz w:val="18"/>
          <w:szCs w:val="18"/>
          <w:color w:val="auto"/>
        </w:rPr>
        <w:t>.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Article IX of the Plan.</w:t>
      </w:r>
    </w:p>
    <w:p>
      <w:pPr>
        <w:spacing w:after="0" w:line="189" w:lineRule="exact"/>
        <w:rPr>
          <w:sz w:val="20"/>
          <w:szCs w:val="20"/>
          <w:color w:val="auto"/>
        </w:rPr>
      </w:pPr>
    </w:p>
    <w:p>
      <w:pPr>
        <w:jc w:val="both"/>
        <w:ind w:left="200" w:right="219" w:firstLine="441"/>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8"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jc w:val="both"/>
        <w:ind w:left="200" w:right="219" w:firstLine="441"/>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6" w:lineRule="exact"/>
        <w:rPr>
          <w:sz w:val="20"/>
          <w:szCs w:val="20"/>
          <w:color w:val="auto"/>
        </w:rPr>
      </w:pPr>
    </w:p>
    <w:p>
      <w:pPr>
        <w:jc w:val="both"/>
        <w:ind w:left="200" w:right="219" w:firstLine="441"/>
        <w:spacing w:after="0" w:line="25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89"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183"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spacing w:after="0" w:line="180" w:lineRule="exact"/>
        <w:rPr>
          <w:sz w:val="20"/>
          <w:szCs w:val="20"/>
          <w:color w:val="auto"/>
        </w:rPr>
      </w:pPr>
    </w:p>
    <w:p>
      <w:pPr>
        <w:jc w:val="both"/>
        <w:ind w:left="200" w:right="219" w:firstLine="441"/>
        <w:spacing w:after="0" w:line="25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this Option is designated as an Incentive Stock Option, the Participant shall give prompt notice to the Company of any disposition or other transfer of any Shares acquired under this Agreement if such disposition or transfer is made (a) within two (2) years from the Grant Date with respect to such Shares or</w:t>
      </w:r>
    </w:p>
    <w:p>
      <w:pPr>
        <w:spacing w:after="0" w:line="1" w:lineRule="exact"/>
        <w:rPr>
          <w:sz w:val="20"/>
          <w:szCs w:val="20"/>
          <w:color w:val="auto"/>
        </w:rPr>
      </w:pPr>
    </w:p>
    <w:p>
      <w:pPr>
        <w:jc w:val="both"/>
        <w:ind w:left="200" w:right="239" w:firstLine="9"/>
        <w:spacing w:after="0" w:line="255" w:lineRule="auto"/>
        <w:tabs>
          <w:tab w:leader="none" w:pos="4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(1)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spacing w:after="0" w:line="186"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Not a Contract of Service Relationship</w:t>
      </w:r>
      <w:r>
        <w:rPr>
          <w:rFonts w:ascii="Times New Roman" w:cs="Times New Roman" w:eastAsia="Times New Roman" w:hAnsi="Times New Roman"/>
          <w:sz w:val="18"/>
          <w:szCs w:val="18"/>
          <w:color w:val="auto"/>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ind w:left="64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w:t>
      </w:r>
    </w:p>
    <w:p>
      <w:pPr>
        <w:spacing w:after="0" w:line="225" w:lineRule="exact"/>
        <w:rPr>
          <w:sz w:val="20"/>
          <w:szCs w:val="20"/>
          <w:color w:val="auto"/>
        </w:rPr>
      </w:pPr>
    </w:p>
    <w:p>
      <w:pPr>
        <w:jc w:val="both"/>
        <w:ind w:left="200" w:right="239" w:firstLine="441"/>
        <w:spacing w:after="0" w:line="282" w:lineRule="auto"/>
        <w:rPr>
          <w:sz w:val="20"/>
          <w:szCs w:val="20"/>
          <w:color w:val="auto"/>
        </w:rPr>
      </w:pPr>
      <w:r>
        <w:rPr>
          <w:rFonts w:ascii="Times New Roman" w:cs="Times New Roman" w:eastAsia="Times New Roman" w:hAnsi="Times New Roman"/>
          <w:sz w:val="18"/>
          <w:szCs w:val="18"/>
          <w:color w:val="auto"/>
        </w:rPr>
        <w:t>d this Agreement constitute the entire agreement of the parties and supersede in their entirety all prior undertakings and agreements of the Company and the Participant with respect to the subject matter hereof.</w:t>
      </w:r>
    </w:p>
    <w:p>
      <w:pPr>
        <w:spacing w:after="0" w:line="162" w:lineRule="exact"/>
        <w:rPr>
          <w:sz w:val="20"/>
          <w:szCs w:val="20"/>
          <w:color w:val="auto"/>
        </w:rPr>
      </w:pPr>
    </w:p>
    <w:p>
      <w:pPr>
        <w:jc w:val="both"/>
        <w:ind w:left="200" w:right="219" w:firstLine="441"/>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94" w:lineRule="exact"/>
        <w:rPr>
          <w:sz w:val="20"/>
          <w:szCs w:val="20"/>
          <w:color w:val="auto"/>
        </w:rPr>
      </w:pPr>
    </w:p>
    <w:p>
      <w:pPr>
        <w:jc w:val="both"/>
        <w:ind w:left="200" w:right="219" w:firstLine="441"/>
        <w:spacing w:after="0" w:line="25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Limitation on the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34" w:name="page135"/>
    <w:bookmarkEnd w:id="134"/>
    <w:p>
      <w:pPr>
        <w:ind w:left="7760"/>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w:t>
      </w:r>
    </w:p>
    <w:p>
      <w:pPr>
        <w:spacing w:after="0" w:line="251" w:lineRule="exact"/>
        <w:rPr>
          <w:sz w:val="20"/>
          <w:szCs w:val="20"/>
          <w:color w:val="auto"/>
        </w:rPr>
      </w:pPr>
    </w:p>
    <w:p>
      <w:pPr>
        <w:jc w:val="both"/>
        <w:ind w:left="200" w:right="259" w:firstLine="648"/>
        <w:spacing w:after="0" w:line="239" w:lineRule="auto"/>
        <w:rPr>
          <w:sz w:val="20"/>
          <w:szCs w:val="20"/>
          <w:color w:val="auto"/>
        </w:rPr>
      </w:pPr>
      <w:r>
        <w:rPr>
          <w:rFonts w:ascii="Times New Roman" w:cs="Times New Roman" w:eastAsia="Times New Roman" w:hAnsi="Times New Roman"/>
          <w:sz w:val="22"/>
          <w:szCs w:val="22"/>
          <w:color w:val="auto"/>
        </w:rPr>
        <w:t>This Separation Agreement and General Release (the “Agreement”) is made and entered into by and between Y-mAbs Therapeutics, Inc. (the “Company”), located at 230 Park Avenue, Suite 3350, New York, NY 10169, and its employee, Claus Juan Møller San Pedro (“Employee”), who resides at [***].</w:t>
      </w:r>
    </w:p>
    <w:p>
      <w:pPr>
        <w:spacing w:after="0" w:line="217" w:lineRule="exact"/>
        <w:rPr>
          <w:sz w:val="20"/>
          <w:szCs w:val="20"/>
          <w:color w:val="auto"/>
        </w:rPr>
      </w:pPr>
    </w:p>
    <w:p>
      <w:pPr>
        <w:jc w:val="both"/>
        <w:ind w:left="200" w:right="2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Employee has been employed by the Company as 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since March 1, 2016 under the terms of a Service Agreement, dated January 3, 2016 (“Service Agreement”); and</w:t>
      </w:r>
    </w:p>
    <w:p>
      <w:pPr>
        <w:spacing w:after="0" w:line="194" w:lineRule="exact"/>
        <w:rPr>
          <w:sz w:val="20"/>
          <w:szCs w:val="20"/>
          <w:color w:val="auto"/>
        </w:rPr>
      </w:pPr>
    </w:p>
    <w:p>
      <w:pPr>
        <w:jc w:val="both"/>
        <w:ind w:left="200" w:right="25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consideration for Employee’s execution of this Agreement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set forth herein, the Company shall treat Employee’s termination as one “without cause” under the Service Agreement and the Company’s 2015 and 2018 Equity Incentive Plans; and</w:t>
      </w:r>
    </w:p>
    <w:p>
      <w:pPr>
        <w:spacing w:after="0" w:line="293" w:lineRule="exact"/>
        <w:rPr>
          <w:sz w:val="20"/>
          <w:szCs w:val="20"/>
          <w:color w:val="auto"/>
        </w:rPr>
      </w:pPr>
    </w:p>
    <w:p>
      <w:pPr>
        <w:jc w:val="both"/>
        <w:ind w:left="200" w:right="27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have reached certain mutual agreements and understandings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termination of Employee’s employment with the Company, and desire to settle fully and finally any claims, disputes and obligations relating to Employee’s employment with the Company and the termination thereof.</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NOW, THEREFORE, IT IS HEREBY AGREED THAT:</w:t>
      </w:r>
    </w:p>
    <w:p>
      <w:pPr>
        <w:spacing w:after="0" w:line="233" w:lineRule="exact"/>
        <w:rPr>
          <w:sz w:val="20"/>
          <w:szCs w:val="20"/>
          <w:color w:val="auto"/>
        </w:rPr>
      </w:pPr>
    </w:p>
    <w:p>
      <w:pPr>
        <w:jc w:val="both"/>
        <w:ind w:left="200" w:right="219" w:firstLine="655"/>
        <w:spacing w:after="0" w:line="233" w:lineRule="auto"/>
        <w:tabs>
          <w:tab w:leader="none" w:pos="1495" w:val="left"/>
        </w:tabs>
        <w:numPr>
          <w:ilvl w:val="0"/>
          <w:numId w:val="8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Notice Period/Transition/Termination of Employment</w:t>
      </w:r>
      <w:r>
        <w:rPr>
          <w:rFonts w:ascii="Times New Roman" w:cs="Times New Roman" w:eastAsia="Times New Roman" w:hAnsi="Times New Roman"/>
          <w:sz w:val="22"/>
          <w:szCs w:val="22"/>
          <w:color w:val="auto"/>
        </w:rPr>
        <w:t>. Employee’s active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ended on April 24, 2022 (“Termination Date”). Employee shall be paid his full salary through May 31, 2022. No later than the next pay period after the Effective Date of this Agreement as provided for in Paragraph 17(b) below, the Company shall reinstate Employee to payroll with Y-mAbs Therapeutics A/S (“Y-mAbs Denmark”), retroactive to May 31, 2022, and Y-mAbs Denmark shall provide him with monthly payments of his salary for the 12-month notice period (“Notice Period”) on the last business day of each month, less applicable withholdings and deductions, as specified in Paragraph 10.1 of the Service Agreement for termination without cause. During the Notice Period, Employee will not be entitled to any employee benefits other than those provided in Paragraph 6 of the Service Agreement, as provided for in Paragraph 21 below, and continuation of health insurance benefits as currently provided. During the Notice Period, Employee will be an employee of Y-mAbs Denmark but placed on paid leave during which he will not be expected to perform any duties for Y-mAbs Denmark or the Company, provided, however, that he will remain available to answer questions and to assist with the transition of any matters in which Employee was working, as well as any to perform other services reasonably requested by the Company.</w:t>
      </w:r>
    </w:p>
    <w:p>
      <w:pPr>
        <w:spacing w:after="0" w:line="268" w:lineRule="exact"/>
        <w:rPr>
          <w:rFonts w:ascii="Times New Roman" w:cs="Times New Roman" w:eastAsia="Times New Roman" w:hAnsi="Times New Roman"/>
          <w:sz w:val="22"/>
          <w:szCs w:val="22"/>
          <w:b w:val="1"/>
          <w:bCs w:val="1"/>
          <w:color w:val="010000"/>
        </w:rPr>
      </w:pPr>
    </w:p>
    <w:p>
      <w:pPr>
        <w:jc w:val="both"/>
        <w:ind w:left="200" w:right="279" w:firstLine="654"/>
        <w:spacing w:after="0" w:line="236" w:lineRule="auto"/>
        <w:tabs>
          <w:tab w:leader="none" w:pos="1496" w:val="left"/>
        </w:tabs>
        <w:numPr>
          <w:ilvl w:val="0"/>
          <w:numId w:val="8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Duty of Loyalty</w:t>
      </w:r>
      <w:r>
        <w:rPr>
          <w:rFonts w:ascii="Times New Roman" w:cs="Times New Roman" w:eastAsia="Times New Roman" w:hAnsi="Times New Roman"/>
          <w:sz w:val="22"/>
          <w:szCs w:val="22"/>
          <w:color w:val="auto"/>
        </w:rPr>
        <w:t>. During the Notice Period, the duty of loyalty (good faith and 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dealing) applies in full and for that reason, the Employee is in every respect and in every context required to act in good faith vis-à-vis the Company/the Y-mAbs Therapeutics group of companies and is during the Notice Period precluded from 1) having business related contact of any kind (which for the avoidance of doubt includes affiliation of any kind, e.g., employment,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5" w:name="page136"/>
    <w:bookmarkEnd w:id="135"/>
    <w:p>
      <w:pPr>
        <w:jc w:val="both"/>
        <w:ind w:left="200" w:right="279"/>
        <w:spacing w:after="0" w:line="233" w:lineRule="auto"/>
        <w:rPr>
          <w:sz w:val="20"/>
          <w:szCs w:val="20"/>
          <w:color w:val="auto"/>
        </w:rPr>
      </w:pPr>
      <w:r>
        <w:rPr>
          <w:rFonts w:ascii="Times New Roman" w:cs="Times New Roman" w:eastAsia="Times New Roman" w:hAnsi="Times New Roman"/>
          <w:sz w:val="22"/>
          <w:szCs w:val="22"/>
          <w:color w:val="auto"/>
        </w:rPr>
        <w:t>consultancy work etc.) with the employees, customers, agents, suppliers and other business partners etc. of the Company/ the Y-mAbs Therapeutics group of companies and 2) establishing an independent business and/or take up new employment in companies that – directly or indirectly - competes with the activities of the Company/ the Y-mAbs Therapeutics group of companies. For clarity, with the prior written approval of the Company or the Board (which will not be unreasonably withheld and will be provided, if at all, within five (5) business days after a written request from the Employee), the Employee may work as consultant for HBM Healthcare Investments on non-Y-mAbs related matters, commence employment or a consultancy with another non-competitive business entity, or set up his own business, provided that he observes the duty of loyalty and limitations described above (collectively, “Approved Business Endeavors”). Employee’s salary payments during the Notice Period will not be subject to set-off against any earnings from Approved Business Endeavors.</w:t>
      </w:r>
    </w:p>
    <w:p>
      <w:pPr>
        <w:spacing w:after="0" w:line="222" w:lineRule="exact"/>
        <w:rPr>
          <w:sz w:val="20"/>
          <w:szCs w:val="20"/>
          <w:color w:val="auto"/>
        </w:rPr>
      </w:pPr>
    </w:p>
    <w:p>
      <w:pPr>
        <w:jc w:val="both"/>
        <w:ind w:left="260" w:right="119" w:firstLine="595"/>
        <w:spacing w:after="0" w:line="241" w:lineRule="auto"/>
        <w:tabs>
          <w:tab w:leader="none" w:pos="1556" w:val="left"/>
        </w:tabs>
        <w:numPr>
          <w:ilvl w:val="0"/>
          <w:numId w:val="8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Bonus Pay</w:t>
      </w:r>
      <w:r>
        <w:rPr>
          <w:rFonts w:ascii="Times New Roman" w:cs="Times New Roman" w:eastAsia="Times New Roman" w:hAnsi="Times New Roman"/>
          <w:sz w:val="22"/>
          <w:szCs w:val="22"/>
          <w:color w:val="auto"/>
        </w:rPr>
        <w:t>. Employee will receive a bonus of $202,500, less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withholdings and deductions (“Bonus”). The Bonus will be paid out by Y-mAbs Denmark in early 2023 at the same time that bonuses for the 2022 calendar year are paid to other Executive Management team members.</w:t>
      </w:r>
    </w:p>
    <w:p>
      <w:pPr>
        <w:spacing w:after="0" w:line="198" w:lineRule="exact"/>
        <w:rPr>
          <w:rFonts w:ascii="Times New Roman" w:cs="Times New Roman" w:eastAsia="Times New Roman" w:hAnsi="Times New Roman"/>
          <w:sz w:val="22"/>
          <w:szCs w:val="22"/>
          <w:b w:val="1"/>
          <w:bCs w:val="1"/>
          <w:color w:val="010000"/>
        </w:rPr>
      </w:pPr>
    </w:p>
    <w:p>
      <w:pPr>
        <w:jc w:val="both"/>
        <w:ind w:left="200" w:right="359" w:firstLine="655"/>
        <w:spacing w:after="0" w:line="237" w:lineRule="auto"/>
        <w:tabs>
          <w:tab w:leader="none" w:pos="1495" w:val="left"/>
        </w:tabs>
        <w:numPr>
          <w:ilvl w:val="0"/>
          <w:numId w:val="8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Separation Pay</w:t>
      </w:r>
      <w:r>
        <w:rPr>
          <w:rFonts w:ascii="Times New Roman" w:cs="Times New Roman" w:eastAsia="Times New Roman" w:hAnsi="Times New Roman"/>
          <w:sz w:val="22"/>
          <w:szCs w:val="22"/>
          <w:color w:val="auto"/>
        </w:rPr>
        <w:t>. In further consideration for Employee’s execution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following the Notice Period, and provided the Agreement has become effective and not breached, Y-mAbs Denmark shall pay Employee his full salary for twelve (12) months as provided in Paragraph 10.1 of the Service Agreement for terminations without cause in one lump sum payment within thirty (30) days from the Notice Period end date, in the total amount of $679,300, less applicable withholdings and deductions (“Severance Pay”).</w:t>
      </w:r>
    </w:p>
    <w:p>
      <w:pPr>
        <w:spacing w:after="0" w:line="215" w:lineRule="exact"/>
        <w:rPr>
          <w:rFonts w:ascii="Times New Roman" w:cs="Times New Roman" w:eastAsia="Times New Roman" w:hAnsi="Times New Roman"/>
          <w:sz w:val="22"/>
          <w:szCs w:val="22"/>
          <w:b w:val="1"/>
          <w:bCs w:val="1"/>
          <w:color w:val="010000"/>
        </w:rPr>
      </w:pPr>
    </w:p>
    <w:p>
      <w:pPr>
        <w:jc w:val="both"/>
        <w:ind w:left="200" w:right="379" w:firstLine="655"/>
        <w:spacing w:after="0" w:line="246" w:lineRule="auto"/>
        <w:tabs>
          <w:tab w:leader="none" w:pos="1495" w:val="left"/>
        </w:tabs>
        <w:numPr>
          <w:ilvl w:val="0"/>
          <w:numId w:val="8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Vacation and Vacation Pay</w:t>
      </w:r>
      <w:r>
        <w:rPr>
          <w:rFonts w:ascii="Times New Roman" w:cs="Times New Roman" w:eastAsia="Times New Roman" w:hAnsi="Times New Roman"/>
          <w:sz w:val="22"/>
          <w:szCs w:val="22"/>
          <w:color w:val="auto"/>
        </w:rPr>
        <w:t>. The Employee agrees to take any accrued or earned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unused holidays or working days off during the Notice Period. The Employee is not entitled to any holiday pay (feriegodtgorelse) under the Danish Holiday Act.</w:t>
      </w:r>
    </w:p>
    <w:p>
      <w:pPr>
        <w:spacing w:after="0" w:line="207" w:lineRule="exact"/>
        <w:rPr>
          <w:rFonts w:ascii="Times New Roman" w:cs="Times New Roman" w:eastAsia="Times New Roman" w:hAnsi="Times New Roman"/>
          <w:sz w:val="22"/>
          <w:szCs w:val="22"/>
          <w:b w:val="1"/>
          <w:bCs w:val="1"/>
          <w:color w:val="010000"/>
        </w:rPr>
      </w:pPr>
    </w:p>
    <w:p>
      <w:pPr>
        <w:jc w:val="both"/>
        <w:ind w:left="200" w:right="239" w:firstLine="654"/>
        <w:spacing w:after="0" w:line="235" w:lineRule="auto"/>
        <w:tabs>
          <w:tab w:leader="none" w:pos="1496" w:val="left"/>
        </w:tabs>
        <w:numPr>
          <w:ilvl w:val="0"/>
          <w:numId w:val="8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Payment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payable to the Employee under this Agreement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periods ending on May 31, 2022 will be paid in accordance with the usual salary split, meaning that 60% of the amount is paid in USD from the Company and 40% is paid out of Y-mAbs Denmark in Danish kroner (DKK). Amounts payable to the Employee under this Agreement with respect to periods following May 31, 2022 will be paid 100% out of Y-mAbs Denmark in DKK. The exchange rate for conversion of payments to be made in DKK will be determined semi-annually each 31 December and 30 June of each year (each an “Exchange Rate Date”) and such conversion rate will apply to all payments made thereafter and until the following Exchange Rate Date.</w:t>
      </w:r>
    </w:p>
    <w:p>
      <w:pPr>
        <w:spacing w:after="0" w:line="200" w:lineRule="exact"/>
        <w:rPr>
          <w:rFonts w:ascii="Times New Roman" w:cs="Times New Roman" w:eastAsia="Times New Roman" w:hAnsi="Times New Roman"/>
          <w:sz w:val="22"/>
          <w:szCs w:val="22"/>
          <w:b w:val="1"/>
          <w:bCs w:val="1"/>
          <w:color w:val="010000"/>
        </w:rPr>
      </w:pPr>
    </w:p>
    <w:p>
      <w:pPr>
        <w:jc w:val="both"/>
        <w:ind w:left="200" w:right="259" w:firstLine="654"/>
        <w:spacing w:after="0" w:line="244" w:lineRule="auto"/>
        <w:tabs>
          <w:tab w:leader="none" w:pos="1496" w:val="left"/>
        </w:tabs>
        <w:numPr>
          <w:ilvl w:val="0"/>
          <w:numId w:val="81"/>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u w:val="single" w:color="auto"/>
          <w:color w:val="auto"/>
        </w:rPr>
        <w:t>Insider Trading Compliance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acknowledges and agrees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Insider Trading Compliance Policy shall continue to apply to the Employee until August 24, 2022. Notwithstanding the foregoing, the Employee has been informed that irrespective thereof (i) he may not buy or sell securities of the Company while in possession of material non-public information that he has obtained in connection with his service as an officer or director of the Company or otherwise, (ii) he may not furnish (“tip”) material non-public information about the Company to any person who might trade on the information and (iii) Section 16 of the Securities Exchange Act of 1934, as amended (the “Exchange Act”), including, without limitation, any filing obligations and short swing profit limitations thereunder, may remain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6" w:name="page137"/>
    <w:bookmarkEnd w:id="136"/>
    <w:p>
      <w:pPr>
        <w:ind w:left="200"/>
        <w:spacing w:after="0"/>
        <w:rPr>
          <w:sz w:val="20"/>
          <w:szCs w:val="20"/>
          <w:color w:val="auto"/>
        </w:rPr>
      </w:pPr>
      <w:r>
        <w:rPr>
          <w:rFonts w:ascii="Times New Roman" w:cs="Times New Roman" w:eastAsia="Times New Roman" w:hAnsi="Times New Roman"/>
          <w:sz w:val="22"/>
          <w:szCs w:val="22"/>
          <w:color w:val="auto"/>
        </w:rPr>
        <w:t>applicable to the Employee for up to six (6) months following the termination of service.</w:t>
      </w:r>
    </w:p>
    <w:p>
      <w:pPr>
        <w:spacing w:after="0" w:line="243" w:lineRule="exact"/>
        <w:rPr>
          <w:sz w:val="20"/>
          <w:szCs w:val="20"/>
          <w:color w:val="auto"/>
        </w:rPr>
      </w:pPr>
    </w:p>
    <w:p>
      <w:pPr>
        <w:jc w:val="both"/>
        <w:ind w:left="200" w:right="319" w:firstLine="655"/>
        <w:spacing w:after="0" w:line="241" w:lineRule="auto"/>
        <w:tabs>
          <w:tab w:leader="none" w:pos="1495"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Health Insurance Benefit</w:t>
      </w:r>
      <w:r>
        <w:rPr>
          <w:rFonts w:ascii="Times New Roman" w:cs="Times New Roman" w:eastAsia="Times New Roman" w:hAnsi="Times New Roman"/>
          <w:sz w:val="22"/>
          <w:szCs w:val="22"/>
          <w:color w:val="auto"/>
        </w:rPr>
        <w:t>. Employee is not insured under the laws of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and receives his health insurance coverage under the laws of Denmark. During the Notice Period, Employee will continue to be eligible for health insurance under the same terms as during his employment, with the same deduction or payment made from his monthly salary.</w:t>
      </w:r>
    </w:p>
    <w:p>
      <w:pPr>
        <w:spacing w:after="0" w:line="252" w:lineRule="exact"/>
        <w:rPr>
          <w:rFonts w:ascii="Times New Roman" w:cs="Times New Roman" w:eastAsia="Times New Roman" w:hAnsi="Times New Roman"/>
          <w:sz w:val="22"/>
          <w:szCs w:val="22"/>
          <w:b w:val="1"/>
          <w:bCs w:val="1"/>
          <w:color w:val="010000"/>
        </w:rPr>
      </w:pPr>
    </w:p>
    <w:p>
      <w:pPr>
        <w:jc w:val="both"/>
        <w:ind w:left="200" w:right="359" w:firstLine="655"/>
        <w:spacing w:after="0" w:line="237" w:lineRule="auto"/>
        <w:tabs>
          <w:tab w:leader="none" w:pos="1495"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Stock Options</w:t>
      </w:r>
      <w:r>
        <w:rPr>
          <w:rFonts w:ascii="Times New Roman" w:cs="Times New Roman" w:eastAsia="Times New Roman" w:hAnsi="Times New Roman"/>
          <w:sz w:val="22"/>
          <w:szCs w:val="22"/>
          <w:color w:val="auto"/>
        </w:rPr>
        <w:t>. In further consideration of Employee’s execution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provided the Agreement has become effective, the Company shall allow Employee to continue vesting in all of his stock options which have been granted but not vested as of the Effective Date and consistent with a termination without cause under the Equity Incentive Plan. The Company permits the Employees to transfer his stock options to a holding company wholly owned and controlled by the Employee.</w:t>
      </w:r>
    </w:p>
    <w:p>
      <w:pPr>
        <w:spacing w:after="0" w:line="269" w:lineRule="exact"/>
        <w:rPr>
          <w:rFonts w:ascii="Times New Roman" w:cs="Times New Roman" w:eastAsia="Times New Roman" w:hAnsi="Times New Roman"/>
          <w:sz w:val="22"/>
          <w:szCs w:val="22"/>
          <w:b w:val="1"/>
          <w:bCs w:val="1"/>
          <w:color w:val="010000"/>
        </w:rPr>
      </w:pPr>
    </w:p>
    <w:p>
      <w:pPr>
        <w:jc w:val="both"/>
        <w:ind w:left="200" w:right="359" w:firstLine="655"/>
        <w:spacing w:after="0" w:line="238" w:lineRule="auto"/>
        <w:tabs>
          <w:tab w:leader="none" w:pos="1495"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Housing Allowance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Travel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be entitled to the monthly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housing allowance provided in Paragraph 5.5 of the Service Agreement until the end of the lease term of his residential property located in New York which ended in July 2022. The Company agrees to pay/reimburse for the round-trip airfare (business) CPH-NYC that the Employee made to empty and vacate his apartment when the lease terminated.</w:t>
      </w:r>
    </w:p>
    <w:p>
      <w:pPr>
        <w:spacing w:after="0" w:line="217" w:lineRule="exact"/>
        <w:rPr>
          <w:rFonts w:ascii="Times New Roman" w:cs="Times New Roman" w:eastAsia="Times New Roman" w:hAnsi="Times New Roman"/>
          <w:sz w:val="22"/>
          <w:szCs w:val="22"/>
          <w:b w:val="1"/>
          <w:bCs w:val="1"/>
          <w:color w:val="010000"/>
        </w:rPr>
      </w:pPr>
    </w:p>
    <w:p>
      <w:pPr>
        <w:jc w:val="both"/>
        <w:ind w:left="200" w:right="239" w:firstLine="655"/>
        <w:spacing w:after="0" w:line="248" w:lineRule="auto"/>
        <w:tabs>
          <w:tab w:leader="none" w:pos="1495" w:val="left"/>
        </w:tabs>
        <w:numPr>
          <w:ilvl w:val="0"/>
          <w:numId w:val="82"/>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u w:val="single" w:color="auto"/>
          <w:color w:val="auto"/>
        </w:rPr>
        <w:t>Duty of Confidentiality and 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provisions of Paragraphs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4.1 through 4.9 of the Service Agreement pertaining to the Employee’s duty of confidentiality and (subject to mandatory applicable local Danish law limitations, if any) Paragraph 15.1 through 15.5 of the Service Agreement regarding employment and post- employment restrictions, remain in full force and effect for the full term thereof, (i.e., the Non-Competition Period (as defined therein) of 6 months following the expiry of the Notice Period) and such restrictions and confidentiality obligations are incorporated into this Agreement as if fully set forth herein.</w:t>
      </w:r>
    </w:p>
    <w:p>
      <w:pPr>
        <w:spacing w:after="0" w:line="210" w:lineRule="exact"/>
        <w:rPr>
          <w:rFonts w:ascii="Times New Roman" w:cs="Times New Roman" w:eastAsia="Times New Roman" w:hAnsi="Times New Roman"/>
          <w:sz w:val="21"/>
          <w:szCs w:val="21"/>
          <w:b w:val="1"/>
          <w:bCs w:val="1"/>
          <w:color w:val="010000"/>
        </w:rPr>
      </w:pPr>
    </w:p>
    <w:p>
      <w:pPr>
        <w:jc w:val="both"/>
        <w:ind w:left="200" w:right="259" w:firstLine="655"/>
        <w:spacing w:after="0" w:line="237" w:lineRule="auto"/>
        <w:tabs>
          <w:tab w:leader="none" w:pos="1495"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Benefits Not Otherwise Entitled To / Consideration</w:t>
      </w:r>
      <w:r>
        <w:rPr>
          <w:rFonts w:ascii="Times New Roman" w:cs="Times New Roman" w:eastAsia="Times New Roman" w:hAnsi="Times New Roman"/>
          <w:sz w:val="22"/>
          <w:szCs w:val="22"/>
          <w:color w:val="auto"/>
        </w:rPr>
        <w:t>. Employee 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treatment of his termination as one without cause under the Service Agreement and Equity Incentive Plan, payment for the Notice Period and the Severance Pay, and stock options to which Employee is entitled to under the Service Agreement otherwise exceeds any payment, benefit, or other thing of value to which Employee might otherwise be legally entitled to receive from the Company.</w:t>
      </w:r>
    </w:p>
    <w:p>
      <w:pPr>
        <w:spacing w:after="0" w:line="202" w:lineRule="exact"/>
        <w:rPr>
          <w:rFonts w:ascii="Times New Roman" w:cs="Times New Roman" w:eastAsia="Times New Roman" w:hAnsi="Times New Roman"/>
          <w:sz w:val="22"/>
          <w:szCs w:val="22"/>
          <w:b w:val="1"/>
          <w:bCs w:val="1"/>
          <w:color w:val="010000"/>
        </w:rPr>
      </w:pPr>
    </w:p>
    <w:p>
      <w:pPr>
        <w:jc w:val="both"/>
        <w:ind w:left="200" w:right="299" w:firstLine="655"/>
        <w:spacing w:after="0" w:line="238" w:lineRule="auto"/>
        <w:tabs>
          <w:tab w:leader="none" w:pos="1495"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Acknowledgement of Full Payments</w:t>
      </w:r>
      <w:r>
        <w:rPr>
          <w:rFonts w:ascii="Times New Roman" w:cs="Times New Roman" w:eastAsia="Times New Roman" w:hAnsi="Times New Roman"/>
          <w:sz w:val="22"/>
          <w:szCs w:val="22"/>
          <w:color w:val="auto"/>
        </w:rPr>
        <w:t>. Employee agrees that the Company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all of the salary, bonuses, fees, commissions, expense reimbursements, vacation, sick pay, holiday pay and all other employee benefits due and owing to Employee as a result of Employee’s employment with the Company, and that no other compensation or payments of any kind or nature is owed to Employee, other than as provided in this Agreement.</w:t>
      </w:r>
    </w:p>
    <w:p>
      <w:pPr>
        <w:spacing w:after="0" w:line="217" w:lineRule="exact"/>
        <w:rPr>
          <w:rFonts w:ascii="Times New Roman" w:cs="Times New Roman" w:eastAsia="Times New Roman" w:hAnsi="Times New Roman"/>
          <w:sz w:val="22"/>
          <w:szCs w:val="22"/>
          <w:b w:val="1"/>
          <w:bCs w:val="1"/>
          <w:color w:val="010000"/>
        </w:rPr>
      </w:pPr>
    </w:p>
    <w:p>
      <w:pPr>
        <w:ind w:left="1500" w:hanging="645"/>
        <w:spacing w:after="0"/>
        <w:tabs>
          <w:tab w:leader="none" w:pos="1500" w:val="left"/>
        </w:tabs>
        <w:numPr>
          <w:ilvl w:val="0"/>
          <w:numId w:val="8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General Release</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left="200" w:right="259" w:firstLine="648"/>
        <w:spacing w:after="0" w:line="248" w:lineRule="auto"/>
        <w:rPr>
          <w:sz w:val="20"/>
          <w:szCs w:val="20"/>
          <w:color w:val="auto"/>
        </w:rPr>
      </w:pPr>
      <w:r>
        <w:rPr>
          <w:rFonts w:ascii="Times New Roman" w:cs="Times New Roman" w:eastAsia="Times New Roman" w:hAnsi="Times New Roman"/>
          <w:sz w:val="21"/>
          <w:szCs w:val="21"/>
          <w:color w:val="auto"/>
        </w:rPr>
        <w:t>In consideration of the compensation and benefits set forth herein, the receipt and adequacy of which are hereby acknowledged by Employee, Employee hereby releases and discharges the Company, and each of its respective present, former and future affiliates and related companies, as well as the shareholders, directors, trustees, officers, employees, attorneys, thereof,</w:t>
      </w: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7" w:name="page138"/>
    <w:bookmarkEnd w:id="137"/>
    <w:p>
      <w:pPr>
        <w:jc w:val="both"/>
        <w:ind w:left="200" w:right="259"/>
        <w:spacing w:after="0" w:line="236" w:lineRule="auto"/>
        <w:rPr>
          <w:sz w:val="20"/>
          <w:szCs w:val="20"/>
          <w:color w:val="auto"/>
        </w:rPr>
      </w:pPr>
      <w:r>
        <w:rPr>
          <w:rFonts w:ascii="Times New Roman" w:cs="Times New Roman" w:eastAsia="Times New Roman" w:hAnsi="Times New Roman"/>
          <w:sz w:val="22"/>
          <w:szCs w:val="22"/>
          <w:color w:val="auto"/>
        </w:rPr>
        <w:t>and all their heirs, successors, assigns, and agents (collectively, the “Company Releasees”), from any and all claims, causes of action, suits, debts, controversies, judgments, decrees, damages, liabilities, covenants, contracts and agreements, whether known or unknown, in law or equity, whether statutory or common law, whether federal, state, local or otherwise, including, but not limited to, any claims relating to, or arising out of any aspect of Employee’s employment with the Company, or the termination of such employment, including without limitation:</w:t>
      </w:r>
    </w:p>
    <w:p>
      <w:pPr>
        <w:spacing w:after="0" w:line="209" w:lineRule="exact"/>
        <w:rPr>
          <w:sz w:val="20"/>
          <w:szCs w:val="20"/>
          <w:color w:val="auto"/>
        </w:rPr>
      </w:pPr>
    </w:p>
    <w:p>
      <w:pPr>
        <w:ind w:left="2140" w:hanging="637"/>
        <w:spacing w:after="0"/>
        <w:tabs>
          <w:tab w:leader="none" w:pos="214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claims under any laws of Denmark;</w:t>
      </w:r>
    </w:p>
    <w:p>
      <w:pPr>
        <w:spacing w:after="0" w:line="233" w:lineRule="exact"/>
        <w:rPr>
          <w:rFonts w:ascii="Times New Roman" w:cs="Times New Roman" w:eastAsia="Times New Roman" w:hAnsi="Times New Roman"/>
          <w:sz w:val="22"/>
          <w:szCs w:val="22"/>
          <w:color w:val="010000"/>
        </w:rPr>
      </w:pPr>
    </w:p>
    <w:p>
      <w:pPr>
        <w:jc w:val="both"/>
        <w:ind w:left="200" w:right="239" w:firstLine="1303"/>
        <w:spacing w:after="0" w:line="234" w:lineRule="auto"/>
        <w:tabs>
          <w:tab w:leader="none" w:pos="214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claims arising under laws within the United States, including federal, state, or local statute, including but not limited to, the Age Discrimination in Employment Act of 1967, as amended by the Older Workers Benefit Protection Act (“ADEA”), as amended, Title VII of the Civil Rights Act of 1964, as amended, the Rehabilitation Act of 1973, the Americans with Disabilities Act of 1990, the Civil Rights Act of 1866, the Civil Rights Act of 1991, the Employee Retirement Income Security Act of 1974, the Family Medical Leave Act of 1993, the Immigration Reform and Control Act of 1986, the New York State Executive Law, New York State Human Rights Law, the New York Labor Law, the New York City Human Rights Law, and the New York City Administrative Code, the New Jersey Law Against Discrimination and the New Jersey Labor Law, all as amended;</w:t>
      </w:r>
    </w:p>
    <w:p>
      <w:pPr>
        <w:spacing w:after="0" w:line="219" w:lineRule="exact"/>
        <w:rPr>
          <w:rFonts w:ascii="Times New Roman" w:cs="Times New Roman" w:eastAsia="Times New Roman" w:hAnsi="Times New Roman"/>
          <w:sz w:val="22"/>
          <w:szCs w:val="22"/>
          <w:color w:val="010000"/>
        </w:rPr>
      </w:pPr>
    </w:p>
    <w:p>
      <w:pPr>
        <w:ind w:left="200" w:right="259" w:firstLine="1303"/>
        <w:spacing w:after="0" w:line="258" w:lineRule="auto"/>
        <w:tabs>
          <w:tab w:leader="none" w:pos="214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claims arising under any other federal, state, or local labor law, civil rights law, or human rights law;</w:t>
      </w:r>
    </w:p>
    <w:p>
      <w:pPr>
        <w:spacing w:after="0" w:line="185" w:lineRule="exact"/>
        <w:rPr>
          <w:rFonts w:ascii="Times New Roman" w:cs="Times New Roman" w:eastAsia="Times New Roman" w:hAnsi="Times New Roman"/>
          <w:sz w:val="22"/>
          <w:szCs w:val="22"/>
          <w:color w:val="010000"/>
        </w:rPr>
      </w:pPr>
    </w:p>
    <w:p>
      <w:pPr>
        <w:jc w:val="both"/>
        <w:ind w:left="200" w:right="459" w:firstLine="1303"/>
        <w:spacing w:after="0" w:line="244" w:lineRule="auto"/>
        <w:tabs>
          <w:tab w:leader="none" w:pos="214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claims arising under common law, including, but not limited to, claims for defamation, libel, slander, false imprisonment, breach of contract, or tortious interference with business relations;</w:t>
      </w:r>
    </w:p>
    <w:p>
      <w:pPr>
        <w:spacing w:after="0" w:line="213" w:lineRule="exact"/>
        <w:rPr>
          <w:rFonts w:ascii="Times New Roman" w:cs="Times New Roman" w:eastAsia="Times New Roman" w:hAnsi="Times New Roman"/>
          <w:sz w:val="22"/>
          <w:szCs w:val="22"/>
          <w:color w:val="010000"/>
        </w:rPr>
      </w:pPr>
    </w:p>
    <w:p>
      <w:pPr>
        <w:jc w:val="both"/>
        <w:ind w:left="200" w:right="459" w:firstLine="1303"/>
        <w:spacing w:after="0" w:line="244" w:lineRule="auto"/>
        <w:tabs>
          <w:tab w:leader="none" w:pos="2143"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claims for monetary recovery, including but not limited to, severance pay, back pay, front pay, liquidated, compensatory and punitive damages, attorneys’ fees, disbursements and costs.</w:t>
      </w:r>
    </w:p>
    <w:p>
      <w:pPr>
        <w:spacing w:after="0" w:line="214" w:lineRule="exact"/>
        <w:rPr>
          <w:sz w:val="20"/>
          <w:szCs w:val="20"/>
          <w:color w:val="auto"/>
        </w:rPr>
      </w:pPr>
    </w:p>
    <w:p>
      <w:pPr>
        <w:jc w:val="both"/>
        <w:ind w:left="200" w:right="259"/>
        <w:spacing w:after="0" w:line="238" w:lineRule="auto"/>
        <w:rPr>
          <w:sz w:val="20"/>
          <w:szCs w:val="20"/>
          <w:color w:val="auto"/>
        </w:rPr>
      </w:pPr>
      <w:r>
        <w:rPr>
          <w:rFonts w:ascii="Times New Roman" w:cs="Times New Roman" w:eastAsia="Times New Roman" w:hAnsi="Times New Roman"/>
          <w:sz w:val="22"/>
          <w:szCs w:val="22"/>
          <w:color w:val="auto"/>
        </w:rPr>
        <w:t>To the extent any claim is not releasable, Employee acknowledges that the payments and consideration received hereunder more than offset any monetary sums owing to Employee from any non-releasable claim. Nothing herein shall be construed to prohibit Employee from exercising Employee’s rights as specified in Paragraph 15(c) or shall prevent Employee from enforcing the terms of this Agreement.</w:t>
      </w:r>
    </w:p>
    <w:p>
      <w:pPr>
        <w:spacing w:after="0" w:line="200" w:lineRule="exact"/>
        <w:rPr>
          <w:sz w:val="20"/>
          <w:szCs w:val="20"/>
          <w:color w:val="auto"/>
        </w:rPr>
      </w:pPr>
    </w:p>
    <w:p>
      <w:pPr>
        <w:ind w:left="1500" w:hanging="645"/>
        <w:spacing w:after="0"/>
        <w:tabs>
          <w:tab w:leader="none" w:pos="1500" w:val="left"/>
        </w:tabs>
        <w:numPr>
          <w:ilvl w:val="0"/>
          <w:numId w:val="8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 Claims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010000"/>
        </w:rPr>
      </w:pPr>
    </w:p>
    <w:p>
      <w:pPr>
        <w:jc w:val="both"/>
        <w:ind w:left="200" w:right="259" w:firstLine="1303"/>
        <w:spacing w:after="0" w:line="239" w:lineRule="auto"/>
        <w:tabs>
          <w:tab w:leader="none" w:pos="2143"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further represents that Employee has never commenced or filed and agrees not to commence, file, voluntarily aid or in any way prosecute or cause to be commenced or prosecuted against the Company Releasees any action, charge, complaint or other proceeding, subject to the provisions of Paragraph 15(c).</w:t>
      </w:r>
    </w:p>
    <w:p>
      <w:pPr>
        <w:spacing w:after="0" w:line="220" w:lineRule="exact"/>
        <w:rPr>
          <w:rFonts w:ascii="Times New Roman" w:cs="Times New Roman" w:eastAsia="Times New Roman" w:hAnsi="Times New Roman"/>
          <w:sz w:val="22"/>
          <w:szCs w:val="22"/>
          <w:color w:val="010000"/>
        </w:rPr>
      </w:pPr>
    </w:p>
    <w:p>
      <w:pPr>
        <w:jc w:val="both"/>
        <w:ind w:left="200" w:right="379" w:firstLine="1303"/>
        <w:spacing w:after="0" w:line="236" w:lineRule="auto"/>
        <w:tabs>
          <w:tab w:leader="none" w:pos="2143"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Employee files any civil complaint or commences any litigation of any kind that is covered by the release in this Agreement, Employee shall immediately tender back all consideration received under this Agreement and pay all of the attorney’s fees, expenses and costs incurred by the Company Releasees in connection with the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8" w:name="page139"/>
    <w:bookmarkEnd w:id="138"/>
    <w:p>
      <w:pPr>
        <w:jc w:val="both"/>
        <w:ind w:left="200" w:right="379"/>
        <w:spacing w:after="0" w:line="236" w:lineRule="auto"/>
        <w:rPr>
          <w:sz w:val="20"/>
          <w:szCs w:val="20"/>
          <w:color w:val="auto"/>
        </w:rPr>
      </w:pPr>
      <w:r>
        <w:rPr>
          <w:rFonts w:ascii="Times New Roman" w:cs="Times New Roman" w:eastAsia="Times New Roman" w:hAnsi="Times New Roman"/>
          <w:sz w:val="22"/>
          <w:szCs w:val="22"/>
          <w:color w:val="auto"/>
        </w:rPr>
        <w:t>complaint or action filed, provided that this sentence shall not apply to any claim by Employee that the waiver and release herein of any age discrimination claim was not knowing and voluntary under the ADEA. The Company Releasees shall also have the right of set-off against any obligation to Employee under this Agreement. In addition to the remedies noted above, the Company Releasees may pursue all other remedies available under law or equity to address Employee’s breach of this Agreement.</w:t>
      </w:r>
    </w:p>
    <w:p>
      <w:pPr>
        <w:spacing w:after="0" w:line="222" w:lineRule="exact"/>
        <w:rPr>
          <w:sz w:val="20"/>
          <w:szCs w:val="20"/>
          <w:color w:val="auto"/>
        </w:rPr>
      </w:pPr>
    </w:p>
    <w:p>
      <w:pPr>
        <w:jc w:val="both"/>
        <w:ind w:left="200" w:right="239" w:firstLine="1303"/>
        <w:spacing w:after="0" w:line="245" w:lineRule="auto"/>
        <w:tabs>
          <w:tab w:leader="none" w:pos="2143"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Nothing in this Agreement shall be construed to prohibit Employee from filing a charge with or participating in any investigation or proceeding conducted by the Equal Employment Opportunity Commission, the National Labor Relations Board, the Securities and Exchange Commission, the Occupational Safety and Health Administration or other government agency charged with the enforcement of any law. Notwithstanding the foregoing, Employee agrees to waive Employee’s right to recover monetary damages or any personal relief (including, but not limited to, reinstatement, back pay, front pay, damages, and attorneys’ fees) in connection with any such charge or complaint, as well as with regard to any charge, complaint or lawsuit filed by anyone else on Employee’s behalf, provided this shall not apply to certain claims filed with the Securities and Exchange Commission or with regard to any other claim not releasable as a matter of law. To the extent permissible by law, the Severance Payment will be credited against any sums received by the Employee pursuant to a claim not releasable as a matter of law.</w:t>
      </w:r>
    </w:p>
    <w:p>
      <w:pPr>
        <w:spacing w:after="0" w:line="196" w:lineRule="exact"/>
        <w:rPr>
          <w:rFonts w:ascii="Times New Roman" w:cs="Times New Roman" w:eastAsia="Times New Roman" w:hAnsi="Times New Roman"/>
          <w:sz w:val="21"/>
          <w:szCs w:val="21"/>
          <w:color w:val="010000"/>
        </w:rPr>
      </w:pPr>
    </w:p>
    <w:p>
      <w:pPr>
        <w:jc w:val="both"/>
        <w:ind w:left="200" w:right="439" w:firstLine="655"/>
        <w:spacing w:after="0" w:line="246" w:lineRule="auto"/>
        <w:tabs>
          <w:tab w:leader="none" w:pos="1495" w:val="left"/>
        </w:tabs>
        <w:numPr>
          <w:ilvl w:val="0"/>
          <w:numId w:val="8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Non-Admission of Wrongdoing</w:t>
      </w:r>
      <w:r>
        <w:rPr>
          <w:rFonts w:ascii="Times New Roman" w:cs="Times New Roman" w:eastAsia="Times New Roman" w:hAnsi="Times New Roman"/>
          <w:sz w:val="22"/>
          <w:szCs w:val="22"/>
          <w:color w:val="auto"/>
        </w:rPr>
        <w:t>. This Agreement shall not in any way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as an admission by the Company of any liability, or of any unlawful, discriminatory, or otherwise wrongful acts whatsoever against Employee or any other person.</w:t>
      </w:r>
    </w:p>
    <w:p>
      <w:pPr>
        <w:spacing w:after="0" w:line="207" w:lineRule="exact"/>
        <w:rPr>
          <w:rFonts w:ascii="Times New Roman" w:cs="Times New Roman" w:eastAsia="Times New Roman" w:hAnsi="Times New Roman"/>
          <w:sz w:val="22"/>
          <w:szCs w:val="22"/>
          <w:b w:val="1"/>
          <w:bCs w:val="1"/>
          <w:color w:val="010000"/>
        </w:rPr>
      </w:pPr>
    </w:p>
    <w:p>
      <w:pPr>
        <w:ind w:left="200" w:right="439" w:firstLine="655"/>
        <w:spacing w:after="0" w:line="262" w:lineRule="auto"/>
        <w:tabs>
          <w:tab w:leader="none" w:pos="1495" w:val="left"/>
        </w:tabs>
        <w:numPr>
          <w:ilvl w:val="0"/>
          <w:numId w:val="8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Knowing and Voluntary Waiver</w:t>
      </w:r>
      <w:r>
        <w:rPr>
          <w:rFonts w:ascii="Times New Roman" w:cs="Times New Roman" w:eastAsia="Times New Roman" w:hAnsi="Times New Roman"/>
          <w:sz w:val="22"/>
          <w:szCs w:val="22"/>
          <w:color w:val="auto"/>
        </w:rPr>
        <w:t>. Notwithstanding any other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the contrary:</w:t>
      </w:r>
    </w:p>
    <w:p>
      <w:pPr>
        <w:spacing w:after="0" w:line="194" w:lineRule="exact"/>
        <w:rPr>
          <w:rFonts w:ascii="Times New Roman" w:cs="Times New Roman" w:eastAsia="Times New Roman" w:hAnsi="Times New Roman"/>
          <w:sz w:val="22"/>
          <w:szCs w:val="22"/>
          <w:b w:val="1"/>
          <w:bCs w:val="1"/>
          <w:color w:val="010000"/>
        </w:rPr>
      </w:pPr>
    </w:p>
    <w:p>
      <w:pPr>
        <w:ind w:left="200" w:right="279" w:firstLine="1303"/>
        <w:spacing w:after="0" w:line="258" w:lineRule="auto"/>
        <w:tabs>
          <w:tab w:leader="none" w:pos="2143"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agrees that this Agreement constitutes a knowing and voluntary waiver of all rights or claims Employee may have against the Company Releasees.</w:t>
      </w:r>
    </w:p>
    <w:p>
      <w:pPr>
        <w:spacing w:after="0" w:line="185" w:lineRule="exact"/>
        <w:rPr>
          <w:rFonts w:ascii="Times New Roman" w:cs="Times New Roman" w:eastAsia="Times New Roman" w:hAnsi="Times New Roman"/>
          <w:sz w:val="22"/>
          <w:szCs w:val="22"/>
          <w:color w:val="010000"/>
        </w:rPr>
      </w:pPr>
    </w:p>
    <w:p>
      <w:pPr>
        <w:jc w:val="both"/>
        <w:ind w:left="200" w:right="319" w:firstLine="1303"/>
        <w:spacing w:after="0" w:line="233" w:lineRule="auto"/>
        <w:tabs>
          <w:tab w:leader="none" w:pos="2143"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hereby advises Employee to consult with an attorney, prior to executing this Agreement. Employee acknowledges that the Company has given Employee a reasonable period of time of at least 21 days in which to consider this Agreement before executing this Agreement. If Employee executes this Agreement at any time prior to the end of the 21-day period that the Company gave Employee in which to consider this Agreement, such early execution was a knowing and voluntary waiver of Employee’s right to consider this Agreement for 21 days. Employee has a period of seven days following Employee’s execution of this Agreement to revoke this Agreement by providing a letter to Sune R. Nyland, Vice President, General Counsel of Y-mAbs Therapeutics, Inc. (or his successor), stating Employee’s intent to revoke this Agreement. The Agreement shall become effective on the eighth day after Employee executes this Agreement, unless Employee revokes it prior thereto as afore-stated (“Effective Date”).</w:t>
      </w:r>
    </w:p>
    <w:p>
      <w:pPr>
        <w:spacing w:after="0" w:line="292" w:lineRule="exact"/>
        <w:rPr>
          <w:rFonts w:ascii="Times New Roman" w:cs="Times New Roman" w:eastAsia="Times New Roman" w:hAnsi="Times New Roman"/>
          <w:sz w:val="22"/>
          <w:szCs w:val="22"/>
          <w:color w:val="010000"/>
        </w:rPr>
      </w:pPr>
    </w:p>
    <w:p>
      <w:pPr>
        <w:jc w:val="both"/>
        <w:ind w:left="200" w:right="459" w:firstLine="1303"/>
        <w:spacing w:after="0" w:line="238" w:lineRule="auto"/>
        <w:tabs>
          <w:tab w:leader="none" w:pos="2143"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Employee’s acceptance of the payments and/or benefits described in Paragraph 1, 3, 4, and 5 of this Agreement at any time subsequent to seven days after Employee’s execution of this Agreement, shall constitute an admission by Employee that</w:t>
      </w:r>
    </w:p>
    <w:p>
      <w:pPr>
        <w:ind w:left="200"/>
        <w:spacing w:after="0" w:line="233" w:lineRule="auto"/>
        <w:rPr>
          <w:sz w:val="20"/>
          <w:szCs w:val="20"/>
          <w:color w:val="auto"/>
        </w:rPr>
      </w:pPr>
      <w:r>
        <w:rPr>
          <w:rFonts w:ascii="Times New Roman" w:cs="Times New Roman" w:eastAsia="Times New Roman" w:hAnsi="Times New Roman"/>
          <w:sz w:val="22"/>
          <w:szCs w:val="22"/>
          <w:color w:val="auto"/>
        </w:rPr>
        <w:t>Employee did not revoke this Agreement during the revocation period of seven days, and shall</w:t>
      </w: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9" w:name="page140"/>
    <w:bookmarkEnd w:id="139"/>
    <w:p>
      <w:pPr>
        <w:ind w:left="200" w:right="459"/>
        <w:spacing w:after="0" w:line="258" w:lineRule="auto"/>
        <w:rPr>
          <w:sz w:val="20"/>
          <w:szCs w:val="20"/>
          <w:color w:val="auto"/>
        </w:rPr>
      </w:pPr>
      <w:r>
        <w:rPr>
          <w:rFonts w:ascii="Times New Roman" w:cs="Times New Roman" w:eastAsia="Times New Roman" w:hAnsi="Times New Roman"/>
          <w:sz w:val="22"/>
          <w:szCs w:val="22"/>
          <w:color w:val="auto"/>
        </w:rPr>
        <w:t>further constitute an admission by Employee that this Agreement has become effective and enforceable as of the Effective Date.</w:t>
      </w:r>
    </w:p>
    <w:p>
      <w:pPr>
        <w:spacing w:after="0" w:line="195" w:lineRule="exact"/>
        <w:rPr>
          <w:sz w:val="20"/>
          <w:szCs w:val="20"/>
          <w:color w:val="auto"/>
        </w:rPr>
      </w:pPr>
    </w:p>
    <w:p>
      <w:pPr>
        <w:jc w:val="both"/>
        <w:ind w:left="200" w:right="219" w:firstLine="655"/>
        <w:spacing w:after="0" w:line="232" w:lineRule="auto"/>
        <w:tabs>
          <w:tab w:leader="none" w:pos="1495" w:val="left"/>
        </w:tabs>
        <w:numPr>
          <w:ilvl w:val="0"/>
          <w:numId w:val="8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Non-Disclosure of Confidential Information</w:t>
      </w:r>
      <w:r>
        <w:rPr>
          <w:rFonts w:ascii="Times New Roman" w:cs="Times New Roman" w:eastAsia="Times New Roman" w:hAnsi="Times New Roman"/>
          <w:sz w:val="22"/>
          <w:szCs w:val="22"/>
          <w:color w:val="auto"/>
        </w:rPr>
        <w:t>. Employee agrees that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without the prior written consent of the applicable Company Releasee, either directly or indirectly, transmit or disclose to any person or entity any Confidential Information (as defined below) or use any Confidential Information for Employee’s own benefit or the benefit of any other person or entity, or to the detriment of the Company Releasees, except this shall not prevent Employee from making statements to the extent required by applicable law to respond to an order or subpoena of a court of competent jurisdiction or in response to any subpoena issued by a state or federal governmental agency; provided that Employee will provide the Company with prompt notice of any such legal requirement so that the Company or its designee may seek a protective order or other appropriate remedy. Notice is not required where disclosure is required by any governmental agency that directs Employee to refrain from notifying the Company or with regard to matters before the Securities and Exchange Commission. “Confidential Information” shall include all information specified in Paragraph 4.1 of the Service Agreement, in addition to any non-public or personal information pertaining to the Company Releasees disclosed to Employee or developed or learned by Employee during the course of or as a result of Employee’s employment with, or Employee’s provision of legal and other Service to, any of the Company Releasees, including, but not limited to information such as: (i) personnel data, including compensation, policies and benefits; (ii) corporate and personal financial information, (iii) corporate marketing plans and strategies; (iv) any legal issues, strategies or privileged information; and (iv) any business, personal or financial information relating in any way to the Company. Nothing in this Paragraph 17 shall be construed to prohibit Employee from exercising Employee’s rights as specified in Paragraph 15(c).</w:t>
      </w:r>
    </w:p>
    <w:p>
      <w:pPr>
        <w:spacing w:after="0" w:line="209" w:lineRule="exact"/>
        <w:rPr>
          <w:rFonts w:ascii="Times New Roman" w:cs="Times New Roman" w:eastAsia="Times New Roman" w:hAnsi="Times New Roman"/>
          <w:sz w:val="22"/>
          <w:szCs w:val="22"/>
          <w:b w:val="1"/>
          <w:bCs w:val="1"/>
          <w:color w:val="010000"/>
        </w:rPr>
      </w:pPr>
    </w:p>
    <w:p>
      <w:pPr>
        <w:jc w:val="both"/>
        <w:ind w:left="200" w:right="279" w:firstLine="655"/>
        <w:spacing w:after="0" w:line="244" w:lineRule="auto"/>
        <w:tabs>
          <w:tab w:leader="none" w:pos="1495" w:val="left"/>
        </w:tabs>
        <w:numPr>
          <w:ilvl w:val="0"/>
          <w:numId w:val="87"/>
        </w:numPr>
        <w:rPr>
          <w:rFonts w:ascii="Times New Roman" w:cs="Times New Roman" w:eastAsia="Times New Roman" w:hAnsi="Times New Roman"/>
          <w:sz w:val="21"/>
          <w:szCs w:val="21"/>
          <w:b w:val="1"/>
          <w:bCs w:val="1"/>
          <w:color w:val="010000"/>
        </w:rPr>
      </w:pPr>
      <w:r>
        <w:rPr>
          <w:rFonts w:ascii="Times New Roman" w:cs="Times New Roman" w:eastAsia="Times New Roman" w:hAnsi="Times New Roman"/>
          <w:sz w:val="21"/>
          <w:szCs w:val="21"/>
          <w:b w:val="1"/>
          <w:bCs w:val="1"/>
          <w:u w:val="single" w:color="auto"/>
          <w:color w:val="auto"/>
        </w:rPr>
        <w:t>Non-Disclosure of Agreement Terms</w:t>
      </w:r>
      <w:r>
        <w:rPr>
          <w:rFonts w:ascii="Times New Roman" w:cs="Times New Roman" w:eastAsia="Times New Roman" w:hAnsi="Times New Roman"/>
          <w:sz w:val="21"/>
          <w:szCs w:val="21"/>
          <w:color w:val="auto"/>
        </w:rPr>
        <w:t>. Subject to mandatory applicable local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Danish law limitations, if any, the Employee agrees to keep all terms of this Agreement, and all facts and claims leading up to this Agreement’s negotiation and execution, confidential and shall not divulge or discuss them with anyone, except as required by law or to members of Employee’s immediate family, Employee’s attorney and accountant, if Employee assures that they will keep the terms strictly confidential. This shall not prevent Employee from making statements to the extent required by applicable law to respond to an order or subpoena of a court of competent jurisdiction or in response to any subpoena issued by a state or federal governmental agency, provided that Employee will provide the Company with prompt notice of any such legal requirement so that the Company or its designee may seek a protective order or other appropriate remedy. Notice is not required where disclosure is required by any governmental agency that directs Employee to refrain from notifying the Company or with regard to matters before the Securities and Exchange Commission. Nothing in this Paragraph 19 shall be construed to prohibit Employee from exercising Employee’s rights as specified in Paragraph 15(c).</w:t>
      </w:r>
    </w:p>
    <w:p>
      <w:pPr>
        <w:spacing w:after="0" w:line="221" w:lineRule="exact"/>
        <w:rPr>
          <w:rFonts w:ascii="Times New Roman" w:cs="Times New Roman" w:eastAsia="Times New Roman" w:hAnsi="Times New Roman"/>
          <w:sz w:val="21"/>
          <w:szCs w:val="21"/>
          <w:b w:val="1"/>
          <w:bCs w:val="1"/>
          <w:color w:val="010000"/>
        </w:rPr>
      </w:pPr>
    </w:p>
    <w:p>
      <w:pPr>
        <w:jc w:val="both"/>
        <w:ind w:left="200" w:right="259" w:firstLine="655"/>
        <w:spacing w:after="0" w:line="237" w:lineRule="auto"/>
        <w:tabs>
          <w:tab w:leader="none" w:pos="1495" w:val="left"/>
        </w:tabs>
        <w:numPr>
          <w:ilvl w:val="0"/>
          <w:numId w:val="8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Job Reference</w:t>
      </w:r>
      <w:r>
        <w:rPr>
          <w:rFonts w:ascii="Times New Roman" w:cs="Times New Roman" w:eastAsia="Times New Roman" w:hAnsi="Times New Roman"/>
          <w:sz w:val="22"/>
          <w:szCs w:val="22"/>
          <w:color w:val="auto"/>
        </w:rPr>
        <w:t>. The Company will respond to inquiries from other employers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entities regarding Employee. Responses to such inquiries will only confirm the accuracy of factual data concerning dates of employment and position held. The Company will not discuss the reasons for Employee’s termination or its evaluation of Employee’s performance.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0" w:name="page141"/>
    <w:bookmarkEnd w:id="140"/>
    <w:p>
      <w:pPr>
        <w:jc w:val="both"/>
        <w:ind w:left="200" w:right="239" w:firstLine="655"/>
        <w:spacing w:after="0" w:line="235" w:lineRule="auto"/>
        <w:tabs>
          <w:tab w:leader="none" w:pos="1495" w:val="left"/>
        </w:tabs>
        <w:numPr>
          <w:ilvl w:val="0"/>
          <w:numId w:val="8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Return of Company Property</w:t>
      </w:r>
      <w:r>
        <w:rPr>
          <w:rFonts w:ascii="Times New Roman" w:cs="Times New Roman" w:eastAsia="Times New Roman" w:hAnsi="Times New Roman"/>
          <w:sz w:val="22"/>
          <w:szCs w:val="22"/>
          <w:color w:val="auto"/>
        </w:rPr>
        <w:t>. Employee acknowledges that Employee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returned to the Company the building pass and all keys, along with Employee’s laptop computer, cell phone, any other documents or other items belonging to the Company in Employee’s possession, including all property and information specified in Paragraphs 4.2 and 6.2 of the Service Agreement. Employee further acknowledges that Employee has returned all intellectual property and computer passwords and account information and has kept no copies or any information belonging to the Company. Company agrees that the Employee can keep his mobile phone and number which is his personal property. The Company acknowledges that Employee’s Company issued laptop, keys and key cards have been delivered to the Company.</w:t>
      </w:r>
    </w:p>
    <w:p>
      <w:pPr>
        <w:spacing w:after="0" w:line="21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Pursuant to Paragraph 6.2 of the Service Agreement, during the Notice Period, Employee will receive compensation equal to the taxable value of Employee’s returned mobile phone and laptop in the amount of ($429/12) $36 per month.</w:t>
      </w:r>
    </w:p>
    <w:p>
      <w:pPr>
        <w:spacing w:after="0" w:line="210" w:lineRule="exact"/>
        <w:rPr>
          <w:sz w:val="20"/>
          <w:szCs w:val="20"/>
          <w:color w:val="auto"/>
        </w:rPr>
      </w:pPr>
    </w:p>
    <w:p>
      <w:pPr>
        <w:jc w:val="both"/>
        <w:ind w:left="200" w:right="339" w:firstLine="655"/>
        <w:spacing w:after="0" w:line="232" w:lineRule="auto"/>
        <w:tabs>
          <w:tab w:leader="none" w:pos="1495" w:val="left"/>
        </w:tabs>
        <w:numPr>
          <w:ilvl w:val="0"/>
          <w:numId w:val="8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Employee agrees to cooperate with the Company Releasees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any claims, complaints, charges, actions, lawsuits or similar proceedings which may be brought against the Company Releasees at any time during the Notice Period, and thereafter at reasonable times and subject to Employee’s availability subsequent to the Termination Date. Employee will be available to cooperate fully with counsel or other representatives as needed, unless otherwise required by law. Employee also agrees to promptly notify Sune R. Nyland, Vice President, General Counsel or his successor, by telephone and in writing of any contacts by an attorney or third party relating to legal proceedings commenced or to be commenced against any of the Company Releasees. Employee agrees not to cooperate directly or indirectly in any way with any party bringing a claim against a Company Releasee, unless Employee’s action is required by law or governmental agency, in which case Employee shall promptly give notice to the Company of such legal requirement, so that the Company or its designee may seek a protective order or other appropriate remedy. Notice is not required where the action is required by a governmental agency that directs Employee to refrain from notifying the Company or in connection with a matter before the Securities and Exchange Commission. Nothing in this Paragraph 22 shall be construed to prohibit Employee from exercising Employee’s rights as specified in Paragraph 15(c).</w:t>
      </w:r>
    </w:p>
    <w:p>
      <w:pPr>
        <w:spacing w:after="0" w:line="216" w:lineRule="exact"/>
        <w:rPr>
          <w:rFonts w:ascii="Times New Roman" w:cs="Times New Roman" w:eastAsia="Times New Roman" w:hAnsi="Times New Roman"/>
          <w:sz w:val="22"/>
          <w:szCs w:val="22"/>
          <w:b w:val="1"/>
          <w:bCs w:val="1"/>
          <w:color w:val="010000"/>
        </w:rPr>
      </w:pPr>
    </w:p>
    <w:p>
      <w:pPr>
        <w:jc w:val="both"/>
        <w:ind w:left="200" w:right="219" w:firstLine="655"/>
        <w:spacing w:after="0" w:line="233" w:lineRule="auto"/>
        <w:tabs>
          <w:tab w:leader="none" w:pos="1495" w:val="left"/>
        </w:tabs>
        <w:numPr>
          <w:ilvl w:val="0"/>
          <w:numId w:val="8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Employee agrees that Employee will not, whether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make any disparaging remarks, in writing, orally, or otherwise, about any of the Company Releasees, their business or personal practices, operations, or properties, except as may be required by law and agrees and recommits to Employee’s commitments on no disparagement as set forth in Paragraph 15.5 of the Service Agreement, which is incorporated by referenced herein. The Company’s Board or Executive Management will not make statements or representations, or otherwise communicate, directly or indirectly, in writing, orally, or otherwise, or take any action which may, directly or indirectly, disparage Employee’s reputation. Notwithstanding the foregoing, nothing in this Agreement shall preclude Employee, a representative of the Company, or the Company’s Board from making truthful statements or disclosures that are required by applicable law, regulation or legal process. This restriction is subject to and limited by Employee’s Retained Rights in Paragraph 15 above.</w:t>
      </w:r>
    </w:p>
    <w:p>
      <w:pPr>
        <w:spacing w:after="0" w:line="225" w:lineRule="exact"/>
        <w:rPr>
          <w:rFonts w:ascii="Times New Roman" w:cs="Times New Roman" w:eastAsia="Times New Roman" w:hAnsi="Times New Roman"/>
          <w:sz w:val="22"/>
          <w:szCs w:val="22"/>
          <w:b w:val="1"/>
          <w:bCs w:val="1"/>
          <w:color w:val="010000"/>
        </w:rPr>
      </w:pPr>
    </w:p>
    <w:p>
      <w:pPr>
        <w:ind w:left="200" w:right="439" w:firstLine="655"/>
        <w:spacing w:after="0" w:line="245" w:lineRule="auto"/>
        <w:tabs>
          <w:tab w:leader="none" w:pos="1495" w:val="left"/>
        </w:tabs>
        <w:numPr>
          <w:ilvl w:val="0"/>
          <w:numId w:val="8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Pursuant to Paragraphs 13.2 and 13.3 of the Service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will be covered by the directors’ liability insurance of the Company and its affiliates</w:t>
      </w: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41" w:name="page142"/>
    <w:bookmarkEnd w:id="141"/>
    <w:p>
      <w:pPr>
        <w:ind w:left="200" w:right="259"/>
        <w:spacing w:after="0" w:line="258" w:lineRule="auto"/>
        <w:rPr>
          <w:sz w:val="20"/>
          <w:szCs w:val="20"/>
          <w:color w:val="auto"/>
        </w:rPr>
      </w:pPr>
      <w:r>
        <w:rPr>
          <w:rFonts w:ascii="Times New Roman" w:cs="Times New Roman" w:eastAsia="Times New Roman" w:hAnsi="Times New Roman"/>
          <w:sz w:val="22"/>
          <w:szCs w:val="22"/>
          <w:color w:val="auto"/>
        </w:rPr>
        <w:t>for five (5) years following the Notice Period, and the Company shall not restrict the Employee from reporting any such claim directly to the insurer.</w:t>
      </w:r>
    </w:p>
    <w:p>
      <w:pPr>
        <w:spacing w:after="0" w:line="195" w:lineRule="exact"/>
        <w:rPr>
          <w:sz w:val="20"/>
          <w:szCs w:val="20"/>
          <w:color w:val="auto"/>
        </w:rPr>
      </w:pPr>
    </w:p>
    <w:p>
      <w:pPr>
        <w:jc w:val="both"/>
        <w:ind w:left="200" w:right="299" w:firstLine="655"/>
        <w:spacing w:after="0" w:line="241"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Officer and Director Indemnification Agreement, dated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February 5, 2018, by and between the Employee and the Company shall remain in full force and effect in accordance with its terms after the termination of the Service Agreement and the Notice Period.</w:t>
      </w:r>
    </w:p>
    <w:p>
      <w:pPr>
        <w:spacing w:after="0" w:line="212" w:lineRule="exact"/>
        <w:rPr>
          <w:rFonts w:ascii="Times New Roman" w:cs="Times New Roman" w:eastAsia="Times New Roman" w:hAnsi="Times New Roman"/>
          <w:sz w:val="22"/>
          <w:szCs w:val="22"/>
          <w:b w:val="1"/>
          <w:bCs w:val="1"/>
          <w:color w:val="010000"/>
        </w:rPr>
      </w:pPr>
    </w:p>
    <w:p>
      <w:pPr>
        <w:jc w:val="both"/>
        <w:ind w:left="200" w:right="299" w:firstLine="655"/>
        <w:spacing w:after="0" w:line="235"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Breach; Attorneys’ Fees</w:t>
      </w:r>
      <w:r>
        <w:rPr>
          <w:rFonts w:ascii="Times New Roman" w:cs="Times New Roman" w:eastAsia="Times New Roman" w:hAnsi="Times New Roman"/>
          <w:sz w:val="22"/>
          <w:szCs w:val="22"/>
          <w:color w:val="auto"/>
        </w:rPr>
        <w:t>. Employee acknowledges and agrees that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this Agreement, unless such breach constitutes a legal action by Employee challenging or seeking a determination in good faith of the validity of the waiver herein under the ADEA shall entitle the Company immediately to recover and/or cease providing the consideration provided to Employee under this Agreement and to obtain damages and injunctive relief. The parties will bear their own costs and expenses, including the costs of mediation, arbitration, litigation, court fees, and reasonable attorneys’ fees incurred in connection with any action brought to enforce or effect rights under this Agreement.</w:t>
      </w:r>
    </w:p>
    <w:p>
      <w:pPr>
        <w:spacing w:after="0" w:line="205" w:lineRule="exact"/>
        <w:rPr>
          <w:rFonts w:ascii="Times New Roman" w:cs="Times New Roman" w:eastAsia="Times New Roman" w:hAnsi="Times New Roman"/>
          <w:sz w:val="22"/>
          <w:szCs w:val="22"/>
          <w:b w:val="1"/>
          <w:bCs w:val="1"/>
          <w:color w:val="010000"/>
        </w:rPr>
      </w:pPr>
    </w:p>
    <w:p>
      <w:pPr>
        <w:jc w:val="both"/>
        <w:ind w:left="200" w:right="299" w:firstLine="655"/>
        <w:spacing w:after="0" w:line="234"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Entire Contract/Severability/Modification</w:t>
      </w:r>
      <w:r>
        <w:rPr>
          <w:rFonts w:ascii="Times New Roman" w:cs="Times New Roman" w:eastAsia="Times New Roman" w:hAnsi="Times New Roman"/>
          <w:sz w:val="22"/>
          <w:szCs w:val="22"/>
          <w:color w:val="auto"/>
        </w:rPr>
        <w:t>. This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Employee and the Company and supersedes in its entirety any and all prior agreements, understandings or representations with any Company Releasee relating to Employee’s employment or the subject matter hereof and may not be modified orally, except for the Equity Incentive Plan and those provisions of the Service Agreement incorporated by reference herein. Should any provision of this Agreement be found to be overbroad, or declared or determined by a court to be illegal or invalid, the court shall have the power to modify this Agreement so that it conforms with prevailing law and the validity of the remaining parts, terms or provisions shall not be affected thereby. Employee represents that in executing this Agreement, Employee does not rely on any statement or fact not set forth herein. This Agreement may not be modified except by a writing signed by both parties hereto.</w:t>
      </w:r>
    </w:p>
    <w:p>
      <w:pPr>
        <w:spacing w:after="0" w:line="202" w:lineRule="exact"/>
        <w:rPr>
          <w:rFonts w:ascii="Times New Roman" w:cs="Times New Roman" w:eastAsia="Times New Roman" w:hAnsi="Times New Roman"/>
          <w:sz w:val="22"/>
          <w:szCs w:val="22"/>
          <w:b w:val="1"/>
          <w:bCs w:val="1"/>
          <w:color w:val="010000"/>
        </w:rPr>
      </w:pPr>
    </w:p>
    <w:p>
      <w:pPr>
        <w:jc w:val="both"/>
        <w:ind w:left="200" w:right="279" w:firstLine="655"/>
        <w:spacing w:after="0" w:line="235"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Governing Law; Consent to Personal Jurisdiction</w:t>
      </w:r>
      <w:r>
        <w:rPr>
          <w:rFonts w:ascii="Times New Roman" w:cs="Times New Roman" w:eastAsia="Times New Roman" w:hAnsi="Times New Roman"/>
          <w:sz w:val="22"/>
          <w:szCs w:val="22"/>
          <w:color w:val="auto"/>
        </w:rPr>
        <w:t>.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and construed in accordance with the laws of the State of New York applicable to contracts to be performed exclusively therein without regard to the choice of law provisions thereof. The parties expressly consent to the personal jurisdiction and venue of the state and federal courts located in New York for any lawsuit filed there against either party arising from or related to this Agreement. This Agreement will not be construed against any party on the ground that it was the drafter of the Agreement or any particular provision. All captions and headings herein contained are inserted for convenience of reference only and shall not affect the meaning or interpretation of this Agreement.</w:t>
      </w:r>
    </w:p>
    <w:p>
      <w:pPr>
        <w:spacing w:after="0" w:line="200" w:lineRule="exact"/>
        <w:rPr>
          <w:rFonts w:ascii="Times New Roman" w:cs="Times New Roman" w:eastAsia="Times New Roman" w:hAnsi="Times New Roman"/>
          <w:sz w:val="22"/>
          <w:szCs w:val="22"/>
          <w:b w:val="1"/>
          <w:bCs w:val="1"/>
          <w:color w:val="010000"/>
        </w:rPr>
      </w:pPr>
    </w:p>
    <w:p>
      <w:pPr>
        <w:jc w:val="both"/>
        <w:ind w:left="200" w:right="399" w:firstLine="655"/>
        <w:spacing w:after="0" w:line="238"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to be given hereunder will be deemed sufficient if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delivered either personally, via email, courier or overnight delivery service all with proof of delivery, or if sent by certified mail, return receipt requested, to the Company to the attention of Sune R. Nyland, Vice President, General Counsel, at 230 Park Avenue, Suite 3350, New York, NY 10169 (or his successor), and to Employee at [***].</w:t>
      </w:r>
    </w:p>
    <w:p>
      <w:pPr>
        <w:spacing w:after="0" w:line="217" w:lineRule="exact"/>
        <w:rPr>
          <w:rFonts w:ascii="Times New Roman" w:cs="Times New Roman" w:eastAsia="Times New Roman" w:hAnsi="Times New Roman"/>
          <w:sz w:val="22"/>
          <w:szCs w:val="22"/>
          <w:b w:val="1"/>
          <w:bCs w:val="1"/>
          <w:color w:val="010000"/>
        </w:rPr>
      </w:pPr>
    </w:p>
    <w:p>
      <w:pPr>
        <w:ind w:left="200" w:right="279" w:firstLine="655"/>
        <w:spacing w:after="0" w:line="245" w:lineRule="auto"/>
        <w:tabs>
          <w:tab w:leader="none" w:pos="1495" w:val="left"/>
        </w:tabs>
        <w:numPr>
          <w:ilvl w:val="0"/>
          <w:numId w:val="9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Section 409A/Danish Tax</w:t>
      </w:r>
      <w:r>
        <w:rPr>
          <w:rFonts w:ascii="Times New Roman" w:cs="Times New Roman" w:eastAsia="Times New Roman" w:hAnsi="Times New Roman"/>
          <w:sz w:val="22"/>
          <w:szCs w:val="22"/>
          <w:color w:val="auto"/>
        </w:rPr>
        <w:t>. The intent of the Parties is that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exempt from or comply with Internal Revenue Code Section 409A and</w:t>
      </w: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927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142" w:name="page143"/>
    <w:bookmarkEnd w:id="142"/>
    <w:p>
      <w:pPr>
        <w:jc w:val="both"/>
        <w:ind w:left="200" w:right="279"/>
        <w:spacing w:after="0" w:line="248" w:lineRule="auto"/>
        <w:rPr>
          <w:sz w:val="20"/>
          <w:szCs w:val="20"/>
          <w:color w:val="auto"/>
        </w:rPr>
      </w:pPr>
      <w:r>
        <w:rPr>
          <w:rFonts w:ascii="Times New Roman" w:cs="Times New Roman" w:eastAsia="Times New Roman" w:hAnsi="Times New Roman"/>
          <w:sz w:val="21"/>
          <w:szCs w:val="21"/>
          <w:color w:val="auto"/>
        </w:rPr>
        <w:t>applicable guidance promulgated thereunder (collectively “Code Section 409A”) and, accordingly, to the maximum extent permitted, this Agreement shall be interpreted to be exempt from or in compliance with Code Section 409A. In no event whatsoever shall the Company be liable for any additional tax, interest or penalties that may be imposed on the Employee by Code Section 409A or any damages for failing to comply with Code Section 409A. For purposes of the application of Section 409A, each payment in a series of payments will be deemed a separate payment. Any Danish tax implications of this Agreement for the Employee are of no concern to the Company.</w:t>
      </w:r>
    </w:p>
    <w:p>
      <w:pPr>
        <w:spacing w:after="0" w:line="261" w:lineRule="exact"/>
        <w:rPr>
          <w:sz w:val="20"/>
          <w:szCs w:val="20"/>
          <w:color w:val="auto"/>
        </w:rPr>
      </w:pPr>
    </w:p>
    <w:p>
      <w:pPr>
        <w:jc w:val="both"/>
        <w:ind w:left="200" w:right="519" w:firstLine="655"/>
        <w:spacing w:after="0" w:line="235" w:lineRule="auto"/>
        <w:tabs>
          <w:tab w:leader="none" w:pos="1495" w:val="left"/>
        </w:tabs>
        <w:numPr>
          <w:ilvl w:val="0"/>
          <w:numId w:val="9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Employee expressly acknowledges and agrees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has carefully read this Agreement; that Employee fully understands the terms, conditions and significance of this Agreement; that the Company has advised Employee of Employee’s right to consult with an attorney concerning this Agreement; that Employee had a period of at least 21 days to review this Agreement with an attorney before executing it; that Employee had a period of seven days following execution of the Agreement to revoke this Agreement; and that Employee has executed this Agreement voluntarily, knowingly and with such advice of an attorney as Employee has deemed appropriate.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356870</wp:posOffset>
            </wp:positionV>
            <wp:extent cx="558927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3" w:name="page144"/>
    <w:bookmarkEnd w:id="143"/>
    <w:p>
      <w:pPr>
        <w:ind w:left="100" w:right="1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duly authorized representatives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Y-MABS THERAPEUTICS, INC.</w:t>
            </w:r>
          </w:p>
        </w:tc>
        <w:tc>
          <w:tcPr>
            <w:tcW w:w="42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CLAUS JUAN MØLLER SAN PEDRO</w:t>
            </w:r>
          </w:p>
        </w:tc>
      </w:tr>
      <w:tr>
        <w:trPr>
          <w:trHeight w:val="433"/>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By:_/s/ Thomas Gad ________________</w:t>
            </w:r>
          </w:p>
        </w:tc>
        <w:tc>
          <w:tcPr>
            <w:tcW w:w="4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7"/>
              </w:rPr>
              <w:t>By:_/s/ Claus Juan Møller San Pedro _____</w:t>
            </w:r>
          </w:p>
        </w:tc>
      </w:tr>
      <w:tr>
        <w:trPr>
          <w:trHeight w:val="20"/>
        </w:trPr>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18"/>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Thomas Gad</w:t>
            </w:r>
          </w:p>
        </w:tc>
        <w:tc>
          <w:tcPr>
            <w:tcW w:w="4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Name: Claus Juan Møller San Pedro</w:t>
            </w:r>
          </w:p>
        </w:tc>
      </w:tr>
      <w:tr>
        <w:trPr>
          <w:trHeight w:val="447"/>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Founder, President, Interim Chief</w:t>
            </w: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Executive Officer and Head of Business</w:t>
            </w:r>
          </w:p>
        </w:tc>
        <w:tc>
          <w:tcPr>
            <w:tcW w:w="8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82"/>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Development &amp; Strategy</w:t>
            </w: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Claus Juan Møller San Pedro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359410</wp:posOffset>
            </wp:positionV>
            <wp:extent cx="55892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Thomas Gad certify that:</w:t>
      </w:r>
    </w:p>
    <w:p>
      <w:pPr>
        <w:spacing w:after="0" w:line="225" w:lineRule="exact"/>
        <w:rPr>
          <w:sz w:val="20"/>
          <w:szCs w:val="20"/>
          <w:color w:val="auto"/>
        </w:rPr>
      </w:pPr>
    </w:p>
    <w:p>
      <w:pPr>
        <w:ind w:left="700" w:hanging="326"/>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2022</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Thomas Gad</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Thomas Gad</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Founder, President, Interim Chief Executive</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 and Head of Business Development and</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Strategy</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3"/>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5" w:name="page146"/>
    <w:bookmarkEnd w:id="1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Bo Kruse, certify that:</w:t>
      </w:r>
    </w:p>
    <w:p>
      <w:pPr>
        <w:spacing w:after="0" w:line="225" w:lineRule="exact"/>
        <w:rPr>
          <w:sz w:val="20"/>
          <w:szCs w:val="20"/>
          <w:color w:val="auto"/>
        </w:rPr>
      </w:pPr>
    </w:p>
    <w:p>
      <w:pPr>
        <w:ind w:left="700" w:hanging="326"/>
        <w:spacing w:after="0"/>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2022</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Bo Kruse</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Bo Kruse</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EVP, Chief Financial Officer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6" w:name="page147"/>
    <w:bookmarkEnd w:id="1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40" w:right="379" w:hanging="377"/>
        <w:spacing w:after="0" w:line="266" w:lineRule="auto"/>
        <w:tabs>
          <w:tab w:leader="none" w:pos="1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2022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2022</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Thomas Gad</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Thomas Gad</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Founder, President, Interim Chief Executive</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 and Head of Business Development and</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Strategy</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7" w:name="page148"/>
    <w:bookmarkEnd w:id="1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40" w:right="379" w:hanging="377"/>
        <w:spacing w:after="0" w:line="266" w:lineRule="auto"/>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30, 2022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2022</w:t>
            </w:r>
          </w:p>
        </w:tc>
        <w:tc>
          <w:tcPr>
            <w:tcW w:w="57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By:/s/ Bo Kruse</w:t>
            </w:r>
          </w:p>
        </w:tc>
      </w:tr>
      <w:tr>
        <w:trPr>
          <w:trHeight w:val="191"/>
        </w:trPr>
        <w:tc>
          <w:tcPr>
            <w:tcW w:w="3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Bo Kruse</w:t>
            </w:r>
          </w:p>
        </w:tc>
      </w:tr>
      <w:tr>
        <w:trPr>
          <w:trHeight w:val="216"/>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EVP, Chief Financial Officer</w:t>
            </w:r>
          </w:p>
        </w:tc>
      </w:tr>
      <w:tr>
        <w:trPr>
          <w:trHeight w:val="234"/>
        </w:trPr>
        <w:tc>
          <w:tcPr>
            <w:tcW w:w="3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lvl w:ilvl="1">
      <w:lvlJc w:val="left"/>
      <w:lvlText w:val="%2"/>
      <w:numFmt w:val="decimal"/>
      <w:start w:val="104"/>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2"/>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4"/>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3"/>
    </w:lvl>
  </w:abstractNum>
  <w:abstractNum w:abstractNumId="67">
    <w:nsid w:val="6A5EE64"/>
    <w:multiLevelType w:val="hybridMultilevel"/>
    <w:lvl w:ilvl="0">
      <w:lvlJc w:val="left"/>
      <w:lvlText w:val="(%1)"/>
      <w:numFmt w:val="lowerLetter"/>
      <w:start w:val="2"/>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1"/>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2"/>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4"/>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3"/>
    </w:lvl>
  </w:abstractNum>
  <w:abstractNum w:abstractNumId="78">
    <w:nsid w:val="76272110"/>
    <w:multiLevelType w:val="hybridMultilevel"/>
    <w:lvl w:ilvl="0">
      <w:lvlJc w:val="left"/>
      <w:lvlText w:val="(%1)"/>
      <w:numFmt w:val="lowerLetter"/>
      <w:start w:val="2"/>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3"/>
    </w:lvl>
  </w:abstractNum>
  <w:abstractNum w:abstractNumId="81">
    <w:nsid w:val="14E17E33"/>
    <w:multiLevelType w:val="hybridMultilevel"/>
    <w:lvl w:ilvl="0">
      <w:lvlJc w:val="left"/>
      <w:lvlText w:val="%1."/>
      <w:numFmt w:val="decimal"/>
      <w:start w:val="8"/>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decimal"/>
      <w:start w:val="15"/>
    </w:lvl>
    <w:lvl w:ilvl="1">
      <w:lvlJc w:val="left"/>
      <w:lvlText w:val="(%2)"/>
      <w:numFmt w:val="lowerLetter"/>
      <w:start w:val="1"/>
    </w:lvl>
  </w:abstractNum>
  <w:abstractNum w:abstractNumId="84">
    <w:nsid w:val="68EBC550"/>
    <w:multiLevelType w:val="hybridMultilevel"/>
    <w:lvl w:ilvl="0">
      <w:lvlJc w:val="left"/>
      <w:lvlText w:val="%1"/>
      <w:numFmt w:val="decimal"/>
      <w:start w:val="1"/>
    </w:lvl>
    <w:lvl w:ilvl="1">
      <w:lvlJc w:val="left"/>
      <w:lvlText w:val="(%2)"/>
      <w:numFmt w:val="lowerLetter"/>
      <w:start w:val="3"/>
    </w:lvl>
  </w:abstractNum>
  <w:abstractNum w:abstractNumId="85">
    <w:nsid w:val="2DF6D648"/>
    <w:multiLevelType w:val="hybridMultilevel"/>
    <w:lvl w:ilvl="0">
      <w:lvlJc w:val="left"/>
      <w:lvlText w:val="%1."/>
      <w:numFmt w:val="decimal"/>
      <w:start w:val="16"/>
    </w:lvl>
    <w:lvl w:ilvl="1">
      <w:lvlJc w:val="left"/>
      <w:lvlText w:val="(%2)"/>
      <w:numFmt w:val="lowerLetter"/>
      <w:start w:val="1"/>
    </w:lvl>
  </w:abstractNum>
  <w:abstractNum w:abstractNumId="86">
    <w:nsid w:val="46B7D447"/>
    <w:multiLevelType w:val="hybridMultilevel"/>
    <w:lvl w:ilvl="0">
      <w:lvlJc w:val="left"/>
      <w:lvlText w:val="%1."/>
      <w:numFmt w:val="decimal"/>
      <w:start w:val="18"/>
    </w:lvl>
  </w:abstractNum>
  <w:abstractNum w:abstractNumId="87">
    <w:nsid w:val="4A2AC315"/>
    <w:multiLevelType w:val="hybridMultilevel"/>
    <w:lvl w:ilvl="0">
      <w:lvlJc w:val="left"/>
      <w:lvlText w:val="%1."/>
      <w:numFmt w:val="decimal"/>
      <w:start w:val="21"/>
    </w:lvl>
  </w:abstractNum>
  <w:abstractNum w:abstractNumId="88">
    <w:nsid w:val="39EE015C"/>
    <w:multiLevelType w:val="hybridMultilevel"/>
    <w:lvl w:ilvl="0">
      <w:lvlJc w:val="left"/>
      <w:lvlText w:val="%1."/>
      <w:numFmt w:val="decimal"/>
      <w:start w:val="22"/>
    </w:lvl>
  </w:abstractNum>
  <w:abstractNum w:abstractNumId="89">
    <w:nsid w:val="57FC4FBB"/>
    <w:multiLevelType w:val="hybridMultilevel"/>
    <w:lvl w:ilvl="0">
      <w:lvlJc w:val="left"/>
      <w:lvlText w:val="%1."/>
      <w:numFmt w:val="decimal"/>
      <w:start w:val="25"/>
    </w:lvl>
  </w:abstractNum>
  <w:abstractNum w:abstractNumId="90">
    <w:nsid w:val="CC1016F"/>
    <w:multiLevelType w:val="hybridMultilevel"/>
    <w:lvl w:ilvl="0">
      <w:lvlJc w:val="left"/>
      <w:lvlText w:val="%1."/>
      <w:numFmt w:val="decimal"/>
      <w:start w:val="3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lowerRoman"/>
      <w:start w:val="1"/>
    </w:lvl>
  </w:abstractNum>
  <w:abstractNum w:abstractNumId="94">
    <w:nsid w:val="7F0157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30" Type="http://schemas.openxmlformats.org/officeDocument/2006/relationships/hyperlink" Target="https://www.sec.gov/Archives/edgar/data/1722964/000110465918058483/a18-5676_14ex3d1.htm#Exhibit3_1_085307" TargetMode="External"/><Relationship Id="rId131" Type="http://schemas.openxmlformats.org/officeDocument/2006/relationships/hyperlink" Target="https://www.sec.gov/Archives/edgar/data/1722964/000110465918058483/a18-5676_14ex3d2.htm#Exhibit3_2_1223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2022-11-07T17:39:07Z</dcterms:created>
  <dcterms:modified xsi:type="dcterms:W3CDTF">2022-11-07T17:39:07Z</dcterms:modified>
</cp:coreProperties>
</file>