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3" w:lineRule="exact"/>
        <w:rPr>
          <w:sz w:val="24"/>
          <w:szCs w:val="24"/>
          <w:color w:val="auto"/>
        </w:rPr>
      </w:pPr>
    </w:p>
    <w:p>
      <w:pPr>
        <w:ind w:left="4660"/>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17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3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the Securities Exchange Act of 1934</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Date of report (Date of earliest event reported): June 2, 2022 (May 30, 2022)</w:t>
      </w:r>
    </w:p>
    <w:p>
      <w:pPr>
        <w:spacing w:after="0" w:line="20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Y-MABS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27940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1" w:lineRule="exact"/>
        <w:rPr>
          <w:sz w:val="24"/>
          <w:szCs w:val="24"/>
          <w:color w:val="auto"/>
        </w:rPr>
      </w:pPr>
    </w:p>
    <w:tbl>
      <w:tblPr>
        <w:tblLayout w:type="fixed"/>
        <w:tblInd w:w="800" w:type="dxa"/>
        <w:tblCellMar>
          <w:top w:w="0" w:type="dxa"/>
          <w:left w:w="0" w:type="dxa"/>
          <w:bottom w:w="0" w:type="dxa"/>
          <w:right w:w="0" w:type="dxa"/>
        </w:tblCellMar>
      </w:tblPr>
      <w:tr>
        <w:trPr>
          <w:trHeight w:val="216"/>
        </w:trPr>
        <w:tc>
          <w:tcPr>
            <w:tcW w:w="2620" w:type="dxa"/>
            <w:vAlign w:val="bottom"/>
          </w:tcPr>
          <w:p>
            <w:pPr>
              <w:jc w:val="center"/>
              <w:ind w:right="170"/>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4660" w:type="dxa"/>
            <w:vAlign w:val="bottom"/>
          </w:tcPr>
          <w:p>
            <w:pPr>
              <w:jc w:val="center"/>
              <w:ind w:right="150"/>
              <w:spacing w:after="0"/>
              <w:rPr>
                <w:sz w:val="20"/>
                <w:szCs w:val="20"/>
                <w:color w:val="auto"/>
              </w:rPr>
            </w:pPr>
            <w:r>
              <w:rPr>
                <w:rFonts w:ascii="Times New Roman" w:cs="Times New Roman" w:eastAsia="Times New Roman" w:hAnsi="Times New Roman"/>
                <w:sz w:val="18"/>
                <w:szCs w:val="18"/>
                <w:b w:val="1"/>
                <w:bCs w:val="1"/>
                <w:color w:val="auto"/>
                <w:w w:val="99"/>
              </w:rPr>
              <w:t>001-38650</w:t>
            </w:r>
          </w:p>
        </w:tc>
        <w:tc>
          <w:tcPr>
            <w:tcW w:w="1900" w:type="dxa"/>
            <w:vAlign w:val="bottom"/>
          </w:tcPr>
          <w:p>
            <w:pPr>
              <w:jc w:val="center"/>
              <w:ind w:left="410"/>
              <w:spacing w:after="0"/>
              <w:rPr>
                <w:sz w:val="20"/>
                <w:szCs w:val="20"/>
                <w:color w:val="auto"/>
              </w:rPr>
            </w:pPr>
            <w:r>
              <w:rPr>
                <w:rFonts w:ascii="Times New Roman" w:cs="Times New Roman" w:eastAsia="Times New Roman" w:hAnsi="Times New Roman"/>
                <w:sz w:val="18"/>
                <w:szCs w:val="18"/>
                <w:b w:val="1"/>
                <w:bCs w:val="1"/>
                <w:color w:val="auto"/>
              </w:rPr>
              <w:t>47-4619612</w:t>
            </w:r>
          </w:p>
        </w:tc>
      </w:tr>
      <w:tr>
        <w:trPr>
          <w:trHeight w:val="216"/>
        </w:trPr>
        <w:tc>
          <w:tcPr>
            <w:tcW w:w="2620" w:type="dxa"/>
            <w:vAlign w:val="bottom"/>
          </w:tcPr>
          <w:p>
            <w:pPr>
              <w:jc w:val="center"/>
              <w:ind w:right="170"/>
              <w:spacing w:after="0"/>
              <w:rPr>
                <w:sz w:val="20"/>
                <w:szCs w:val="20"/>
                <w:color w:val="auto"/>
              </w:rPr>
            </w:pPr>
            <w:r>
              <w:rPr>
                <w:rFonts w:ascii="Times New Roman" w:cs="Times New Roman" w:eastAsia="Times New Roman" w:hAnsi="Times New Roman"/>
                <w:sz w:val="18"/>
                <w:szCs w:val="18"/>
                <w:b w:val="1"/>
                <w:bCs w:val="1"/>
                <w:color w:val="auto"/>
                <w:w w:val="99"/>
              </w:rPr>
              <w:t>(State or other jurisdiction of</w:t>
            </w:r>
          </w:p>
        </w:tc>
        <w:tc>
          <w:tcPr>
            <w:tcW w:w="4660" w:type="dxa"/>
            <w:vAlign w:val="bottom"/>
          </w:tcPr>
          <w:p>
            <w:pPr>
              <w:jc w:val="center"/>
              <w:ind w:right="130"/>
              <w:spacing w:after="0"/>
              <w:rPr>
                <w:sz w:val="20"/>
                <w:szCs w:val="20"/>
                <w:color w:val="auto"/>
              </w:rPr>
            </w:pPr>
            <w:r>
              <w:rPr>
                <w:rFonts w:ascii="Times New Roman" w:cs="Times New Roman" w:eastAsia="Times New Roman" w:hAnsi="Times New Roman"/>
                <w:sz w:val="18"/>
                <w:szCs w:val="18"/>
                <w:b w:val="1"/>
                <w:bCs w:val="1"/>
                <w:color w:val="auto"/>
                <w:w w:val="98"/>
              </w:rPr>
              <w:t>(Commission</w:t>
            </w:r>
          </w:p>
        </w:tc>
        <w:tc>
          <w:tcPr>
            <w:tcW w:w="1900" w:type="dxa"/>
            <w:vAlign w:val="bottom"/>
          </w:tcPr>
          <w:p>
            <w:pPr>
              <w:jc w:val="center"/>
              <w:ind w:left="390"/>
              <w:spacing w:after="0"/>
              <w:rPr>
                <w:sz w:val="20"/>
                <w:szCs w:val="20"/>
                <w:color w:val="auto"/>
              </w:rPr>
            </w:pPr>
            <w:r>
              <w:rPr>
                <w:rFonts w:ascii="Times New Roman" w:cs="Times New Roman" w:eastAsia="Times New Roman" w:hAnsi="Times New Roman"/>
                <w:sz w:val="18"/>
                <w:szCs w:val="18"/>
                <w:b w:val="1"/>
                <w:bCs w:val="1"/>
                <w:color w:val="auto"/>
                <w:w w:val="99"/>
              </w:rPr>
              <w:t>(I.R.S. Employer</w:t>
            </w:r>
          </w:p>
        </w:tc>
      </w:tr>
      <w:tr>
        <w:trPr>
          <w:trHeight w:val="238"/>
        </w:trPr>
        <w:tc>
          <w:tcPr>
            <w:tcW w:w="2620" w:type="dxa"/>
            <w:vAlign w:val="bottom"/>
          </w:tcPr>
          <w:p>
            <w:pPr>
              <w:jc w:val="center"/>
              <w:ind w:right="170"/>
              <w:spacing w:after="0"/>
              <w:rPr>
                <w:sz w:val="20"/>
                <w:szCs w:val="20"/>
                <w:color w:val="auto"/>
              </w:rPr>
            </w:pPr>
            <w:r>
              <w:rPr>
                <w:rFonts w:ascii="Times New Roman" w:cs="Times New Roman" w:eastAsia="Times New Roman" w:hAnsi="Times New Roman"/>
                <w:sz w:val="18"/>
                <w:szCs w:val="18"/>
                <w:b w:val="1"/>
                <w:bCs w:val="1"/>
                <w:color w:val="auto"/>
              </w:rPr>
              <w:t>incorporation or organization)</w:t>
            </w:r>
          </w:p>
        </w:tc>
        <w:tc>
          <w:tcPr>
            <w:tcW w:w="4660" w:type="dxa"/>
            <w:vAlign w:val="bottom"/>
          </w:tcPr>
          <w:p>
            <w:pPr>
              <w:jc w:val="center"/>
              <w:ind w:right="130"/>
              <w:spacing w:after="0"/>
              <w:rPr>
                <w:sz w:val="20"/>
                <w:szCs w:val="20"/>
                <w:color w:val="auto"/>
              </w:rPr>
            </w:pPr>
            <w:r>
              <w:rPr>
                <w:rFonts w:ascii="Times New Roman" w:cs="Times New Roman" w:eastAsia="Times New Roman" w:hAnsi="Times New Roman"/>
                <w:sz w:val="18"/>
                <w:szCs w:val="18"/>
                <w:b w:val="1"/>
                <w:bCs w:val="1"/>
                <w:color w:val="auto"/>
              </w:rPr>
              <w:t>File Number)</w:t>
            </w:r>
          </w:p>
        </w:tc>
        <w:tc>
          <w:tcPr>
            <w:tcW w:w="1900" w:type="dxa"/>
            <w:vAlign w:val="bottom"/>
          </w:tcPr>
          <w:p>
            <w:pPr>
              <w:jc w:val="center"/>
              <w:ind w:left="410"/>
              <w:spacing w:after="0"/>
              <w:rPr>
                <w:sz w:val="20"/>
                <w:szCs w:val="20"/>
                <w:color w:val="auto"/>
              </w:rPr>
            </w:pPr>
            <w:r>
              <w:rPr>
                <w:rFonts w:ascii="Times New Roman" w:cs="Times New Roman" w:eastAsia="Times New Roman" w:hAnsi="Times New Roman"/>
                <w:sz w:val="18"/>
                <w:szCs w:val="18"/>
                <w:b w:val="1"/>
                <w:bCs w:val="1"/>
                <w:color w:val="auto"/>
                <w:w w:val="99"/>
              </w:rPr>
              <w:t>Identification No.)</w:t>
            </w:r>
          </w:p>
        </w:tc>
      </w:tr>
      <w:tr>
        <w:trPr>
          <w:trHeight w:val="410"/>
        </w:trPr>
        <w:tc>
          <w:tcPr>
            <w:tcW w:w="2620" w:type="dxa"/>
            <w:vAlign w:val="bottom"/>
          </w:tcPr>
          <w:p>
            <w:pPr>
              <w:spacing w:after="0"/>
              <w:rPr>
                <w:sz w:val="24"/>
                <w:szCs w:val="24"/>
                <w:color w:val="auto"/>
              </w:rPr>
            </w:pPr>
          </w:p>
        </w:tc>
        <w:tc>
          <w:tcPr>
            <w:tcW w:w="4660" w:type="dxa"/>
            <w:vAlign w:val="bottom"/>
          </w:tcPr>
          <w:p>
            <w:pPr>
              <w:jc w:val="center"/>
              <w:ind w:right="150"/>
              <w:spacing w:after="0"/>
              <w:rPr>
                <w:sz w:val="20"/>
                <w:szCs w:val="20"/>
                <w:color w:val="auto"/>
              </w:rPr>
            </w:pPr>
            <w:r>
              <w:rPr>
                <w:rFonts w:ascii="Times New Roman" w:cs="Times New Roman" w:eastAsia="Times New Roman" w:hAnsi="Times New Roman"/>
                <w:sz w:val="18"/>
                <w:szCs w:val="18"/>
                <w:b w:val="1"/>
                <w:bCs w:val="1"/>
                <w:color w:val="auto"/>
                <w:w w:val="98"/>
              </w:rPr>
              <w:t>230 Park Avenue</w:t>
            </w:r>
          </w:p>
        </w:tc>
        <w:tc>
          <w:tcPr>
            <w:tcW w:w="1900" w:type="dxa"/>
            <w:vAlign w:val="bottom"/>
          </w:tcPr>
          <w:p>
            <w:pPr>
              <w:spacing w:after="0"/>
              <w:rPr>
                <w:sz w:val="24"/>
                <w:szCs w:val="24"/>
                <w:color w:val="auto"/>
              </w:rPr>
            </w:pPr>
          </w:p>
        </w:tc>
      </w:tr>
      <w:tr>
        <w:trPr>
          <w:trHeight w:val="216"/>
        </w:trPr>
        <w:tc>
          <w:tcPr>
            <w:tcW w:w="2620" w:type="dxa"/>
            <w:vAlign w:val="bottom"/>
          </w:tcPr>
          <w:p>
            <w:pPr>
              <w:spacing w:after="0"/>
              <w:rPr>
                <w:sz w:val="18"/>
                <w:szCs w:val="18"/>
                <w:color w:val="auto"/>
              </w:rPr>
            </w:pPr>
          </w:p>
        </w:tc>
        <w:tc>
          <w:tcPr>
            <w:tcW w:w="4660" w:type="dxa"/>
            <w:vAlign w:val="bottom"/>
          </w:tcPr>
          <w:p>
            <w:pPr>
              <w:jc w:val="center"/>
              <w:ind w:right="170"/>
              <w:spacing w:after="0"/>
              <w:rPr>
                <w:sz w:val="20"/>
                <w:szCs w:val="20"/>
                <w:color w:val="auto"/>
              </w:rPr>
            </w:pPr>
            <w:r>
              <w:rPr>
                <w:rFonts w:ascii="Times New Roman" w:cs="Times New Roman" w:eastAsia="Times New Roman" w:hAnsi="Times New Roman"/>
                <w:sz w:val="18"/>
                <w:szCs w:val="18"/>
                <w:b w:val="1"/>
                <w:bCs w:val="1"/>
                <w:color w:val="auto"/>
              </w:rPr>
              <w:t>Suite 3350</w:t>
            </w:r>
          </w:p>
        </w:tc>
        <w:tc>
          <w:tcPr>
            <w:tcW w:w="1900" w:type="dxa"/>
            <w:vAlign w:val="bottom"/>
          </w:tcPr>
          <w:p>
            <w:pPr>
              <w:spacing w:after="0"/>
              <w:rPr>
                <w:sz w:val="18"/>
                <w:szCs w:val="18"/>
                <w:color w:val="auto"/>
              </w:rPr>
            </w:pPr>
          </w:p>
        </w:tc>
      </w:tr>
      <w:tr>
        <w:trPr>
          <w:trHeight w:val="216"/>
        </w:trPr>
        <w:tc>
          <w:tcPr>
            <w:tcW w:w="2620" w:type="dxa"/>
            <w:vAlign w:val="bottom"/>
          </w:tcPr>
          <w:p>
            <w:pPr>
              <w:spacing w:after="0"/>
              <w:rPr>
                <w:sz w:val="18"/>
                <w:szCs w:val="18"/>
                <w:color w:val="auto"/>
              </w:rPr>
            </w:pPr>
          </w:p>
        </w:tc>
        <w:tc>
          <w:tcPr>
            <w:tcW w:w="4660" w:type="dxa"/>
            <w:vAlign w:val="bottom"/>
          </w:tcPr>
          <w:p>
            <w:pPr>
              <w:jc w:val="center"/>
              <w:ind w:right="170"/>
              <w:spacing w:after="0"/>
              <w:rPr>
                <w:sz w:val="20"/>
                <w:szCs w:val="20"/>
                <w:color w:val="auto"/>
              </w:rPr>
            </w:pPr>
            <w:r>
              <w:rPr>
                <w:rFonts w:ascii="Times New Roman" w:cs="Times New Roman" w:eastAsia="Times New Roman" w:hAnsi="Times New Roman"/>
                <w:sz w:val="18"/>
                <w:szCs w:val="18"/>
                <w:b w:val="1"/>
                <w:bCs w:val="1"/>
                <w:color w:val="auto"/>
                <w:w w:val="98"/>
              </w:rPr>
              <w:t>New York, New York 10169</w:t>
            </w:r>
          </w:p>
        </w:tc>
        <w:tc>
          <w:tcPr>
            <w:tcW w:w="1900" w:type="dxa"/>
            <w:vAlign w:val="bottom"/>
          </w:tcPr>
          <w:p>
            <w:pPr>
              <w:spacing w:after="0"/>
              <w:rPr>
                <w:sz w:val="18"/>
                <w:szCs w:val="18"/>
                <w:color w:val="auto"/>
              </w:rPr>
            </w:pPr>
          </w:p>
        </w:tc>
      </w:tr>
      <w:tr>
        <w:trPr>
          <w:trHeight w:val="238"/>
        </w:trPr>
        <w:tc>
          <w:tcPr>
            <w:tcW w:w="2620" w:type="dxa"/>
            <w:vAlign w:val="bottom"/>
          </w:tcPr>
          <w:p>
            <w:pPr>
              <w:spacing w:after="0"/>
              <w:rPr>
                <w:sz w:val="20"/>
                <w:szCs w:val="20"/>
                <w:color w:val="auto"/>
              </w:rPr>
            </w:pPr>
          </w:p>
        </w:tc>
        <w:tc>
          <w:tcPr>
            <w:tcW w:w="4660" w:type="dxa"/>
            <w:vAlign w:val="bottom"/>
          </w:tcPr>
          <w:p>
            <w:pPr>
              <w:jc w:val="center"/>
              <w:ind w:right="150"/>
              <w:spacing w:after="0"/>
              <w:rPr>
                <w:sz w:val="20"/>
                <w:szCs w:val="20"/>
                <w:color w:val="auto"/>
              </w:rPr>
            </w:pPr>
            <w:r>
              <w:rPr>
                <w:rFonts w:ascii="Times New Roman" w:cs="Times New Roman" w:eastAsia="Times New Roman" w:hAnsi="Times New Roman"/>
                <w:sz w:val="18"/>
                <w:szCs w:val="18"/>
                <w:b w:val="1"/>
                <w:bCs w:val="1"/>
                <w:color w:val="auto"/>
                <w:w w:val="99"/>
              </w:rPr>
              <w:t>(Address of principal executive offices) (Zip Code)</w:t>
            </w:r>
          </w:p>
        </w:tc>
        <w:tc>
          <w:tcPr>
            <w:tcW w:w="1900" w:type="dxa"/>
            <w:vAlign w:val="bottom"/>
          </w:tcPr>
          <w:p>
            <w:pPr>
              <w:spacing w:after="0"/>
              <w:rPr>
                <w:sz w:val="20"/>
                <w:szCs w:val="20"/>
                <w:color w:val="auto"/>
              </w:rPr>
            </w:pPr>
          </w:p>
        </w:tc>
      </w:tr>
      <w:tr>
        <w:trPr>
          <w:trHeight w:val="410"/>
        </w:trPr>
        <w:tc>
          <w:tcPr>
            <w:tcW w:w="2620" w:type="dxa"/>
            <w:vAlign w:val="bottom"/>
          </w:tcPr>
          <w:p>
            <w:pPr>
              <w:spacing w:after="0"/>
              <w:rPr>
                <w:sz w:val="24"/>
                <w:szCs w:val="24"/>
                <w:color w:val="auto"/>
              </w:rPr>
            </w:pPr>
          </w:p>
        </w:tc>
        <w:tc>
          <w:tcPr>
            <w:tcW w:w="4660" w:type="dxa"/>
            <w:vAlign w:val="bottom"/>
          </w:tcPr>
          <w:p>
            <w:pPr>
              <w:jc w:val="center"/>
              <w:ind w:right="170"/>
              <w:spacing w:after="0"/>
              <w:rPr>
                <w:sz w:val="20"/>
                <w:szCs w:val="20"/>
                <w:color w:val="auto"/>
              </w:rPr>
            </w:pPr>
            <w:r>
              <w:rPr>
                <w:rFonts w:ascii="Times New Roman" w:cs="Times New Roman" w:eastAsia="Times New Roman" w:hAnsi="Times New Roman"/>
                <w:sz w:val="18"/>
                <w:szCs w:val="18"/>
                <w:b w:val="1"/>
                <w:bCs w:val="1"/>
                <w:color w:val="auto"/>
                <w:w w:val="99"/>
              </w:rPr>
              <w:t>(646) 885-8505</w:t>
            </w:r>
          </w:p>
        </w:tc>
        <w:tc>
          <w:tcPr>
            <w:tcW w:w="1900" w:type="dxa"/>
            <w:vAlign w:val="bottom"/>
          </w:tcPr>
          <w:p>
            <w:pPr>
              <w:spacing w:after="0"/>
              <w:rPr>
                <w:sz w:val="24"/>
                <w:szCs w:val="24"/>
                <w:color w:val="auto"/>
              </w:rPr>
            </w:pPr>
          </w:p>
        </w:tc>
      </w:tr>
      <w:tr>
        <w:trPr>
          <w:trHeight w:val="238"/>
        </w:trPr>
        <w:tc>
          <w:tcPr>
            <w:tcW w:w="2620" w:type="dxa"/>
            <w:vAlign w:val="bottom"/>
          </w:tcPr>
          <w:p>
            <w:pPr>
              <w:spacing w:after="0"/>
              <w:rPr>
                <w:sz w:val="20"/>
                <w:szCs w:val="20"/>
                <w:color w:val="auto"/>
              </w:rPr>
            </w:pPr>
          </w:p>
        </w:tc>
        <w:tc>
          <w:tcPr>
            <w:tcW w:w="4660" w:type="dxa"/>
            <w:vAlign w:val="bottom"/>
          </w:tcPr>
          <w:p>
            <w:pPr>
              <w:jc w:val="center"/>
              <w:ind w:right="150"/>
              <w:spacing w:after="0"/>
              <w:rPr>
                <w:sz w:val="20"/>
                <w:szCs w:val="20"/>
                <w:color w:val="auto"/>
              </w:rPr>
            </w:pPr>
            <w:r>
              <w:rPr>
                <w:rFonts w:ascii="Times New Roman" w:cs="Times New Roman" w:eastAsia="Times New Roman" w:hAnsi="Times New Roman"/>
                <w:sz w:val="18"/>
                <w:szCs w:val="18"/>
                <w:b w:val="1"/>
                <w:bCs w:val="1"/>
                <w:color w:val="auto"/>
                <w:w w:val="99"/>
              </w:rPr>
              <w:t>(Registrant’s telephone number, include area code)</w:t>
            </w:r>
          </w:p>
        </w:tc>
        <w:tc>
          <w:tcPr>
            <w:tcW w:w="1900" w:type="dxa"/>
            <w:vAlign w:val="bottom"/>
          </w:tcPr>
          <w:p>
            <w:pPr>
              <w:spacing w:after="0"/>
              <w:rPr>
                <w:sz w:val="20"/>
                <w:szCs w:val="20"/>
                <w:color w:val="auto"/>
              </w:rPr>
            </w:pPr>
          </w:p>
        </w:tc>
      </w:tr>
    </w:tbl>
    <w:p>
      <w:pPr>
        <w:spacing w:after="0" w:line="19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N/A</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(Former Name or Former Address, if Changed Since Last Report)</w:t>
      </w:r>
    </w:p>
    <w:p>
      <w:pPr>
        <w:spacing w:after="0" w:line="207" w:lineRule="exact"/>
        <w:rPr>
          <w:sz w:val="24"/>
          <w:szCs w:val="24"/>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162"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740" w:firstLine="8"/>
        <w:spacing w:after="0" w:line="498" w:lineRule="auto"/>
        <w:tabs>
          <w:tab w:leader="none" w:pos="445"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 Securities registered pursuant to Section 12(b) of the Act:</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440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rPr>
              <w:t>Title of each class:</w:t>
            </w:r>
          </w:p>
        </w:tc>
        <w:tc>
          <w:tcPr>
            <w:tcW w:w="25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8"/>
              </w:rPr>
              <w:t>Trading Symbol</w:t>
            </w:r>
          </w:p>
        </w:tc>
        <w:tc>
          <w:tcPr>
            <w:tcW w:w="42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Name of each exchange on which registered:</w:t>
            </w:r>
          </w:p>
        </w:tc>
      </w:tr>
      <w:tr>
        <w:trPr>
          <w:trHeight w:val="228"/>
        </w:trPr>
        <w:tc>
          <w:tcPr>
            <w:tcW w:w="42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Common Stock, $0.0001 par value</w:t>
            </w:r>
          </w:p>
        </w:tc>
        <w:tc>
          <w:tcPr>
            <w:tcW w:w="120" w:type="dxa"/>
            <w:vAlign w:val="bottom"/>
          </w:tcPr>
          <w:p>
            <w:pPr>
              <w:spacing w:after="0"/>
              <w:rPr>
                <w:sz w:val="19"/>
                <w:szCs w:val="19"/>
                <w:color w:val="auto"/>
              </w:rPr>
            </w:pPr>
          </w:p>
        </w:tc>
        <w:tc>
          <w:tcPr>
            <w:tcW w:w="246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YMAB</w:t>
            </w:r>
          </w:p>
        </w:tc>
        <w:tc>
          <w:tcPr>
            <w:tcW w:w="120" w:type="dxa"/>
            <w:vAlign w:val="bottom"/>
          </w:tcPr>
          <w:p>
            <w:pPr>
              <w:spacing w:after="0"/>
              <w:rPr>
                <w:sz w:val="19"/>
                <w:szCs w:val="19"/>
                <w:color w:val="auto"/>
              </w:rPr>
            </w:pPr>
          </w:p>
        </w:tc>
        <w:tc>
          <w:tcPr>
            <w:tcW w:w="426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NASDAQ Global Select Market</w:t>
            </w:r>
          </w:p>
        </w:tc>
      </w:tr>
    </w:tbl>
    <w:p>
      <w:pPr>
        <w:spacing w:after="0" w:line="179" w:lineRule="exact"/>
        <w:rPr>
          <w:sz w:val="24"/>
          <w:szCs w:val="24"/>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3"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54" w:lineRule="exact"/>
        <w:rPr>
          <w:sz w:val="24"/>
          <w:szCs w:val="24"/>
          <w:color w:val="auto"/>
        </w:rPr>
      </w:pPr>
    </w:p>
    <w:p>
      <w:pPr>
        <w:jc w:val="both"/>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151130</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605155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54" w:right="339" w:bottom="1440" w:gutter="0" w:footer="0" w:header="0"/>
        </w:sectPr>
      </w:pPr>
    </w:p>
    <w:bookmarkStart w:id="1" w:name="page2"/>
    <w:bookmarkEnd w:id="1"/>
    <w:p>
      <w:pPr>
        <w:ind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Item 5.02 Departure of Directors or Certain Officers; Election of Directors; Appointment of Certain Officers; Compensatory Arrangements of Certain Officers.</w:t>
      </w:r>
    </w:p>
    <w:p>
      <w:pPr>
        <w:spacing w:after="0" w:line="159" w:lineRule="exact"/>
        <w:rPr>
          <w:sz w:val="20"/>
          <w:szCs w:val="20"/>
          <w:color w:val="auto"/>
        </w:rPr>
      </w:pPr>
    </w:p>
    <w:p>
      <w:pPr>
        <w:ind w:right="100" w:firstLine="648"/>
        <w:spacing w:after="0" w:line="272" w:lineRule="auto"/>
        <w:rPr>
          <w:sz w:val="20"/>
          <w:szCs w:val="20"/>
          <w:color w:val="auto"/>
        </w:rPr>
      </w:pPr>
      <w:r>
        <w:rPr>
          <w:rFonts w:ascii="Times New Roman" w:cs="Times New Roman" w:eastAsia="Times New Roman" w:hAnsi="Times New Roman"/>
          <w:sz w:val="17"/>
          <w:szCs w:val="17"/>
          <w:color w:val="auto"/>
        </w:rPr>
        <w:t>On May 30, 2022, Y-mAbs Therapeutics, Inc. (the “Company), entered into a retention cash bonus arrangement with the Company’s Chief Financial Officer and Executive Vice President Bo Kruse, whereby Mr. Kruse is eligible for a cash retention bonus payment of DKK572,068.50 (approx. $82,800) provided that Mr. Kruse remains employed with the Company until April 26, 2023 and provided that no notice of termination of his employment</w:t>
      </w:r>
    </w:p>
    <w:p>
      <w:pPr>
        <w:spacing w:after="0" w:line="2" w:lineRule="exact"/>
        <w:rPr>
          <w:sz w:val="20"/>
          <w:szCs w:val="20"/>
          <w:color w:val="auto"/>
        </w:rPr>
      </w:pPr>
    </w:p>
    <w:p>
      <w:pPr>
        <w:ind w:right="200"/>
        <w:spacing w:after="0" w:line="221" w:lineRule="auto"/>
        <w:rPr>
          <w:sz w:val="20"/>
          <w:szCs w:val="20"/>
          <w:color w:val="auto"/>
        </w:rPr>
      </w:pPr>
      <w:r>
        <w:rPr>
          <w:rFonts w:ascii="Times New Roman" w:cs="Times New Roman" w:eastAsia="Times New Roman" w:hAnsi="Times New Roman"/>
          <w:sz w:val="18"/>
          <w:szCs w:val="18"/>
          <w:color w:val="auto"/>
        </w:rPr>
        <w:t xml:space="preserve">has been given by either Mr. Kruse or the Company on or before such date and provided that the Company’s Biologics License Application for </w:t>
      </w:r>
      <w:r>
        <w:rPr>
          <w:rFonts w:ascii="Times New Roman" w:cs="Times New Roman" w:eastAsia="Times New Roman" w:hAnsi="Times New Roman"/>
          <w:sz w:val="29"/>
          <w:szCs w:val="29"/>
          <w:color w:val="auto"/>
          <w:vertAlign w:val="superscript"/>
        </w:rPr>
        <w:t>131</w:t>
      </w:r>
      <w:r>
        <w:rPr>
          <w:rFonts w:ascii="Times New Roman" w:cs="Times New Roman" w:eastAsia="Times New Roman" w:hAnsi="Times New Roman"/>
          <w:sz w:val="18"/>
          <w:szCs w:val="18"/>
          <w:color w:val="auto"/>
        </w:rPr>
        <w:t>I-omburtamab (which was recently accepted for priority review by the U.S. Food and Drug Administration (“FDA”)) is approved by the FDA on or before said date.</w:t>
      </w:r>
    </w:p>
    <w:p>
      <w:pPr>
        <w:spacing w:after="0" w:line="198" w:lineRule="exact"/>
        <w:rPr>
          <w:sz w:val="20"/>
          <w:szCs w:val="20"/>
          <w:color w:val="auto"/>
        </w:rPr>
      </w:pPr>
    </w:p>
    <w:p>
      <w:pPr>
        <w:ind w:right="60" w:firstLine="648"/>
        <w:spacing w:after="0" w:line="270" w:lineRule="auto"/>
        <w:rPr>
          <w:sz w:val="20"/>
          <w:szCs w:val="20"/>
          <w:color w:val="auto"/>
        </w:rPr>
      </w:pPr>
      <w:r>
        <w:rPr>
          <w:rFonts w:ascii="Times New Roman" w:cs="Times New Roman" w:eastAsia="Times New Roman" w:hAnsi="Times New Roman"/>
          <w:sz w:val="17"/>
          <w:szCs w:val="17"/>
          <w:color w:val="auto"/>
        </w:rPr>
        <w:t>Further, on May 30, 2022 the Company entered into a retention cash bonus arrangement with each of the Company’s named executive officers, Senior Vice President and Chief Scientific Officer, Dr. Steen Lisby and Senior Vice President and Chief Medical Officer, Dr. Vignesh Rajah, whereby each of Dr. Lisby and Dr. Rajah are eligible for a cash retention bonus payment equal to 25% of his base salary, provided that he remains employed with the Company until April 26, 2023 and provided that no notice of termination of his employment has been given by either the Senior Vice president in question</w:t>
      </w:r>
    </w:p>
    <w:p>
      <w:pPr>
        <w:spacing w:after="0" w:line="3" w:lineRule="exact"/>
        <w:rPr>
          <w:sz w:val="20"/>
          <w:szCs w:val="20"/>
          <w:color w:val="auto"/>
        </w:rPr>
      </w:pPr>
    </w:p>
    <w:p>
      <w:pPr>
        <w:spacing w:after="0" w:line="209" w:lineRule="auto"/>
        <w:rPr>
          <w:sz w:val="20"/>
          <w:szCs w:val="20"/>
          <w:color w:val="auto"/>
        </w:rPr>
      </w:pPr>
      <w:r>
        <w:rPr>
          <w:rFonts w:ascii="Times New Roman" w:cs="Times New Roman" w:eastAsia="Times New Roman" w:hAnsi="Times New Roman"/>
          <w:sz w:val="18"/>
          <w:szCs w:val="18"/>
          <w:color w:val="auto"/>
        </w:rPr>
        <w:t xml:space="preserve">or the Company on or before such date and provided that the Company’s Biologics License Application for </w:t>
      </w:r>
      <w:r>
        <w:rPr>
          <w:rFonts w:ascii="Times New Roman" w:cs="Times New Roman" w:eastAsia="Times New Roman" w:hAnsi="Times New Roman"/>
          <w:sz w:val="29"/>
          <w:szCs w:val="29"/>
          <w:color w:val="auto"/>
          <w:vertAlign w:val="superscript"/>
        </w:rPr>
        <w:t>131</w:t>
      </w:r>
      <w:r>
        <w:rPr>
          <w:rFonts w:ascii="Times New Roman" w:cs="Times New Roman" w:eastAsia="Times New Roman" w:hAnsi="Times New Roman"/>
          <w:sz w:val="18"/>
          <w:szCs w:val="18"/>
          <w:color w:val="auto"/>
        </w:rPr>
        <w:t>I-omburtamab is approved by the FDA on or before said date.</w:t>
      </w:r>
    </w:p>
    <w:p>
      <w:pPr>
        <w:spacing w:after="0" w:line="200" w:lineRule="exact"/>
        <w:rPr>
          <w:sz w:val="20"/>
          <w:szCs w:val="20"/>
          <w:color w:val="auto"/>
        </w:rPr>
      </w:pPr>
    </w:p>
    <w:p>
      <w:pPr>
        <w:ind w:right="440" w:firstLine="648"/>
        <w:spacing w:after="0" w:line="266" w:lineRule="auto"/>
        <w:rPr>
          <w:sz w:val="20"/>
          <w:szCs w:val="20"/>
          <w:color w:val="auto"/>
        </w:rPr>
      </w:pPr>
      <w:r>
        <w:rPr>
          <w:rFonts w:ascii="Times New Roman" w:cs="Times New Roman" w:eastAsia="Times New Roman" w:hAnsi="Times New Roman"/>
          <w:sz w:val="18"/>
          <w:szCs w:val="18"/>
          <w:color w:val="auto"/>
        </w:rPr>
        <w:t>The information furnished pursuant to Item 5.02 on this Form 8-K, shall not be deemed “filed” for purposes of Section 18 of the Securities Exchange Act of 1934, as amended (the “Exchange Act”), or otherwise subject to the liabilities of that section, nor shall it be deemed incorporated by reference into any other filing under the Securities Act or the Exchange Act, except as expressly set forth by specific reference in such a filing.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414655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900" w:right="359" w:bottom="1440" w:gutter="0" w:footer="0" w:header="0"/>
        </w:sectPr>
      </w:pPr>
    </w:p>
    <w:bookmarkStart w:id="2" w:name="page3"/>
    <w:bookmarkEnd w:id="2"/>
    <w:p>
      <w:pPr>
        <w:jc w:val="center"/>
        <w:ind w:left="640"/>
        <w:spacing w:after="0"/>
        <w:rPr>
          <w:sz w:val="20"/>
          <w:szCs w:val="20"/>
          <w:color w:val="auto"/>
        </w:rPr>
      </w:pPr>
      <w:r>
        <w:rPr>
          <w:rFonts w:ascii="Times New Roman" w:cs="Times New Roman" w:eastAsia="Times New Roman" w:hAnsi="Times New Roman"/>
          <w:sz w:val="18"/>
          <w:szCs w:val="18"/>
          <w:color w:val="auto"/>
        </w:rPr>
        <w:t>SIGNATURES</w:t>
      </w:r>
    </w:p>
    <w:p>
      <w:pPr>
        <w:spacing w:after="0" w:line="225" w:lineRule="exact"/>
        <w:rPr>
          <w:sz w:val="20"/>
          <w:szCs w:val="20"/>
          <w:color w:val="auto"/>
        </w:rPr>
      </w:pPr>
    </w:p>
    <w:p>
      <w:pPr>
        <w:ind w:right="80" w:firstLine="441"/>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00" w:type="dxa"/>
            <w:vAlign w:val="bottom"/>
          </w:tcPr>
          <w:p>
            <w:pPr>
              <w:spacing w:after="0"/>
              <w:rPr>
                <w:sz w:val="20"/>
                <w:szCs w:val="20"/>
                <w:color w:val="auto"/>
              </w:rPr>
            </w:pPr>
          </w:p>
        </w:tc>
        <w:tc>
          <w:tcPr>
            <w:tcW w:w="7740" w:type="dxa"/>
            <w:vAlign w:val="bottom"/>
            <w:gridSpan w:val="2"/>
          </w:tcPr>
          <w:p>
            <w:pPr>
              <w:ind w:left="2140"/>
              <w:spacing w:after="0"/>
              <w:rPr>
                <w:sz w:val="20"/>
                <w:szCs w:val="20"/>
                <w:color w:val="auto"/>
              </w:rPr>
            </w:pPr>
            <w:r>
              <w:rPr>
                <w:rFonts w:ascii="Times New Roman" w:cs="Times New Roman" w:eastAsia="Times New Roman" w:hAnsi="Times New Roman"/>
                <w:sz w:val="18"/>
                <w:szCs w:val="18"/>
                <w:color w:val="auto"/>
              </w:rPr>
              <w:t>Y-MABS THERAPEUTICS, INC.</w:t>
            </w:r>
          </w:p>
        </w:tc>
      </w:tr>
      <w:tr>
        <w:trPr>
          <w:trHeight w:val="432"/>
        </w:trPr>
        <w:tc>
          <w:tcPr>
            <w:tcW w:w="3500" w:type="dxa"/>
            <w:vAlign w:val="bottom"/>
          </w:tcPr>
          <w:p>
            <w:pPr>
              <w:spacing w:after="0"/>
              <w:rPr>
                <w:sz w:val="20"/>
                <w:szCs w:val="20"/>
                <w:color w:val="auto"/>
              </w:rPr>
            </w:pPr>
            <w:r>
              <w:rPr>
                <w:rFonts w:ascii="Times New Roman" w:cs="Times New Roman" w:eastAsia="Times New Roman" w:hAnsi="Times New Roman"/>
                <w:sz w:val="18"/>
                <w:szCs w:val="18"/>
                <w:color w:val="auto"/>
              </w:rPr>
              <w:t>Date: June 2, 2022</w:t>
            </w:r>
          </w:p>
        </w:tc>
        <w:tc>
          <w:tcPr>
            <w:tcW w:w="7740" w:type="dxa"/>
            <w:vAlign w:val="bottom"/>
            <w:gridSpan w:val="2"/>
          </w:tcPr>
          <w:p>
            <w:pPr>
              <w:ind w:left="2140"/>
              <w:spacing w:after="0"/>
              <w:rPr>
                <w:sz w:val="20"/>
                <w:szCs w:val="20"/>
                <w:color w:val="auto"/>
              </w:rPr>
            </w:pPr>
            <w:r>
              <w:rPr>
                <w:rFonts w:ascii="Times New Roman" w:cs="Times New Roman" w:eastAsia="Times New Roman" w:hAnsi="Times New Roman"/>
                <w:sz w:val="18"/>
                <w:szCs w:val="18"/>
                <w:color w:val="auto"/>
              </w:rPr>
              <w:t>By: /s/ Thomas Gad</w:t>
            </w:r>
          </w:p>
        </w:tc>
      </w:tr>
      <w:tr>
        <w:trPr>
          <w:trHeight w:val="191"/>
        </w:trPr>
        <w:tc>
          <w:tcPr>
            <w:tcW w:w="3500" w:type="dxa"/>
            <w:vAlign w:val="bottom"/>
          </w:tcPr>
          <w:p>
            <w:pPr>
              <w:spacing w:after="0"/>
              <w:rPr>
                <w:sz w:val="16"/>
                <w:szCs w:val="16"/>
                <w:color w:val="auto"/>
              </w:rPr>
            </w:pPr>
          </w:p>
        </w:tc>
        <w:tc>
          <w:tcPr>
            <w:tcW w:w="2460" w:type="dxa"/>
            <w:vAlign w:val="bottom"/>
          </w:tcPr>
          <w:p>
            <w:pPr>
              <w:spacing w:after="0"/>
              <w:rPr>
                <w:sz w:val="16"/>
                <w:szCs w:val="16"/>
                <w:color w:val="auto"/>
              </w:rPr>
            </w:pPr>
          </w:p>
        </w:tc>
        <w:tc>
          <w:tcPr>
            <w:tcW w:w="5280" w:type="dxa"/>
            <w:vAlign w:val="bottom"/>
            <w:tcBorders>
              <w:top w:val="single" w:sz="8" w:color="auto"/>
            </w:tcBorders>
          </w:tcPr>
          <w:p>
            <w:pPr>
              <w:spacing w:after="0" w:line="191" w:lineRule="exact"/>
              <w:rPr>
                <w:sz w:val="20"/>
                <w:szCs w:val="20"/>
                <w:color w:val="auto"/>
              </w:rPr>
            </w:pPr>
            <w:r>
              <w:rPr>
                <w:rFonts w:ascii="Times New Roman" w:cs="Times New Roman" w:eastAsia="Times New Roman" w:hAnsi="Times New Roman"/>
                <w:sz w:val="18"/>
                <w:szCs w:val="18"/>
                <w:color w:val="auto"/>
              </w:rPr>
              <w:t>Thomas Gad</w:t>
            </w:r>
          </w:p>
        </w:tc>
      </w:tr>
      <w:tr>
        <w:trPr>
          <w:trHeight w:val="216"/>
        </w:trPr>
        <w:tc>
          <w:tcPr>
            <w:tcW w:w="3500" w:type="dxa"/>
            <w:vAlign w:val="bottom"/>
          </w:tcPr>
          <w:p>
            <w:pPr>
              <w:spacing w:after="0"/>
              <w:rPr>
                <w:sz w:val="18"/>
                <w:szCs w:val="18"/>
                <w:color w:val="auto"/>
              </w:rPr>
            </w:pPr>
          </w:p>
        </w:tc>
        <w:tc>
          <w:tcPr>
            <w:tcW w:w="2460" w:type="dxa"/>
            <w:vAlign w:val="bottom"/>
          </w:tcPr>
          <w:p>
            <w:pPr>
              <w:spacing w:after="0"/>
              <w:rPr>
                <w:sz w:val="18"/>
                <w:szCs w:val="18"/>
                <w:color w:val="auto"/>
              </w:rPr>
            </w:pPr>
          </w:p>
        </w:tc>
        <w:tc>
          <w:tcPr>
            <w:tcW w:w="5280" w:type="dxa"/>
            <w:vAlign w:val="bottom"/>
          </w:tcPr>
          <w:p>
            <w:pPr>
              <w:spacing w:after="0"/>
              <w:rPr>
                <w:sz w:val="20"/>
                <w:szCs w:val="20"/>
                <w:color w:val="auto"/>
              </w:rPr>
            </w:pPr>
            <w:r>
              <w:rPr>
                <w:rFonts w:ascii="Times New Roman" w:cs="Times New Roman" w:eastAsia="Times New Roman" w:hAnsi="Times New Roman"/>
                <w:sz w:val="18"/>
                <w:szCs w:val="18"/>
                <w:color w:val="auto"/>
              </w:rPr>
              <w:t>Founder, President, Interim Chief Executive Officer, and Head of</w:t>
            </w:r>
          </w:p>
        </w:tc>
      </w:tr>
      <w:tr>
        <w:trPr>
          <w:trHeight w:val="234"/>
        </w:trPr>
        <w:tc>
          <w:tcPr>
            <w:tcW w:w="3500" w:type="dxa"/>
            <w:vAlign w:val="bottom"/>
          </w:tcPr>
          <w:p>
            <w:pPr>
              <w:spacing w:after="0"/>
              <w:rPr>
                <w:sz w:val="20"/>
                <w:szCs w:val="20"/>
                <w:color w:val="auto"/>
              </w:rPr>
            </w:pPr>
          </w:p>
        </w:tc>
        <w:tc>
          <w:tcPr>
            <w:tcW w:w="2460" w:type="dxa"/>
            <w:vAlign w:val="bottom"/>
          </w:tcPr>
          <w:p>
            <w:pPr>
              <w:spacing w:after="0"/>
              <w:rPr>
                <w:sz w:val="20"/>
                <w:szCs w:val="20"/>
                <w:color w:val="auto"/>
              </w:rPr>
            </w:pPr>
          </w:p>
        </w:tc>
        <w:tc>
          <w:tcPr>
            <w:tcW w:w="5280" w:type="dxa"/>
            <w:vAlign w:val="bottom"/>
          </w:tcPr>
          <w:p>
            <w:pPr>
              <w:spacing w:after="0"/>
              <w:rPr>
                <w:sz w:val="20"/>
                <w:szCs w:val="20"/>
                <w:color w:val="auto"/>
              </w:rPr>
            </w:pPr>
            <w:r>
              <w:rPr>
                <w:rFonts w:ascii="Times New Roman" w:cs="Times New Roman" w:eastAsia="Times New Roman" w:hAnsi="Times New Roman"/>
                <w:sz w:val="18"/>
                <w:szCs w:val="18"/>
                <w:color w:val="auto"/>
              </w:rPr>
              <w:t>Business Development &amp; Strategy</w:t>
            </w:r>
          </w:p>
        </w:tc>
      </w:tr>
      <w:tr>
        <w:trPr>
          <w:trHeight w:val="675"/>
        </w:trPr>
        <w:tc>
          <w:tcPr>
            <w:tcW w:w="3500" w:type="dxa"/>
            <w:vAlign w:val="bottom"/>
            <w:tcBorders>
              <w:bottom w:val="single" w:sz="8" w:color="auto"/>
            </w:tcBorders>
          </w:tcPr>
          <w:p>
            <w:pPr>
              <w:spacing w:after="0"/>
              <w:rPr>
                <w:sz w:val="24"/>
                <w:szCs w:val="24"/>
                <w:color w:val="auto"/>
              </w:rPr>
            </w:pPr>
          </w:p>
        </w:tc>
        <w:tc>
          <w:tcPr>
            <w:tcW w:w="2460" w:type="dxa"/>
            <w:vAlign w:val="bottom"/>
            <w:tcBorders>
              <w:bottom w:val="single" w:sz="8" w:color="auto"/>
            </w:tcBorders>
          </w:tcPr>
          <w:p>
            <w:pPr>
              <w:spacing w:after="0"/>
              <w:rPr>
                <w:sz w:val="24"/>
                <w:szCs w:val="24"/>
                <w:color w:val="auto"/>
              </w:rPr>
            </w:pPr>
          </w:p>
        </w:tc>
        <w:tc>
          <w:tcPr>
            <w:tcW w:w="528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240"/>
      </w:cols>
      <w:pgMar w:left="320" w:top="90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2022-06-02T16:18:11Z</dcterms:created>
  <dcterms:modified xsi:type="dcterms:W3CDTF">2022-06-02T16:18:11Z</dcterms:modified>
</cp:coreProperties>
</file>