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122555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39" w:lineRule="exact"/>
        <w:rPr>
          <w:sz w:val="24"/>
          <w:szCs w:val="24"/>
          <w:color w:val="auto"/>
        </w:rPr>
      </w:pPr>
    </w:p>
    <w:p>
      <w:pPr>
        <w:ind w:left="400" w:hanging="350"/>
        <w:spacing w:after="0"/>
        <w:tabs>
          <w:tab w:leader="none" w:pos="4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0" w:lineRule="exact"/>
        <w:rPr>
          <w:sz w:val="24"/>
          <w:szCs w:val="24"/>
          <w:color w:val="auto"/>
        </w:rPr>
      </w:pPr>
    </w:p>
    <w:p>
      <w:pPr>
        <w:ind w:left="400" w:hanging="350"/>
        <w:spacing w:after="0"/>
        <w:tabs>
          <w:tab w:leader="none" w:pos="4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340"/>
        <w:spacing w:after="0"/>
        <w:tabs>
          <w:tab w:leader="none" w:pos="5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001-38650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Y-mAbs Therapeutics, Inc.</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107950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p>
      <w:pPr>
        <w:spacing w:after="0" w:line="336"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47-4619612</w:t>
      </w:r>
    </w:p>
    <w:p>
      <w:pPr>
        <w:spacing w:after="0" w:line="152" w:lineRule="exact"/>
        <w:rPr>
          <w:sz w:val="24"/>
          <w:szCs w:val="24"/>
          <w:color w:val="auto"/>
        </w:rPr>
      </w:pPr>
    </w:p>
    <w:p>
      <w:pPr>
        <w:sectPr>
          <w:pgSz w:w="11900" w:h="16838" w:orient="portrait"/>
          <w:cols w:equalWidth="0" w:num="2">
            <w:col w:w="5700" w:space="720"/>
            <w:col w:w="2599"/>
          </w:cols>
          <w:pgMar w:left="1440" w:top="665" w:right="1440"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13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5520" w:space="720"/>
            <w:col w:w="277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230 Park Avenue</w:t>
      </w:r>
    </w:p>
    <w:p>
      <w:pPr>
        <w:jc w:val="center"/>
        <w:ind w:right="19"/>
        <w:spacing w:after="0" w:line="226" w:lineRule="auto"/>
        <w:rPr>
          <w:sz w:val="20"/>
          <w:szCs w:val="20"/>
          <w:color w:val="auto"/>
        </w:rPr>
      </w:pPr>
      <w:r>
        <w:rPr>
          <w:rFonts w:ascii="Arial" w:cs="Arial" w:eastAsia="Arial" w:hAnsi="Arial"/>
          <w:sz w:val="14"/>
          <w:szCs w:val="14"/>
          <w:b w:val="1"/>
          <w:bCs w:val="1"/>
          <w:color w:val="auto"/>
        </w:rPr>
        <w:t>Suite 3350</w:t>
      </w:r>
    </w:p>
    <w:p>
      <w:pPr>
        <w:jc w:val="center"/>
        <w:ind w:right="19"/>
        <w:spacing w:after="0" w:line="221" w:lineRule="auto"/>
        <w:rPr>
          <w:sz w:val="20"/>
          <w:szCs w:val="20"/>
          <w:color w:val="auto"/>
        </w:rPr>
      </w:pPr>
      <w:r>
        <w:rPr>
          <w:rFonts w:ascii="Arial" w:cs="Arial" w:eastAsia="Arial" w:hAnsi="Arial"/>
          <w:sz w:val="14"/>
          <w:szCs w:val="14"/>
          <w:b w:val="1"/>
          <w:bCs w:val="1"/>
          <w:color w:val="auto"/>
        </w:rPr>
        <w:t>New York, NY 10169</w:t>
      </w:r>
    </w:p>
    <w:p>
      <w:pPr>
        <w:jc w:val="center"/>
        <w:ind w:right="19"/>
        <w:spacing w:after="0"/>
        <w:rPr>
          <w:sz w:val="20"/>
          <w:szCs w:val="20"/>
          <w:color w:val="auto"/>
        </w:rPr>
      </w:pPr>
      <w:r>
        <w:rPr>
          <w:rFonts w:ascii="Arial" w:cs="Arial" w:eastAsia="Arial" w:hAnsi="Arial"/>
          <w:sz w:val="13"/>
          <w:szCs w:val="13"/>
          <w:color w:val="auto"/>
        </w:rPr>
        <w:t>(Address of principal executive offices)</w:t>
      </w:r>
    </w:p>
    <w:p>
      <w:pPr>
        <w:jc w:val="center"/>
        <w:ind w:right="19"/>
        <w:spacing w:after="0"/>
        <w:rPr>
          <w:sz w:val="20"/>
          <w:szCs w:val="20"/>
          <w:color w:val="auto"/>
        </w:rPr>
      </w:pPr>
      <w:r>
        <w:rPr>
          <w:rFonts w:ascii="Arial" w:cs="Arial" w:eastAsia="Arial" w:hAnsi="Arial"/>
          <w:sz w:val="14"/>
          <w:szCs w:val="14"/>
          <w:color w:val="auto"/>
        </w:rPr>
        <w:t>(Zip Code)</w:t>
      </w:r>
    </w:p>
    <w:p>
      <w:pPr>
        <w:sectPr>
          <w:pgSz w:w="11900" w:h="16838" w:orient="portrait"/>
          <w:cols w:equalWidth="0" w:num="1">
            <w:col w:w="9019"/>
          </w:cols>
          <w:pgMar w:left="1440" w:top="665" w:right="1440" w:bottom="1440" w:gutter="0" w:footer="0" w:header="0"/>
          <w:type w:val="continuous"/>
        </w:sectPr>
      </w:pP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(646)-885-8505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22" w:lineRule="exact"/>
        <w:rPr>
          <w:sz w:val="24"/>
          <w:szCs w:val="24"/>
          <w:color w:val="auto"/>
        </w:rPr>
      </w:pPr>
    </w:p>
    <w:tbl>
      <w:tblPr>
        <w:tblLayout w:type="fixed"/>
        <w:tblInd w:w="960" w:type="dxa"/>
        <w:tblCellMar>
          <w:top w:w="0" w:type="dxa"/>
          <w:left w:w="0" w:type="dxa"/>
          <w:bottom w:w="0" w:type="dxa"/>
          <w:right w:w="0" w:type="dxa"/>
        </w:tblCellMar>
      </w:tblPr>
      <w:tr>
        <w:trPr>
          <w:trHeight w:val="135"/>
        </w:trPr>
        <w:tc>
          <w:tcPr>
            <w:tcW w:w="3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Title of each class:</w:t>
            </w:r>
          </w:p>
        </w:tc>
        <w:tc>
          <w:tcPr>
            <w:tcW w:w="11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Trading Symbol</w:t>
            </w:r>
          </w:p>
        </w:tc>
        <w:tc>
          <w:tcPr>
            <w:tcW w:w="290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$0.0001 par value</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20" w:type="dxa"/>
            <w:vAlign w:val="bottom"/>
          </w:tcPr>
          <w:p>
            <w:pPr>
              <w:spacing w:after="0"/>
              <w:rPr>
                <w:sz w:val="15"/>
                <w:szCs w:val="15"/>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167005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00" w:lineRule="exact"/>
        <w:rPr>
          <w:sz w:val="24"/>
          <w:szCs w:val="24"/>
          <w:color w:val="auto"/>
        </w:rPr>
      </w:pPr>
    </w:p>
    <w:p>
      <w:pPr>
        <w:ind w:left="60" w:right="17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ind w:left="60" w:right="7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0" w:right="33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61" w:lineRule="exact"/>
        <w:rPr>
          <w:sz w:val="24"/>
          <w:szCs w:val="24"/>
          <w:color w:val="auto"/>
        </w:rPr>
      </w:pPr>
    </w:p>
    <w:p>
      <w:pPr>
        <w:ind w:left="15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480" w:space="720"/>
            <w:col w:w="2819"/>
          </w:cols>
          <w:pgMar w:left="1440" w:top="665" w:right="1440" w:bottom="1440" w:gutter="0" w:footer="0" w:header="0"/>
          <w:type w:val="continuous"/>
        </w:sectPr>
      </w:pPr>
    </w:p>
    <w:p>
      <w:pPr>
        <w:ind w:left="15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6" w:lineRule="exact"/>
        <w:rPr>
          <w:sz w:val="24"/>
          <w:szCs w:val="24"/>
          <w:color w:val="auto"/>
        </w:rPr>
      </w:pPr>
    </w:p>
    <w:p>
      <w:pPr>
        <w:sectPr>
          <w:pgSz w:w="11900" w:h="16838" w:orient="portrait"/>
          <w:cols w:equalWidth="0" w:num="3">
            <w:col w:w="5160" w:space="720"/>
            <w:col w:w="1560" w:space="80"/>
            <w:col w:w="1499"/>
          </w:cols>
          <w:pgMar w:left="1440" w:top="665" w:right="1440" w:bottom="1440" w:gutter="0" w:footer="0" w:header="0"/>
          <w:type w:val="continuous"/>
        </w:sectPr>
      </w:pPr>
    </w:p>
    <w:p>
      <w:pPr>
        <w:ind w:left="60" w:right="1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09" w:lineRule="exact"/>
        <w:rPr>
          <w:sz w:val="24"/>
          <w:szCs w:val="24"/>
          <w:color w:val="auto"/>
        </w:rPr>
      </w:pPr>
    </w:p>
    <w:p>
      <w:pPr>
        <w:ind w:left="700"/>
        <w:spacing w:after="0"/>
        <w:rPr>
          <w:sz w:val="20"/>
          <w:szCs w:val="20"/>
          <w:color w:val="auto"/>
        </w:rPr>
      </w:pPr>
      <w:r>
        <w:rPr>
          <w:rFonts w:ascii="Arial" w:cs="Arial" w:eastAsia="Arial" w:hAnsi="Arial"/>
          <w:sz w:val="14"/>
          <w:szCs w:val="14"/>
          <w:color w:val="auto"/>
        </w:rPr>
        <w:t>There were 43,677,767 shares of Common Stock ($0.0001 par value) outstanding as of May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801370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424180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about us and our industry that involve that involve substantial risks and uncertainties. All statements, other than statements of historical facts, contained in this Quarterly Report on Form 10-Q,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8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on Form 10-Q.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spacing w:after="0" w:line="167"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The forward-looking statements contained in this Quarterly Report on Form 10-Q are made as of the date of this Quarterly Report on Form 10-Q, and we undertake no obligation to publicly update or review any forward-looking statement, whether as a result of new information, future developments or otherwise, except as required by law.</w:t>
      </w:r>
    </w:p>
    <w:p>
      <w:pPr>
        <w:spacing w:after="0" w:line="14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Unless expressly indicated or the context requires otherwise, the terms ”Y-mAbs,” "Company," "we," "us," and "our" in this document refer to Y-mAbs Therapeutics, Inc., a Delaware corporation, and, where appropriate, its subsidiaries.</w:t>
      </w:r>
    </w:p>
    <w:p>
      <w:pPr>
        <w:spacing w:after="0" w:line="12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These risks are discussed more fully below and include, but are not limited to, risks related to, the following:</w:t>
      </w:r>
    </w:p>
    <w:p>
      <w:pPr>
        <w:spacing w:after="0" w:line="237" w:lineRule="exact"/>
        <w:rPr>
          <w:sz w:val="20"/>
          <w:szCs w:val="20"/>
          <w:color w:val="auto"/>
        </w:rPr>
      </w:pPr>
    </w:p>
    <w:p>
      <w:pPr>
        <w:ind w:left="1100" w:right="599" w:hanging="388"/>
        <w:spacing w:after="0" w:line="255"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successfully implement our business model and our plans to obtain regulatory approval and develop and commercialize our other product candidates, including the potential clinical efficacy, safety and other benefits thereof;</w:t>
      </w:r>
    </w:p>
    <w:p>
      <w:pPr>
        <w:spacing w:after="0" w:line="2" w:lineRule="exact"/>
        <w:rPr>
          <w:rFonts w:ascii="Arial" w:cs="Arial" w:eastAsia="Arial" w:hAnsi="Arial"/>
          <w:sz w:val="18"/>
          <w:szCs w:val="18"/>
          <w:color w:val="auto"/>
        </w:rPr>
      </w:pPr>
    </w:p>
    <w:p>
      <w:pPr>
        <w:ind w:left="1100" w:right="179" w:hanging="388"/>
        <w:spacing w:after="0" w:line="255"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rate and degree of market acceptance and clinical utility for DANYELZA or any current or future product candidate for which we may receive marketing approval may not be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239" w:hanging="388"/>
        <w:spacing w:after="0" w:line="25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obtaining approval of our product candidates and expectations with respect to the commercial value of any of our product candidates may not be realized;</w:t>
      </w:r>
    </w:p>
    <w:p>
      <w:pPr>
        <w:spacing w:after="0" w:line="1" w:lineRule="exact"/>
        <w:rPr>
          <w:rFonts w:ascii="Arial" w:cs="Arial" w:eastAsia="Arial" w:hAnsi="Arial"/>
          <w:sz w:val="18"/>
          <w:szCs w:val="18"/>
          <w:color w:val="auto"/>
        </w:rPr>
      </w:pPr>
    </w:p>
    <w:p>
      <w:pPr>
        <w:ind w:left="1100" w:right="339" w:hanging="388"/>
        <w:spacing w:after="0" w:line="26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implementing our business strategy, including our ability and plans in continuing to build out our commercial infrastructure and successfully launching, marketing, and selling DANYELZA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jc w:val="both"/>
        <w:ind w:left="1100" w:right="41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with respect to the pricing, coverage and reimbursement of, and the extent to which patient assistance programs are utilized for DANYELZA or other product candidates for which we may receive marketing approval may not be realized;</w:t>
      </w:r>
    </w:p>
    <w:p>
      <w:pPr>
        <w:spacing w:after="0" w:line="1" w:lineRule="exact"/>
        <w:rPr>
          <w:rFonts w:ascii="Arial" w:cs="Arial" w:eastAsia="Arial" w:hAnsi="Arial"/>
          <w:sz w:val="18"/>
          <w:szCs w:val="18"/>
          <w:color w:val="auto"/>
        </w:rPr>
      </w:pPr>
    </w:p>
    <w:p>
      <w:pPr>
        <w:ind w:left="1100" w:right="299" w:hanging="388"/>
        <w:spacing w:after="0" w:line="26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with respect to our ongoing and future clinical trials for DANYELZA and other product candidates,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attract, integrate, manage and retain qualified personnel or key employees;</w:t>
      </w:r>
    </w:p>
    <w:p>
      <w:pPr>
        <w:spacing w:after="0" w:line="9" w:lineRule="exact"/>
        <w:rPr>
          <w:rFonts w:ascii="Arial" w:cs="Arial" w:eastAsia="Arial" w:hAnsi="Arial"/>
          <w:sz w:val="18"/>
          <w:szCs w:val="18"/>
          <w:color w:val="auto"/>
        </w:rPr>
      </w:pPr>
    </w:p>
    <w:p>
      <w:pPr>
        <w:ind w:left="1100" w:right="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realize the expected benefits from our recent business restructuring and workforce reduction and we may incur additional costs implementing it or other difficulties;</w:t>
      </w:r>
    </w:p>
    <w:p>
      <w:pPr>
        <w:ind w:left="1100" w:right="2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with respect to the timing of and our ability to obtain and maintain regulatory, marketing and reimbursement approvals for our product candidates may not be realized;</w:t>
      </w:r>
    </w:p>
    <w:p>
      <w:pPr>
        <w:ind w:left="1100" w:right="7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successfully implement our commercialization, marketing and manufacturing capabilities and strategy;</w:t>
      </w:r>
    </w:p>
    <w:p>
      <w:pPr>
        <w:ind w:left="1100" w:right="119" w:hanging="388"/>
        <w:spacing w:after="0" w:line="281"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p>
      <w:pPr>
        <w:spacing w:after="0" w:line="2" w:lineRule="exact"/>
        <w:rPr>
          <w:rFonts w:ascii="Arial" w:cs="Arial" w:eastAsia="Arial" w:hAnsi="Arial"/>
          <w:sz w:val="16"/>
          <w:szCs w:val="16"/>
          <w:color w:val="auto"/>
        </w:rPr>
      </w:pPr>
    </w:p>
    <w:p>
      <w:pPr>
        <w:ind w:left="1100" w:right="2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identify and develop additional product candidates and technologies with significant commercial potential;</w:t>
      </w:r>
    </w:p>
    <w:p>
      <w:pPr>
        <w:ind w:left="1100" w:right="35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 w:lineRule="exact"/>
        <w:rPr>
          <w:rFonts w:ascii="Arial" w:cs="Arial" w:eastAsia="Arial" w:hAnsi="Arial"/>
          <w:sz w:val="18"/>
          <w:szCs w:val="18"/>
          <w:color w:val="auto"/>
        </w:rPr>
      </w:pPr>
    </w:p>
    <w:p>
      <w:pPr>
        <w:ind w:left="1100" w:right="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our ability to continue to maintain and leverage our relationship with Memorial Sloan Kettering Cancer Center, or MSK, including our exclusive rights to the 2015 MSK License Agreement (as amended), or MSK License, the 2020 SADA Technology License Agreement, or SADA License Agreement, and current and future technology and our relationship with MSK as a user of DANYELZA and any future products;</w:t>
      </w:r>
    </w:p>
    <w:p>
      <w:pPr>
        <w:spacing w:after="0" w:line="1" w:lineRule="exact"/>
        <w:rPr>
          <w:rFonts w:ascii="Arial" w:cs="Arial" w:eastAsia="Arial" w:hAnsi="Arial"/>
          <w:sz w:val="18"/>
          <w:szCs w:val="18"/>
          <w:color w:val="auto"/>
        </w:rPr>
      </w:pPr>
    </w:p>
    <w:p>
      <w:pPr>
        <w:ind w:left="1100" w:right="359" w:hanging="388"/>
        <w:spacing w:after="0" w:line="281"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and how long our cash resources are expected to last, may be inaccurate and we may require additional funding sooner than we expect;</w:t>
      </w:r>
    </w:p>
    <w:p>
      <w:pPr>
        <w:spacing w:after="0" w:line="1" w:lineRule="exact"/>
        <w:rPr>
          <w:rFonts w:ascii="Arial" w:cs="Arial" w:eastAsia="Arial" w:hAnsi="Arial"/>
          <w:sz w:val="16"/>
          <w:szCs w:val="16"/>
          <w:color w:val="auto"/>
        </w:rPr>
      </w:pPr>
    </w:p>
    <w:p>
      <w:pPr>
        <w:ind w:left="1100" w:right="4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our product and product candidates and evaluate future product candidates, and programs or other operations;</w:t>
      </w:r>
    </w:p>
    <w:p>
      <w:pPr>
        <w:spacing w:after="0" w:line="1" w:lineRule="exact"/>
        <w:rPr>
          <w:rFonts w:ascii="Arial" w:cs="Arial" w:eastAsia="Arial" w:hAnsi="Arial"/>
          <w:sz w:val="18"/>
          <w:szCs w:val="18"/>
          <w:color w:val="auto"/>
        </w:rPr>
      </w:pPr>
    </w:p>
    <w:p>
      <w:pPr>
        <w:ind w:left="1100" w:right="35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 of any future financing transaction and our common stock price and other factors may impact our ability to raise additional capital on favorable terms;</w:t>
      </w:r>
    </w:p>
    <w:p>
      <w:pPr>
        <w:ind w:left="1100" w:right="759" w:hanging="388"/>
        <w:spacing w:after="0" w:line="26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with respect to our financial performance, including our estimates regarding revenues, expenses, cash flow, and capital expenditure requirements may not be realized;</w:t>
      </w:r>
    </w:p>
    <w:p>
      <w:pPr>
        <w:ind w:left="1100" w:right="17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 w:lineRule="exact"/>
        <w:rPr>
          <w:rFonts w:ascii="Arial" w:cs="Arial" w:eastAsia="Arial" w:hAnsi="Arial"/>
          <w:sz w:val="18"/>
          <w:szCs w:val="18"/>
          <w:color w:val="auto"/>
        </w:rPr>
      </w:pPr>
    </w:p>
    <w:p>
      <w:pPr>
        <w:jc w:val="both"/>
        <w:ind w:left="1100" w:right="439" w:hanging="388"/>
        <w:spacing w:after="0" w:line="302" w:lineRule="auto"/>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financial condition and results of operations have been and may in the future be adversely affected by the COVID-19 pandemic or similar health crises, macroeconomic conditions, such as rising inflation, uncertain global financial markets, supply chain disruptions, and by geopolitical events,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179"/>
        <w:spacing w:after="0" w:line="258" w:lineRule="auto"/>
        <w:rPr>
          <w:sz w:val="20"/>
          <w:szCs w:val="20"/>
          <w:color w:val="auto"/>
        </w:rPr>
      </w:pPr>
      <w:r>
        <w:rPr>
          <w:rFonts w:ascii="Arial" w:cs="Arial" w:eastAsia="Arial" w:hAnsi="Arial"/>
          <w:sz w:val="18"/>
          <w:szCs w:val="18"/>
          <w:color w:val="auto"/>
        </w:rPr>
        <w:t>including the invasion of Ukraine by Russia, and sanctions related thereto, which resulted in the suspension of our clinical trial and regulatory activities in Russia;</w:t>
      </w:r>
    </w:p>
    <w:p>
      <w:pPr>
        <w:spacing w:after="0" w:line="1" w:lineRule="exact"/>
        <w:rPr>
          <w:sz w:val="20"/>
          <w:szCs w:val="20"/>
          <w:color w:val="auto"/>
        </w:rPr>
      </w:pPr>
    </w:p>
    <w:p>
      <w:pPr>
        <w:ind w:left="1100" w:right="139" w:hanging="388"/>
        <w:spacing w:after="0" w:line="28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currently depend on a small number of third-party CMOs and expect it would be difficult to find a suitable replacement for the complex and difficult manufacture of DANYELZA and our product candidates. The loss of any of these CMOs or the failure of any of them to meet their obligations to us could affect our ability to continue to sell DANYELZA or to develop our other product candidates in a timely manner; and</w:t>
      </w:r>
    </w:p>
    <w:p>
      <w:pPr>
        <w:spacing w:after="0" w:line="2" w:lineRule="exact"/>
        <w:rPr>
          <w:rFonts w:ascii="Arial" w:cs="Arial" w:eastAsia="Arial" w:hAnsi="Arial"/>
          <w:sz w:val="16"/>
          <w:szCs w:val="16"/>
          <w:color w:val="auto"/>
        </w:rPr>
      </w:pPr>
    </w:p>
    <w:p>
      <w:pPr>
        <w:ind w:left="1100" w:right="79" w:hanging="388"/>
        <w:spacing w:after="0" w:line="255"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6"/>
            <w:vMerge w:val="restart"/>
          </w:tcPr>
          <w:p>
            <w:pPr>
              <w:jc w:val="center"/>
              <w:spacing w:after="0"/>
              <w:rPr>
                <w:sz w:val="20"/>
                <w:szCs w:val="20"/>
                <w:color w:val="auto"/>
              </w:rPr>
            </w:pPr>
            <w:r>
              <w:rPr>
                <w:rFonts w:ascii="Arial" w:cs="Arial" w:eastAsia="Arial" w:hAnsi="Arial"/>
                <w:sz w:val="18"/>
                <w:szCs w:val="18"/>
                <w:color w:val="0000EE"/>
                <w:w w:val="98"/>
              </w:rPr>
              <w:t>PART I — FINANCIAL INFORMATION</w:t>
            </w:r>
          </w:p>
        </w:tc>
        <w:tc>
          <w:tcPr>
            <w:tcW w:w="2200" w:type="dxa"/>
            <w:vAlign w:val="bottom"/>
            <w:gridSpan w:val="6"/>
            <w:vMerge w:val="restart"/>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Borders>
              <w:bottom w:val="single" w:sz="8" w:color="0000EE"/>
            </w:tcBorders>
            <w:gridSpan w:val="6"/>
            <w:vMerge w:val="continue"/>
          </w:tcPr>
          <w:p>
            <w:pPr>
              <w:spacing w:after="0"/>
              <w:rPr>
                <w:sz w:val="13"/>
                <w:szCs w:val="13"/>
                <w:color w:val="auto"/>
              </w:rPr>
            </w:pPr>
          </w:p>
        </w:tc>
        <w:tc>
          <w:tcPr>
            <w:tcW w:w="220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9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480" w:type="dxa"/>
            <w:vAlign w:val="bottom"/>
            <w:gridSpan w:val="21"/>
          </w:tcPr>
          <w:p>
            <w:pPr>
              <w:spacing w:after="0"/>
              <w:rPr>
                <w:sz w:val="20"/>
                <w:szCs w:val="20"/>
                <w:color w:val="auto"/>
              </w:rPr>
            </w:pPr>
            <w:r>
              <w:rPr>
                <w:rFonts w:ascii="Arial" w:cs="Arial" w:eastAsia="Arial" w:hAnsi="Arial"/>
                <w:sz w:val="18"/>
                <w:szCs w:val="18"/>
                <w:color w:val="0000EE"/>
              </w:rPr>
              <w:t>Consolidated Financial Statements</w:t>
            </w:r>
            <w:r>
              <w:rPr>
                <w:rFonts w:ascii="Arial" w:cs="Arial" w:eastAsia="Arial" w:hAnsi="Arial"/>
                <w:sz w:val="18"/>
                <w:szCs w:val="18"/>
                <w:color w:val="000000"/>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Consolidated Balance Sheets (unaudited) as of March 31, 2023 and December 31, 2022</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w w:val="90"/>
              </w:rPr>
              <w:t>Consolidated Statements of Net Loss and Comprehensive Loss (unaudited) for the three months ended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March 31, 2023 and 2022</w:t>
            </w:r>
          </w:p>
        </w:tc>
        <w:tc>
          <w:tcPr>
            <w:tcW w:w="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w w:val="92"/>
              </w:rPr>
              <w:t>Consolidated Statements of Changes in Stockholders’ Equity (unaudited) for the three months ended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0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March 31, 2023 and 2022</w:t>
            </w:r>
          </w:p>
        </w:tc>
        <w:tc>
          <w:tcPr>
            <w:tcW w:w="24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w w:val="92"/>
              </w:rPr>
              <w:t>Consolidated Statements of Cash Flows (unaudited) for the three months ended March 31, 2023 and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0000EE"/>
            </w:tcBorders>
            <w:gridSpan w:val="2"/>
          </w:tcPr>
          <w:p>
            <w:pPr>
              <w:ind w:left="140"/>
              <w:spacing w:after="0" w:line="196" w:lineRule="exact"/>
              <w:rPr>
                <w:sz w:val="20"/>
                <w:szCs w:val="20"/>
                <w:color w:val="auto"/>
              </w:rPr>
            </w:pPr>
            <w:r>
              <w:rPr>
                <w:rFonts w:ascii="Arial" w:cs="Arial" w:eastAsia="Arial" w:hAnsi="Arial"/>
                <w:sz w:val="18"/>
                <w:szCs w:val="18"/>
                <w:color w:val="0000EE"/>
                <w:w w:val="84"/>
              </w:rPr>
              <w:t>2022</w:t>
            </w: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Notes to Consolidated Financial Statements (unaudited)</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1"/>
          </w:tcPr>
          <w:p>
            <w:pPr>
              <w:jc w:val="center"/>
              <w:ind w:right="2360"/>
              <w:spacing w:after="0"/>
              <w:rPr>
                <w:sz w:val="20"/>
                <w:szCs w:val="20"/>
                <w:color w:val="auto"/>
              </w:rPr>
            </w:pPr>
            <w:r>
              <w:rPr>
                <w:rFonts w:ascii="Arial" w:cs="Arial" w:eastAsia="Arial" w:hAnsi="Arial"/>
                <w:sz w:val="18"/>
                <w:szCs w:val="18"/>
                <w:color w:val="0000EE"/>
                <w:w w:val="96"/>
              </w:rPr>
              <w:t>PART II —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380" w:type="dxa"/>
            <w:vAlign w:val="bottom"/>
            <w:gridSpan w:val="10"/>
          </w:tcPr>
          <w:p>
            <w:pPr>
              <w:spacing w:after="0"/>
              <w:rPr>
                <w:sz w:val="20"/>
                <w:szCs w:val="20"/>
                <w:color w:val="auto"/>
              </w:rPr>
            </w:pPr>
            <w:r>
              <w:rPr>
                <w:rFonts w:ascii="Arial" w:cs="Arial" w:eastAsia="Arial" w:hAnsi="Arial"/>
                <w:sz w:val="18"/>
                <w:szCs w:val="18"/>
                <w:color w:val="0000EE"/>
              </w:rPr>
              <w:t>Legal Proceedings</w:t>
            </w:r>
          </w:p>
        </w:tc>
        <w:tc>
          <w:tcPr>
            <w:tcW w:w="2740" w:type="dxa"/>
            <w:vAlign w:val="bottom"/>
            <w:tcBorders>
              <w:top w:val="single" w:sz="8" w:color="0000EE"/>
            </w:tcBorders>
            <w:gridSpan w:val="4"/>
          </w:tcPr>
          <w:p>
            <w:pPr>
              <w:spacing w:after="0"/>
              <w:rPr>
                <w:sz w:val="24"/>
                <w:szCs w:val="24"/>
                <w:color w:val="auto"/>
              </w:rPr>
            </w:pPr>
          </w:p>
        </w:tc>
        <w:tc>
          <w:tcPr>
            <w:tcW w:w="23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300" w:type="dxa"/>
            <w:vAlign w:val="bottom"/>
          </w:tcPr>
          <w:p>
            <w:pPr>
              <w:spacing w:after="0"/>
              <w:rPr>
                <w:sz w:val="17"/>
                <w:szCs w:val="17"/>
                <w:color w:val="auto"/>
              </w:rPr>
            </w:pP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Defaults on Senior Securities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53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7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Other Information</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480" w:type="dxa"/>
            <w:vAlign w:val="bottom"/>
            <w:gridSpan w:val="21"/>
          </w:tcPr>
          <w:p>
            <w:pPr>
              <w:spacing w:after="0" w:line="196" w:lineRule="exact"/>
              <w:rPr>
                <w:sz w:val="20"/>
                <w:szCs w:val="20"/>
                <w:color w:val="auto"/>
              </w:rPr>
            </w:pPr>
            <w:r>
              <w:rPr>
                <w:rFonts w:ascii="Arial" w:cs="Arial" w:eastAsia="Arial" w:hAnsi="Arial"/>
                <w:sz w:val="18"/>
                <w:szCs w:val="18"/>
                <w:color w:val="0000EE"/>
              </w:rPr>
              <w:t>Exhibits</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You should read this Quarterly Report and the documents we have filed as exhibits to this Quarterly Report on Form 10-Q completely and with the understanding that our actual future results may be materially different from the plans, intentions, and expectations disclosed in the forward-looking statements we may make.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50"/>
        </w:trPr>
        <w:tc>
          <w:tcPr>
            <w:tcW w:w="6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milestone and royalty payments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Operating lease liabilities, long-term portion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$0.0001 par value, 5,500,000 shares authorized and none issued at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2023 and December 31, 2022</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100,000,000 shares authorized at March 31, 2023 and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40"/>
              <w:spacing w:after="0"/>
              <w:rPr>
                <w:sz w:val="20"/>
                <w:szCs w:val="20"/>
                <w:color w:val="auto"/>
              </w:rPr>
            </w:pPr>
            <w:r>
              <w:rPr>
                <w:rFonts w:ascii="Arial" w:cs="Arial" w:eastAsia="Arial" w:hAnsi="Arial"/>
                <w:sz w:val="18"/>
                <w:szCs w:val="18"/>
                <w:color w:val="auto"/>
                <w:w w:val="93"/>
              </w:rPr>
              <w:t>December 31, 2022; 43,677,767 and 43,670,109 shares issued at March 31, 2023 and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240"/>
              <w:spacing w:after="0"/>
              <w:rPr>
                <w:sz w:val="20"/>
                <w:szCs w:val="20"/>
                <w:color w:val="auto"/>
              </w:rPr>
            </w:pPr>
            <w:r>
              <w:rPr>
                <w:rFonts w:ascii="Arial" w:cs="Arial" w:eastAsia="Arial" w:hAnsi="Arial"/>
                <w:sz w:val="18"/>
                <w:szCs w:val="18"/>
                <w:color w:val="auto"/>
              </w:rPr>
              <w:t>December 31, 2022, respectively</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(442,433)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(436,043)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107,829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20,251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INCOME / (LOSS),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 / (loss)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 (loss)</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w w:val="98"/>
              </w:rPr>
              <w:t>Net loss per share attributable to common stockholders, basic and diluted</w:t>
            </w:r>
          </w:p>
        </w:tc>
        <w:tc>
          <w:tcPr>
            <w:tcW w:w="4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(0.15)</w:t>
            </w:r>
          </w:p>
        </w:tc>
        <w:tc>
          <w:tcPr>
            <w:tcW w:w="200" w:type="dxa"/>
            <w:vAlign w:val="bottom"/>
            <w:vMerge w:val="continue"/>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43,671,589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43,709,238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ind w:right="113"/>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40" w:type="dxa"/>
            <w:vAlign w:val="bottom"/>
          </w:tcPr>
          <w:p>
            <w:pPr>
              <w:spacing w:after="0"/>
              <w:rPr>
                <w:sz w:val="17"/>
                <w:szCs w:val="17"/>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Paid-in Capital</w:t>
            </w:r>
          </w:p>
        </w:tc>
        <w:tc>
          <w:tcPr>
            <w:tcW w:w="14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Income / (Loss)</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43,694,716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519,206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(340,475)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180,106</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Stock-based compensation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8"/>
                <w:szCs w:val="18"/>
                <w:color w:val="auto"/>
              </w:rPr>
              <w:t>Balance 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43,718,165</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524,329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(368,543)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157,472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9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4"/>
              </w:rPr>
              <w:t>Paid-in Capital</w:t>
            </w:r>
          </w:p>
        </w:tc>
        <w:tc>
          <w:tcPr>
            <w:tcW w:w="14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Income / (Loss)</w:t>
            </w:r>
          </w:p>
        </w:tc>
        <w:tc>
          <w:tcPr>
            <w:tcW w:w="1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43,670,109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543,929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(436,043)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109,221</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w w:val="96"/>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7,658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43,677,767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(442,433)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107,829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(6,390)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Foreign currency and other transactions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 and other</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exercised stock options</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181,564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Intangible assets acquisition in accrued milestones and royalty payments</w:t>
            </w:r>
          </w:p>
        </w:tc>
        <w:tc>
          <w:tcPr>
            <w:tcW w:w="8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Y-mAbs Therapeutics, Inc. (“we,” “us,” “our,” the “Company,” or “Y-mAbs”) is a commercial 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8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has incurred losses in almost all quarters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Company’s drug candidates are in various stages of development. DANYELZA (naxitamab-gqgk)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financial statements have been prepared on the basis of continuity of operations, realization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assets and the satisfaction of liabilities in the ordinary course of business. The Company has experienced negative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flows from operations since inception, and had an accumulated deficit of $442,433,000 as of March 31, 2023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$436,043,000 as of December 31, 2022. Through March 31, 2023, the Company has funded its operations primarily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through proceeds from sales of shares of its common stock, including its initial public offering in September 2018 and its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subsequent public offerings in November 2019 and February 2021, as well as additional funding from the proceeds from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sales of DANYELZA and from proceeds from the sale of the DANYELZA PRV.</w:t>
      </w:r>
    </w:p>
    <w:p>
      <w:pPr>
        <w:spacing w:after="0" w:line="211"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As of March 31, 2023, the Company had cash and cash equivalents of $92,629,000, and as of December 31, 2022 the Company had cash and cash equivalents of $105,762,000. As of the issuance date of the financial statements for the first quarter ended March 31, 2023, the Company expects that its cash and cash equivalents at March 31, 2023 will be sufficient to fund its operating expenses and capital expenditure requirements through at least the next 12 months, irrespective of whether any additional product approvals are obtained.</w:t>
      </w:r>
    </w:p>
    <w:p>
      <w:pPr>
        <w:spacing w:after="0" w:line="176"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 may raise additional capital to fund future operations through the sale of its equity securities, incurring debt, entering into licensing or collaboration agreements with partners, grants or other sources of financing. These financing sources are in addition to successful commercialization of DANYELZA and our product candidates which we may obtain regulatory approval and marketing authorization. The Company’s commercialization strategy may be either directly or with a collaborator or distributor. Sufficient funds may not be available to the Company on attractive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301" w:lineRule="auto"/>
        <w:rPr>
          <w:sz w:val="20"/>
          <w:szCs w:val="20"/>
          <w:color w:val="auto"/>
        </w:rPr>
      </w:pPr>
      <w:r>
        <w:rPr>
          <w:rFonts w:ascii="Arial" w:cs="Arial" w:eastAsia="Arial" w:hAnsi="Arial"/>
          <w:sz w:val="16"/>
          <w:szCs w:val="16"/>
          <w:color w:val="auto"/>
        </w:rPr>
        <w:t>terms or at all when needed from equity or debt financing. If the Company is unable to obtain additional financing from these or other sources when needed, it will likely be necessary to take other actions to enhance the Company’s liquidity position which may include significantly reducing the current rate of spending through delaying or scaling back current operations, or suspending certain research and development programs and other operational programs.</w:t>
      </w:r>
    </w:p>
    <w:p>
      <w:pPr>
        <w:spacing w:after="0" w:line="15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The accompanying unaudited consolidated financial statements reflect the accounts of the Company and its wholly-owned subsidiaries and have been prepared in accordance with accounting principles generally accepted in the United States of America (“GAAP”) for interim financial information, Accounting Standards Codification (“ASC”) Topic 270-10 and with the instructions to Form 10-Q. Accordingly, these financial statements do not include all of the information and notes required by GAAP for complete financial statements. The unaudited interim financial statements include all adjustments (consisting only of normal recurring nature) necessary in the judgment of management for a fair statement of the results for the periods presented. All intercompany balances and transactions have been eliminated. The Company has evaluated subsequent events through the date of this filing. Operating results for the three-month period ended March 31, 2023 are not necessarily indicative of the results that may be expected for the year ended December 31, 2023, any other interim periods, or any future year or period. The December 31, 2022 consolidated balance sheet data was derived from audited financial statements, but does not include all disclosures required by GAAP. You should read these unaudited interim consolidated financial statements in conjunction with the consolidated financial statements and notes included in the Company’s Annual Report on Form 10-K for the year ended December 31,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Company’s significant accounting policies are detailed in our Annual Report on Form 10-K for the year ended December 31,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losses with respect to such cash balances.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Receivables</w:t>
      </w:r>
    </w:p>
    <w:p>
      <w:pPr>
        <w:spacing w:after="0" w:line="225"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Company’s trade accounts receivable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expected future write-offs. The Company has not historically experienced any significant credit losses. All customer accounts are actively managed, and no losses are currently expected.</w:t>
      </w:r>
    </w:p>
    <w:p>
      <w:pPr>
        <w:spacing w:after="0" w:line="178"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Company has not experienced any write-offs related to our customers and has not recognized any allowance for doubtful accounts nor reversed any allowances in the three months ended March 31, 2023.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The Company’s product sales are made through arrangements primarily with three national specialty distributors in the United States of America. As of March 31, 2023, the accounts receivable balances from such distributors totaled 79% of our outstanding accounts receivable. The Company has contractual payment terms with each of its customers and the Company monitors their financial performance, historical payment terms and credit worthiness to timely assess and respond to any changes in their credit profile.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values its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w:t>
      </w:r>
    </w:p>
    <w:p>
      <w:pPr>
        <w:spacing w:after="0" w:line="15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No material inventory write-downs occurred in the three months ended March 31,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800" w:hanging="10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60" w:right="79" w:firstLine="638"/>
        <w:spacing w:after="0" w:line="277"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759" w:firstLine="648"/>
        <w:spacing w:after="0" w:line="342" w:lineRule="auto"/>
        <w:rPr>
          <w:sz w:val="20"/>
          <w:szCs w:val="20"/>
          <w:color w:val="auto"/>
        </w:rPr>
      </w:pPr>
      <w:r>
        <w:rPr>
          <w:rFonts w:ascii="Arial" w:cs="Arial" w:eastAsia="Arial" w:hAnsi="Arial"/>
          <w:sz w:val="16"/>
          <w:szCs w:val="16"/>
          <w:color w:val="auto"/>
        </w:rPr>
        <w:t>Cash equivalents held in money market funds are valued using other significant observable inputs, which represent a Level 2 measurement within the fair value hierarchy. The Company has no other cash equivalents.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cash equivalents, which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Fair Value Measurements at March 31, 2023 Using:</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86,894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86,894</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86,894</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8"/>
              </w:rPr>
              <w:t>Fair Value Measurements at December 31, 2022 Using:</w:t>
            </w:r>
          </w:p>
        </w:tc>
      </w:tr>
      <w:tr>
        <w:trPr>
          <w:trHeight w:val="209"/>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86,965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86,965</w:t>
            </w:r>
          </w:p>
        </w:tc>
      </w:tr>
      <w:tr>
        <w:trPr>
          <w:trHeight w:val="20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86,965</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quarter ended March 31, 2023, there were no transfers between Level 1, Level 2, and Level 3.</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8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The Company currently elects the short-term lease recognition exemption for all leases that qualify. This means, for those leases that qualify, we will not recognize right-of-use assets or liabilities, and this includes not recognizing right-of-use assets or liabilities for existing short-term leases of those assets in transition. We also elect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Arial" w:cs="Arial" w:eastAsia="Arial" w:hAnsi="Arial"/>
          <w:sz w:val="18"/>
          <w:szCs w:val="18"/>
          <w:i w:val="1"/>
          <w:iCs w:val="1"/>
          <w:color w:val="auto"/>
        </w:rPr>
        <w:t>NOTE 9—LICENSE AGREEMENTS AND COMMITMENTS</w:t>
      </w:r>
      <w:r>
        <w:rPr>
          <w:rFonts w:ascii="Arial" w:cs="Arial" w:eastAsia="Arial" w:hAnsi="Arial"/>
          <w:sz w:val="18"/>
          <w:szCs w:val="18"/>
          <w:color w:val="auto"/>
        </w:rPr>
        <w:t xml:space="preserve"> for the related disclosures.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 revenue</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Under the practical expedient permitted under Topic 606, the Company expenses incremental costs of obtaining a contract as and when incurred if the expected amortization period of the assets is one year or less. If there are multiple distinct performance obligations, we allocate the transaction price to each distinct performance obligation based on its relative standalone selling price.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 The standalone selling price is generally determined based on the prices charged to customers.</w:t>
      </w:r>
    </w:p>
    <w:p>
      <w:pPr>
        <w:spacing w:after="0" w:line="192"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Company recognizes revenue from sales of DANYELZA at a point in time when our customer is deemed to have obtained control of the product, which generally occurs upon receipt at the end-user hospital.</w:t>
      </w:r>
    </w:p>
    <w:p>
      <w:pPr>
        <w:spacing w:after="0" w:line="170" w:lineRule="exact"/>
        <w:rPr>
          <w:sz w:val="20"/>
          <w:szCs w:val="20"/>
          <w:color w:val="auto"/>
        </w:rPr>
      </w:pPr>
    </w:p>
    <w:p>
      <w:pPr>
        <w:ind w:left="60" w:right="239" w:firstLine="648"/>
        <w:spacing w:after="0" w:line="290" w:lineRule="auto"/>
        <w:rPr>
          <w:sz w:val="20"/>
          <w:szCs w:val="20"/>
          <w:color w:val="auto"/>
        </w:rPr>
      </w:pPr>
      <w:r>
        <w:rPr>
          <w:rFonts w:ascii="Arial" w:cs="Arial" w:eastAsia="Arial" w:hAnsi="Arial"/>
          <w:sz w:val="16"/>
          <w:szCs w:val="16"/>
          <w:color w:val="auto"/>
        </w:rPr>
        <w:t>The amount of revenue the Company recognizes from sales of DANYELZA varies due to rebates, chargebacks and discounts provided under governmental and other programs, distribution related fees and other sales-related deductions. In order to determine those deductions, the Company estimates, utilizing the expected value method, the amount of revenue that it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its original estimates, the Company will adjust these estimates quarterly, which would affect net product revenue and earnings in the period such variances occur.</w:t>
      </w:r>
    </w:p>
    <w:p>
      <w:pPr>
        <w:spacing w:after="0" w:line="165"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Rebates and chargebacks</w:t>
      </w:r>
    </w:p>
    <w:p>
      <w:pPr>
        <w:spacing w:after="0" w:line="225" w:lineRule="exact"/>
        <w:rPr>
          <w:sz w:val="20"/>
          <w:szCs w:val="20"/>
          <w:color w:val="auto"/>
        </w:rPr>
      </w:pPr>
    </w:p>
    <w:p>
      <w:pPr>
        <w:ind w:left="1020" w:right="79"/>
        <w:spacing w:after="0" w:line="269" w:lineRule="auto"/>
        <w:rPr>
          <w:sz w:val="20"/>
          <w:szCs w:val="20"/>
          <w:color w:val="auto"/>
        </w:rPr>
      </w:pPr>
      <w:r>
        <w:rPr>
          <w:rFonts w:ascii="Arial" w:cs="Arial" w:eastAsia="Arial" w:hAnsi="Arial"/>
          <w:sz w:val="17"/>
          <w:szCs w:val="17"/>
          <w:color w:val="auto"/>
        </w:rPr>
        <w:t>The Company contracts with United States governmental agencies to ensure that DANYELZA will be eligible for coverage under the various programs administered by the agencies. The Company estimates the rebates and chargebacks to be provided and deduct these estimated amounts from our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third-party consultants regarding the payor mix. The Company’s liability for these rebates and chargebacks mainly consists of claims for which invoices have not yet been received and paid. The Company does not maintain material levels of inventory in the wholesale or retail channel.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Discounts and distribution-related fees</w:t>
      </w:r>
    </w:p>
    <w:p>
      <w:pPr>
        <w:spacing w:after="0" w:line="225" w:lineRule="exact"/>
        <w:rPr>
          <w:sz w:val="20"/>
          <w:szCs w:val="20"/>
          <w:color w:val="auto"/>
        </w:rPr>
      </w:pPr>
    </w:p>
    <w:p>
      <w:pPr>
        <w:ind w:left="1020" w:right="239"/>
        <w:spacing w:after="0" w:line="254" w:lineRule="auto"/>
        <w:rPr>
          <w:sz w:val="20"/>
          <w:szCs w:val="20"/>
          <w:color w:val="auto"/>
        </w:rPr>
      </w:pPr>
      <w:r>
        <w:rPr>
          <w:rFonts w:ascii="Arial" w:cs="Arial" w:eastAsia="Arial" w:hAnsi="Arial"/>
          <w:sz w:val="18"/>
          <w:szCs w:val="18"/>
          <w:color w:val="auto"/>
        </w:rPr>
        <w:t>The Company provides invoice discounts on DANYELZA sales to our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we expect our distributors to earn these discounts and fees and deduct the full amount of these discounts and fees from our gross product revenue at the time such revenues are recognized.</w:t>
      </w:r>
    </w:p>
    <w:p>
      <w:pPr>
        <w:spacing w:after="0" w:line="195"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Returns</w:t>
      </w:r>
    </w:p>
    <w:p>
      <w:pPr>
        <w:spacing w:after="0" w:line="225" w:lineRule="exact"/>
        <w:rPr>
          <w:sz w:val="20"/>
          <w:szCs w:val="20"/>
          <w:color w:val="auto"/>
        </w:rPr>
      </w:pPr>
    </w:p>
    <w:p>
      <w:pPr>
        <w:ind w:left="1020" w:right="59"/>
        <w:spacing w:after="0" w:line="301" w:lineRule="auto"/>
        <w:rPr>
          <w:sz w:val="20"/>
          <w:szCs w:val="20"/>
          <w:color w:val="auto"/>
        </w:rPr>
      </w:pPr>
      <w:r>
        <w:rPr>
          <w:rFonts w:ascii="Arial" w:cs="Arial" w:eastAsia="Arial" w:hAnsi="Arial"/>
          <w:sz w:val="16"/>
          <w:szCs w:val="16"/>
          <w:color w:val="auto"/>
        </w:rPr>
        <w:t>The Company offers our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an establishment of an accrued liability.</w:t>
      </w:r>
    </w:p>
    <w:p>
      <w:pPr>
        <w:spacing w:after="0" w:line="157"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December 2022, the Company announced a distribution agreement with WEP Clinical Ltd., or WEP, in connection with an early access program for DANYELZA in Europe. There are no regulatory-based, sales-based milestone payments or royalty arrangements under this distribution agreement. The Company recognizes revenue when the customer obtains control of the product upon delivery to WEP. The Company invoices WEP based on the terms of the distribution agreement, where a portion is billed upon shipment of product and the unbilled portion is billed at a later date based on terms of the distribution agreement. The Company has an unconditional right to the unbilled portion of the receivable and the Company estimates that the receivable will be collected within one year and therefore has recorded the balance at March 31, 2023 within other current assets on the Consolidated Balance Sheets.</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License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December 2020, the Company entered into a development and commercialization arrangement with SciClone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International Pharmaceuticals Ltd., or SciClone, for certain indications of DANYELZA and omburtamab for Greater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China, including Mainland China, Taiwan, Hong Kong and Macau. Based on the terms of the agreement, the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receive regulatory-based milestone payments up to $40,000,000 and sales-based milestone payments up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$60,000,000 and is entitled to royalties based upon the net sales generated by SciClone related to the product indications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territory. In December 2022, the Company received a regulatory-based milestone payment of $15,000,000 for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conditional approval of DANYELZA in China. We determined that the achievement of the remaining regulatory-based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milestones within the agreement are constrained as they are contingent upon regulatory approvals which are not within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control and therefore not deemed probable. We expect that the sales-based milestones and royalty payments will be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recognized when the milestone is achieved or the related sales occur. We reevaluate the transaction price each quarter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as uncertain events are resolved or other changes in circumstances occur, we assess whether this resolves the constraint and</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appropriate to recognize revenue.</w:t>
      </w:r>
    </w:p>
    <w:p>
      <w:pPr>
        <w:spacing w:after="0" w:line="21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In November 2020, we entered into an exclusive license and distribution agreement for DANYELZA and omburtamab with Takeda Israel, a wholly owned subsidiary of Takeda Pharmaceutical Company Limited covering the State of Israel, West Bank and Gaza Strip. Based on the terms of the arrangement, the Company may receive regulatory-based milestone payments up to $750,000, which $250,000 has already been recognized, and sales-based milestone payments up to $500,000 and is entitled to royalties based upon the net sales generated by Takeda related to the product in the territory. We expect that the remaining regulatory-based and sales-based milestones will be recognized when the milestone is achieved, or the related sales occur.</w:t>
      </w:r>
    </w:p>
    <w:p>
      <w:pPr>
        <w:spacing w:after="0" w:line="177"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There are no regulatory-based, sales-based milestone payments or royalty arrangements under this distribution agreement.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May 2021, the Company entered into an exclusive distribution agreement with Adium Pharma S.A. (“Adium”) for Adium to be the exclusive distributor in Latin America of the Company’s antibodies omburtamab, if approved, and DANYELZA. Under the terms of the agreement, the Company may receive regulatory-based milestone payments up to an aggregate of $3,000,000. The Company received the first of these milestone payments totaling $1,000,000 in April 2022 upon the submission of the updated FDA BLA dossier for DANYELZA. In addition, the Company is entitled to royalties based upon DANYELZA net sales generated by Adium in Latin America. We determined that the achievement of the remaining regulatory-based milestones within the agreement are constrained as they are contingent upon regulatory approvals which are not within the Company’s control and therefore not deemed probable. The Company expects that the sales-based milestones and royalty payments will be recognized when the milestones are achieved or the related sales occur. The Company reevaluates the transaction price each quarter and as uncertain events are resolved or other changes in circumstances occur, the Company assesses whether this resolves the constraint and it is appropriate to recognize revenue.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recognize license revenue in the three months ended March 31, 2023 and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is engaged solely in the discovery, development, distribution and commercialization of novel antibody-based therapeutic products for the treatment of cancer. Accordingly, the Company has determined that it operates in one operating segment.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and are adopted by the Company as of the specific effective date. The Company adopted ASU 2022-04, ASU 2022-02, ASU 2022-01 and ASU 2021-08 effective January 1, 2023, and the adoption of these new standards did not have a material impact on the Company’s consolidated financial statements or disclosures.</w:t>
      </w:r>
    </w:p>
    <w:p>
      <w:pPr>
        <w:spacing w:after="0" w:line="171"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The Company has evaluated accounting pronouncements recently issued but not yet adopted and believes that these pronouncements do not apply to the Company’s operations and therefore will not have a material impact on the Company’s consolidated financial statements or disclosures.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4—PRODUCT 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product revenues were generated from sales of DANYELZA and totaled $20,251,000 for three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months ended March 31, 2023 and $10,486,000 for the three months ended March 31, 2022. The geographic breakout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$20,251,000 of product revenue, net between in the United States and other countries were $16,833,000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$3,418,000, respectively. Our revenue to other countries for the three months ended March 31, 2023 includes $2,516,000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product revenue to the Company’s distribution partner, WEP, in connection with the Company’s early access program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DANYELZA in Europe. The product revenue generated in the three months ended March 31, 2023 was an initial inventory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stocking and the Company does not anticipate this level to be the run rate for future quarters. Please refer to below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discussion regarding the WEP distribution agreement.</w:t>
      </w:r>
    </w:p>
    <w:p>
      <w:pPr>
        <w:spacing w:after="0" w:line="21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As of March 31, 2023, the company had recorded accounts receivable allowances of approximately $508,000 and accrued liabilities of $3,722,000 related to product sales during the three months ended March 31, 2023. As of December 31, 2022, the company had recorded accounts receivable allowances of approximately $508,000 and accrued liabilities of $3,722,000 related to product sales.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Discounts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Allowances and</w:t>
            </w:r>
          </w:p>
        </w:tc>
        <w:tc>
          <w:tcPr>
            <w:tcW w:w="26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4"/>
              </w:rPr>
              <w:t>Returns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Government Rebates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w w:val="98"/>
              </w:rPr>
              <w:t>Current provisions relating to sales in current year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Payments/credits relating to sales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0" w:firstLine="648"/>
        <w:spacing w:after="0" w:line="275" w:lineRule="auto"/>
        <w:rPr>
          <w:sz w:val="20"/>
          <w:szCs w:val="20"/>
          <w:color w:val="auto"/>
        </w:rPr>
      </w:pPr>
      <w:r>
        <w:rPr>
          <w:rFonts w:ascii="Arial" w:cs="Arial" w:eastAsia="Arial" w:hAnsi="Arial"/>
          <w:sz w:val="17"/>
          <w:szCs w:val="17"/>
          <w:color w:val="auto"/>
        </w:rPr>
        <w:t>The vast majority of the Company’s product sales were in the United States with additional sales outside the United States in China, Europe and Israel through sublicenses and distribution agreements. The Company had product sales to certain customers that accounted for more than 10% of total gross product revenue for the three months ended March 31, 2023 and March 31, 2022. McKesson, AmerisourceBergen, Cardinal Health, and WEP accounted for 45%, 29%, 13%, and 12%, respectively, of our gross product revenue for the three months ended March 31, 2023. McKesson, AmerisourceBergen, and Cardinal Health accounted for 60%, 25%, and 11%, respectively, of our gross product revenue for the three months ended March 31, 2022.</w:t>
      </w:r>
    </w:p>
    <w:p>
      <w:pPr>
        <w:spacing w:after="0" w:line="174" w:lineRule="exact"/>
        <w:rPr>
          <w:sz w:val="20"/>
          <w:szCs w:val="20"/>
          <w:color w:val="auto"/>
        </w:rPr>
      </w:pPr>
    </w:p>
    <w:p>
      <w:pPr>
        <w:jc w:val="both"/>
        <w:ind w:left="60" w:right="60" w:firstLine="648"/>
        <w:spacing w:after="0" w:line="269" w:lineRule="auto"/>
        <w:rPr>
          <w:sz w:val="20"/>
          <w:szCs w:val="20"/>
          <w:color w:val="auto"/>
        </w:rPr>
      </w:pPr>
      <w:r>
        <w:rPr>
          <w:rFonts w:ascii="Arial" w:cs="Arial" w:eastAsia="Arial" w:hAnsi="Arial"/>
          <w:sz w:val="17"/>
          <w:szCs w:val="17"/>
          <w:color w:val="auto"/>
        </w:rPr>
        <w:t>In December 2022, the Company announced a distribution agreement with WEP in connection with an early access program for DANYELZA in Europe. There are no regulatory-based, sales-based milestone payments or royalty arrangements under this distribution agreement. The Company recognizes revenue from sales of DAYELZA at a point of time when WEP is deemed to have obtained control of the product, which occurs upon delivery to WEP. The Company is entitled to receive all payments based on net product sales and pays WEP a service fee in exchange for its services, whereby the service fee represents a percent of gross selling price and is included within product revenues, net on the Consolidated Statements of Net Loss and Comprehensive Loss. The product revenue recognized for the three months ended March 31, 2023 was $2,516,000. There was no product revenue, net in the three months ended March 31, 2022. As of March 31, 2023, the company had recorded on the Consolidated Balance Sheets accounts receivable of approximately $2,770,000, and accrued liabilities, for allowances, of $219,000 related to product sales to the distribution partner during the three months ended March 31,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5—NET LOSS PER SHARE</w:t>
      </w:r>
    </w:p>
    <w:p>
      <w:pPr>
        <w:spacing w:after="0" w:line="229" w:lineRule="exact"/>
        <w:rPr>
          <w:sz w:val="20"/>
          <w:szCs w:val="20"/>
          <w:color w:val="auto"/>
        </w:rPr>
      </w:pPr>
    </w:p>
    <w:p>
      <w:pPr>
        <w:ind w:left="60" w:right="120" w:firstLine="648"/>
        <w:spacing w:after="0" w:line="254" w:lineRule="auto"/>
        <w:rPr>
          <w:sz w:val="20"/>
          <w:szCs w:val="20"/>
          <w:color w:val="auto"/>
        </w:rPr>
      </w:pPr>
      <w:r>
        <w:rPr>
          <w:rFonts w:ascii="Arial" w:cs="Arial" w:eastAsia="Arial" w:hAnsi="Arial"/>
          <w:sz w:val="18"/>
          <w:szCs w:val="18"/>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r>
      <w:tr>
        <w:trPr>
          <w:trHeight w:val="196"/>
        </w:trPr>
        <w:tc>
          <w:tcPr>
            <w:tcW w:w="6440" w:type="dxa"/>
            <w:vAlign w:val="bottom"/>
          </w:tcPr>
          <w:p>
            <w:pPr>
              <w:spacing w:after="0"/>
              <w:rPr>
                <w:sz w:val="17"/>
                <w:szCs w:val="17"/>
                <w:color w:val="auto"/>
              </w:rPr>
            </w:pPr>
          </w:p>
        </w:tc>
        <w:tc>
          <w:tcPr>
            <w:tcW w:w="2560" w:type="dxa"/>
            <w:vAlign w:val="bottom"/>
            <w:gridSpan w:val="6"/>
          </w:tcPr>
          <w:p>
            <w:pPr>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(numerator)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(28,068)</w:t>
            </w:r>
          </w:p>
        </w:tc>
      </w:tr>
      <w:tr>
        <w:trPr>
          <w:trHeight w:val="25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(denominator), basic and diluted</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43,672</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43,709</w:t>
            </w:r>
          </w:p>
        </w:tc>
        <w:tc>
          <w:tcPr>
            <w:tcW w:w="20" w:type="dxa"/>
            <w:vAlign w:val="bottom"/>
            <w:tcBorders>
              <w:bottom w:val="single" w:sz="8" w:color="CCEEFF"/>
            </w:tcBorders>
          </w:tcPr>
          <w:p>
            <w:pPr>
              <w:spacing w:after="0"/>
              <w:rPr>
                <w:sz w:val="22"/>
                <w:szCs w:val="22"/>
                <w:color w:val="auto"/>
              </w:rPr>
            </w:pPr>
          </w:p>
        </w:tc>
      </w:tr>
      <w:tr>
        <w:trPr>
          <w:trHeight w:val="197"/>
        </w:trPr>
        <w:tc>
          <w:tcPr>
            <w:tcW w:w="6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(0.64)</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00" w:firstLine="648"/>
        <w:spacing w:after="0" w:line="263" w:lineRule="auto"/>
        <w:rPr>
          <w:sz w:val="20"/>
          <w:szCs w:val="20"/>
          <w:color w:val="auto"/>
        </w:rPr>
      </w:pPr>
      <w:r>
        <w:rPr>
          <w:rFonts w:ascii="Arial" w:cs="Arial" w:eastAsia="Arial" w:hAnsi="Arial"/>
          <w:sz w:val="18"/>
          <w:szCs w:val="18"/>
          <w:color w:val="auto"/>
        </w:rPr>
        <w:t>Potentially dilutive securities excluded from the computation of diluted earnings per share relate to stock options and unvested restricted share units (“RSUs”) outstanding totaled 8,894,258 shares as of March 31, 2023 and 6,686,168 shares as of March 31,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 of the following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4"/>
                <w:szCs w:val="14"/>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 2022</w:t>
            </w:r>
          </w:p>
        </w:tc>
      </w:tr>
      <w:tr>
        <w:trPr>
          <w:trHeight w:val="142"/>
        </w:trPr>
        <w:tc>
          <w:tcPr>
            <w:tcW w:w="4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Progress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r>
      <w:tr>
        <w:trPr>
          <w:trHeight w:val="216"/>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are classified on the Consolidated Balance Sheets in each respective period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4"/>
                <w:szCs w:val="14"/>
                <w:color w:val="auto"/>
              </w:rPr>
            </w:pPr>
          </w:p>
        </w:tc>
        <w:tc>
          <w:tcPr>
            <w:tcW w:w="174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recorded in Current Assets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recorded in Noncurrent Assets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As of March 31, 2023 and December 31, 2022, the Company has classified $7,942,000 and $5,281,000, respectively, of work in progress inventories as noncurrent assets based on its current demand schedule and expectation that such inventory will be utilized in excess of one year from the balance sheet date. Changes in noncurrent assets are reflected on the consolidated statements of cash flows within the caption of other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7—INTANGIBLE ASSETS</w:t>
      </w:r>
    </w:p>
    <w:p>
      <w:pPr>
        <w:spacing w:after="0" w:line="229"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company’s intangible assets, net as of March 31, 2023 totaled $2,898,000, which were net of $402,000 of accumulated amortization, and related to capitalized milestone payments made following FDA and other regulatory approvals and commercialization of DANYELZA.</w:t>
      </w:r>
    </w:p>
    <w:p>
      <w:pPr>
        <w:spacing w:after="0" w:line="184"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The company’s intangible assets as of December 31, 2022 totaled $2,986,000, which were net of $314,000 of accumulated amortization, and related to capitalized milestone payments made following FDA and other regulatory approvals and commercialization of DANYELZA.</w:t>
      </w:r>
    </w:p>
    <w:p>
      <w:pPr>
        <w:spacing w:after="0" w:line="184"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Intangible assets are amortized on a straight-line basis based on a 10-year useful life of the assets. Annual amortization expense is expected to be $355,000 each year for the five-year period from 2023 to 2027, and $1,123,000 thereafter.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short-term liabilities at March 31, 2023 and December 31, 2022 are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5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licensing, milestone and royalty payments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manufacturing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reserves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9—LICENSE AGREEMENTS AND COMMITMENTS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has entered into two license agreements and certain other agreements with Memorial Sloan Kettering Cancer Center (“MSK”). The license agreements are the MSK License Agreement and the CD33 License Agreement. Through a 2019 Settlement and Assumption and Assignment of the MSK License and Y-mAbs Sublicense Agreement, or SAAA, with MabVax Therapeutics Holdings, Inc. and MabVax Therapeutics, Inc., or together, MabVax, and MSK, the Company has established a direct license with MSK relating to the GD2-GD3 Vaccine, which was originally sublicensed by the Company in 2018 from MabVax. In addition, the Company entered the SADA License Agreement with MSK and Massachusetts Institute of Technology (“MIT”) in 2020. These license agreements with MSK and MIT grant the Company certain patent rights and intellectual property rights, and in consideration thereof, the Company agreed to make certain payments and issue shares of the Company’s common stock to MSK and MIT. Certain of the payments are contingent milestone and royalty payments, as disclosed in the table below. Amounts disclosed in NOTE 8—ACCRUED LIABILITIES for accrued milestone and royalty payments are inclusive of obligations under the MSK License Agreement, CD33 License Agreement, MabVax Agreement and SADA License Agreement, collectively.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MSK License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MSK License requires us to pay to MSK mid to high single-digit royalties based on annual net sales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licensed products or the performance of licensed services by the Company and the Company’s affiliates and sublicensees.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is required to pay annual minimum royalties of $80,000 over the royalty term, which amounts are non-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refundable but are creditable against royalty payments otherwise due thereunder. The Company is also obligated to pay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MSK certain clinical, regulatory and sales-based milestone payments under the MSK License, which payments become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due upon achievement of the related clinical, regulatory or sales-based milestones. Certain of these clinical and regulatory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milestone payments become due at the earlier of completion of the related milestone activity or the date indicated in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MSK License. Total clinical and regulatory milestones potentially due under the MSK License are $2,450,000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$9,000,000, respectively. There are also sales-based milestones that become due should the Company achieve certain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of sales of licensed products resulting from the license arrangement with MSK, with total potential sales-based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milestones potentially due of $20,000,000. As product candidates progress through clinical development, regulatory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approval and commercialization, certain milestone payments will come due either as a result of the milestones having been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met or the passage of time even if the milestones have not been met. The Company will also owe MSK mid to high single-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digit royalties on commercial sales of the Company’s approved products. In addition, to the extent the Company enters into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sublicense arrangements, the Company is required to pay to MSK a percentage of certain payments that the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receives from sublicensees of the rights licensed to the Company by MSK, which percentage will be based upon the date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receives such payments or the achievement of certain clinical milestones. The Company has entered into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sublicenses and distribution agreements related to DANYELZA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omburtamab under the MSK License with Takeda Israel, Swixx BioPharma AG and SciClone in 2020, with Adium in 2021 and WEP December 2022.</w:t>
      </w:r>
    </w:p>
    <w:p>
      <w:pPr>
        <w:spacing w:after="0" w:line="17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terms of the MSK License provide that MSK is entitled to receive 40% of the income generated from the sale of the first PRV, and 33% of any income generated from the sale of any subsequent PRV or the sale of other comparable incentives provided by any non-U.S. jurisdiction. The Company sold the PRV received upon FDA approval of DANYELZA to United Therapeutics for $105,000,000. Pursuant to the agreement with MSK, the Company was entitled to retain 60% of the net proceeds from monetization of the PRV, and the remaining 40% was due to MSK. The Company received their portion of the net proceeds of from the sale of the PRV in the amount of approximately $62,000,000 when the transaction was consummated in January 2021.</w:t>
      </w:r>
    </w:p>
    <w:p>
      <w:pPr>
        <w:spacing w:after="0" w:line="177"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The MSK License will expire, on a country by country basis, and on a licensed product by licensed product or licensed service by licensed 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the Company challenges the validity or enforceability of any licensed patent right. In addition, the Company has the right to terminate the MSK License in its entirety at will upon prior written notice to MSK, but if the Company has commenced the commercialization of licensed products and/or licensed services the Company can only terminate at will if the Company ceases all development and commercialization of such licensed products and/or licensed services.</w:t>
      </w:r>
    </w:p>
    <w:p>
      <w:pPr>
        <w:spacing w:after="0" w:line="16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Company’s failure to meet certain conditions under the MSK License could cause the related license to such licensed product to be canceled and could result in termination of the MSK License by MSK.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CD33 License</w:t>
      </w:r>
    </w:p>
    <w:p>
      <w:pPr>
        <w:spacing w:after="0" w:line="225"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On November 13, 2017, the Company entered into the MSK CD33 License, with MSK, which grants the Company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the Company will owe MSK customary royalties on commercial sales of the Company’s approved products, if any. Total potential milestones due under the CD33 License are $550,000, $500,000 and $7,500,000 for clinical, regulatory and sales-based milestones, respectively. In addition, the CD33 License contains minimum royalty payments that become due beginning in year 10 of $40,000 per year over the royalty term, increasing to $60,000 once a patent within the licensed rights is issued, subject to increase and creditable against any royalty payments due based on sales in the future. The Company is required to pay mid to high single-digit royalties on sales of licensed products. Additionally, the terms of the CD33 License provide that MSK is entitled to receive 25% of any income generated from the sale of any PRV or the sale of other comparable incentives provided by any non-U.S. jurisdiction.</w:t>
      </w:r>
    </w:p>
    <w:p>
      <w:pPr>
        <w:spacing w:after="0" w:line="191"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MSK may terminate the CD33 License upon prior written notice in the event of our uncured material breach, or upon prior written notice if such breach is of a payment obligation. MSK may also terminate the CD33 License upon written notice in the event of the Company’s bankruptcy or insolvency or the Company’s conviction of a felony relating to the licensed products, or if the Company challenges the validity or enforceability of any licensed patent right. In addition, the Company has the right to terminate the CD33 License in its entirety at will upon prior written notice to MSK, but if the Company has commenced the commercialization of licensed products and/or licensed services the Company can only terminate at will if the Company ceases all development and commercialization of such licensed products and/or licensed services.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MabVax/MSK License</w:t>
      </w:r>
    </w:p>
    <w:p>
      <w:pPr>
        <w:spacing w:after="0" w:line="225"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On December 2, 2019, the Company entered into the SAAA, of MSK License and Y mAbs Sublicense Agreement, or the MabVax/Y-mAbs Sublicense, between the Company and MabVax dated June 27, 2018, with MabVax and MSK, which became effective on December 13, 2019. Pursuant to the MabVax/Y mAbs Sublicense, MabVax sublicensed to the Company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9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the Company, in light of the Chapter 11 bankruptcy proceedings affecting MabVax, to preserve the MabVax/MSK License Agreement and the rights granted to the Company under the MabVax/Y mAbs Sublicense and for the Company to create a direct relationship with MSK with respect to the rights covered under the MabVax/Y mAbs Sublicense. Pursuant to the SAAA, MabVax agreed to assume the MabVax/Y mAbs Sublicense and the MabVax/Y mAbs License Agreement pursuant to Section 365 of the Bankruptcy Code and concurrently to assign both of these agreements to MSK. The Company remains responsible for any potential downstream payment obligations to MSK related to the GD2 GD3 Vaccine that were specified in the MabVax/MSK License Agreement. This includes the obligation to pay development milestones totaling $1,400,000 and mid-single-digit royalty payments to MSK. In addition, if the Company obtains FDA approval for the GD2 GD3 Vaccine, then the Company is obligated to file with the FDA for a PRV. The SAAA stipulates that, if the Company is granted a PRV from the FDA covering a licensed product under the MabVax/Y mAbs Sublicense and the PRV is subsequently sold, the Company will pay directly to MabVax and to MSK, respectively, a total of twenty percent of the proceeds from the sale thereof. The MabVax/MSK License Agreement will expire with effect for the Company, on a country-by-country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SADA License</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On April 15, 2020, we entered into a license agreement (the “SADA License Agreement”) with MSK and Massachusetts Institute of Technology (“MIT”) that grants us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 BiDE Pre-targeted Radioimmunotherapy Platform (“SADA technology”). At the time of entering into the arrangement, we assessed the licensing and other rights acquired and given the lack of outputs upon acquisition and that no employees were acquired, among other factors, we have concluded that the licensing rights represented an asset acquisition.</w:t>
      </w:r>
    </w:p>
    <w:p>
      <w:pPr>
        <w:spacing w:after="0" w:line="192"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Further, we concluded that the technology acquired under the licensing arrangement had no alternative future use. This conclusion was based on consideration of the rights conveyed under the agreement, extent of further development necessary and presence of uncertainty prior to obtaining regulatory approval for any product.</w:t>
      </w:r>
    </w:p>
    <w:p>
      <w:pPr>
        <w:spacing w:after="0" w:line="165"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royalty term, commencing on the tenth anniversary of the license agreement. These amounts are non-refundable but are creditable against royalty payments otherwise due under the SADA License Agreement.</w:t>
      </w:r>
    </w:p>
    <w:p>
      <w:pPr>
        <w:spacing w:after="0" w:line="170"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The Company is also obligated to pay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w:t>
      </w:r>
    </w:p>
    <w:p>
      <w:pPr>
        <w:spacing w:after="0" w:line="149"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addition, to the extent we enter into sublicense arrangements, we are obligated to pay to MSK and MIT a percentage of certain payments received from sublicensees of the rights licensed to us by MSK and MIT, which percentage will be based upon the achievement of certain clinical milestones. The Company has not entered into any sublicenses related to the SADA License Agreement. For each of the constructs previously generated by MSK using the SADA technology and sold for the Company by a sublicensee, the Company may pay sales milestones up to $60,000,000, in total, based on the achievement of various levels of cumulative net sales made by the sublicensee.</w:t>
      </w:r>
    </w:p>
    <w:p>
      <w:pPr>
        <w:spacing w:after="0" w:line="178"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Failure by the Company to meet certain conditions under the arrangement could cause the related license to such licensed products to be canceled and could result in termination of the entire arrangement with MSK and MIT. In addition, the Company may terminate the SADA License Agreement with prior written notice.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Summary of Significant License Agreements and Related Commitments</w:t>
      </w:r>
    </w:p>
    <w:p>
      <w:pPr>
        <w:spacing w:after="0" w:line="225"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The Company has the following significant license agreements and related commitments which include all obligations that have been paid or accrued as of and for the period ending March 31, 2023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Accrued</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Accrued</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Accrued</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Accrued</w:t>
            </w: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Cash paid</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Cash paid</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Expense</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Expense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liabilities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liabilities</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liabilities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liabilities</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Three</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Three</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Three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Three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months</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months</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months</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months</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Current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Noncurrent</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Current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Noncurrent</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ended</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ended</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ended</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ended</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as of</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as of</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as of</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16"/>
        </w:trPr>
        <w:tc>
          <w:tcPr>
            <w:tcW w:w="1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Agreements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March</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March</w:t>
            </w: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March</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March</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30"/>
        </w:trPr>
        <w:tc>
          <w:tcPr>
            <w:tcW w:w="160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$ 3,245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$ 1,223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$ 677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$ 1,298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$ 1,950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$ 3,397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$ 1,950</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8"/>
                <w:szCs w:val="18"/>
                <w:color w:val="auto"/>
              </w:rPr>
              <w:t>CD33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MabVax</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SADA</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Minimum royalties and certain clinical and regulatory milestones that become due based upon the passage of time under the CD33 License Agreement, the SADA Agreement and the MabVax Agreement are excluded from the above table as the Company does not consider such obligations to be probable as of March 31, 2023.</w:t>
      </w:r>
    </w:p>
    <w:p>
      <w:pPr>
        <w:spacing w:after="0" w:line="165"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The below table represents the maximum clinical, regulatory or sales-based milestones as reflected within the agreements, certain of which have been paid in prior periods or are accrued as presented in the table above (in thousands):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Regulatory</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Sales-based</w:t>
            </w:r>
          </w:p>
        </w:tc>
      </w:tr>
      <w:tr>
        <w:trPr>
          <w:trHeight w:val="234"/>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Agreements</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Clinical Milestones</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Milestones</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milestones</w:t>
            </w: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MSK</w:t>
            </w:r>
          </w:p>
        </w:tc>
        <w:tc>
          <w:tcPr>
            <w:tcW w:w="152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$ 2,450</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$ 9,000</w:t>
            </w: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$ 20,000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CD33</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86"/>
              </w:rPr>
              <w:t>550</w:t>
            </w:r>
          </w:p>
        </w:tc>
        <w:tc>
          <w:tcPr>
            <w:tcW w:w="180" w:type="dxa"/>
            <w:vAlign w:val="bottom"/>
          </w:tcPr>
          <w:p>
            <w:pPr>
              <w:spacing w:after="0"/>
              <w:rPr>
                <w:sz w:val="18"/>
                <w:szCs w:val="18"/>
                <w:color w:val="auto"/>
              </w:rPr>
            </w:pP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500</w:t>
            </w:r>
          </w:p>
        </w:tc>
        <w:tc>
          <w:tcPr>
            <w:tcW w:w="200" w:type="dxa"/>
            <w:vAlign w:val="bottom"/>
          </w:tcPr>
          <w:p>
            <w:pPr>
              <w:spacing w:after="0"/>
              <w:rPr>
                <w:sz w:val="18"/>
                <w:szCs w:val="18"/>
                <w:color w:val="auto"/>
              </w:rPr>
            </w:pP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7,500</w:t>
            </w: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MabVax</w:t>
            </w:r>
          </w:p>
        </w:tc>
        <w:tc>
          <w:tcPr>
            <w:tcW w:w="15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6"/>
              </w:rPr>
              <w:t>200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1,200</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SADA</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8"/>
              </w:rPr>
              <w:t>4,730</w:t>
            </w:r>
          </w:p>
        </w:tc>
        <w:tc>
          <w:tcPr>
            <w:tcW w:w="180" w:type="dxa"/>
            <w:vAlign w:val="bottom"/>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87"/>
              </w:rPr>
              <w:t>18,125</w:t>
            </w:r>
          </w:p>
        </w:tc>
        <w:tc>
          <w:tcPr>
            <w:tcW w:w="20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0"/>
              </w:rPr>
              <w:t>23,750</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93" w:lineRule="auto"/>
        <w:rPr>
          <w:sz w:val="20"/>
          <w:szCs w:val="20"/>
          <w:color w:val="auto"/>
        </w:rPr>
      </w:pPr>
      <w:r>
        <w:rPr>
          <w:rFonts w:ascii="Arial" w:cs="Arial" w:eastAsia="Arial" w:hAnsi="Arial"/>
          <w:sz w:val="16"/>
          <w:szCs w:val="16"/>
          <w:color w:val="auto"/>
        </w:rPr>
        <w:t>Research and development is inherently uncertain and should such research and development fail the MSK License Agreement, the CD33 License Agreement, the SADA License Agreement and the MabVax Agreement are cancelable at the Company’s option. The Company will also consider the development risk and each party’s termination rights under the respective agreement when considering whether any clinical or regulatory based milestone payments, certain of which also contain time-based payment requirements, are probable. The Company records milestones in the period in which the contingent liability is probable and the amount is reasonably estimable.</w:t>
      </w:r>
    </w:p>
    <w:p>
      <w:pPr>
        <w:spacing w:after="0" w:line="16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did not have an expense related to milestones under the SADA License Agreement in the first quarters of 2023 and 2022 and had $605,000 in accrued liabilities as of March 31, 2023 and December 31, 2022 which was accrued upon entry into the arrangement in 2020. The Company’s first SADA molecule to enter clinical development is the GD2-SADA for potential use in GD2 positive solid tumors. The Company had its first clinical patient dosed in April 2023. The Company will assess the clinical progress to determine whether the milestones under the agreement are deemed probable. The company anticipates having the necessary data during the second half of 2023. The Company does not consider any other milestones under the SADA License Agreement to be probable as of March 31, 2023 and December 31, 2022.</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has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 time employees at MSK, who are engaged in transferring clinical data, databases, regulatory files and other know how included in the MSK License Agreement to the Company; a master clinical trial agreement pursuant to which we committed to fund certain clinical trials at MSK; two separate core facility service agreements pursuant to which we committed to obtaining certain laboratory services from MSK; and in October 2020 we entered into a SADA sponsored research agreement pursuant to which we agreed to pay MSK to provide research services over a period of three years related to the intellectual property licensed under the SADA License Agreement. The scientific research took place over a period that commenced in September 2020 and ended in February 2022.</w:t>
      </w:r>
    </w:p>
    <w:p>
      <w:pPr>
        <w:spacing w:after="0" w:line="18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For the quarters ended March 31, 2023 and 2022, we incurred research and development expenses of $40,000 and $697,000, respectively, under these agreements.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July 2019, the Company entered a development, manufacturing and supply agreement with SpectronRx in South Bend, Indiana, to secure access to clinical and commercial scale radiolabeling capacity for omburtamab. Under the terms of the agreement, SpectronRx had agreed to establish a manufacturing unit designated for the Company within its existing facilities, at which both clinical and commercial supply of radiolabeled omburtamab could be produced. Since the Company possessed the right to substantially all the economic benefits and directs the use of the production area, the Company accounted for the payments related to the access to the manufacturing space under ASC 842 as an operating lease. The original term of the lease was two years from the commencement date of August 31, 2020, which was subsequently extended to December 2022. The Company entered into an additional one-month extension that terminated in January 2023 for a de minimis cost.</w:t>
      </w:r>
    </w:p>
    <w:p>
      <w:pPr>
        <w:spacing w:after="0" w:line="18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February 2019, the Company entered into a lease agreement in connection with its 4,548 square feet laboratory in New Jersey. In December 2019, we expanded the space with an additional 235 square feet. The original term of the lease is three years from the date the Company occupied the premises, with an option to extend for an additional two years which expires in January 2024, which the Company exercised and has included in the determination of the related lease liability.</w:t>
      </w:r>
    </w:p>
    <w:p>
      <w:pPr>
        <w:spacing w:after="0" w:line="1"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Fixed rent payable under the lease is approximately $144,000 per annum and is payable in equal monthly installments of approximately $12,000 per month.</w:t>
      </w:r>
    </w:p>
    <w:p>
      <w:pPr>
        <w:spacing w:after="0" w:line="185"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January 2018, the Company entered into a lease agreement in connection with its corporate headquarters in New York. The term of the lease is six years from the date the Company began to occupy the premises and the lease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color w:val="auto"/>
        </w:rPr>
        <w:t>expires in April 2024. Fixed rent payable under the lease is approximately $384,000 per annum and is payable in equal monthly installments of approximately $32,000, which are recognized on a straight-line basis.</w:t>
      </w:r>
    </w:p>
    <w:p>
      <w:pPr>
        <w:spacing w:after="0" w:line="14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which are recognized on a straight-line basis. In January 2023, the Company notified the landlord of their intention to reduce the leased premise as a result of the Company’s strategic restructuring plan, which was approved by the Company’s Board of Directors on January 4, 2023. The lease modification resulted in an immaterial charge in the three months ended March 31, 2023.</w:t>
      </w:r>
    </w:p>
    <w:p>
      <w:pPr>
        <w:spacing w:after="0" w:line="164"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Total operating lease costs were $340,000 and $704,000 for the three months ended March 31, 2023 and 2022, respectively. During the three months ended March 31, 2023, the expenses were recorded as $283,000 in research and development expense and $57,000 in selling, general, and administrative expense. During the three months ended March 31, 2022, the expenses were recorded as $638,000 in research and development expense and $66,000 in selling, general, and administrative expense.</w:t>
      </w:r>
    </w:p>
    <w:p>
      <w:pPr>
        <w:spacing w:after="0" w:line="18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Cash paid for amounts included in the measurement of lease liabilities for the three months ended March 31, 2023 and 2022 was $259,000 and $607,000, respectively, and was included in net cash used in operating activities in the Company’s Consolidated Statements of Cash Flows.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March 31, 2023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Operating Leases</w:t>
            </w:r>
          </w:p>
        </w:tc>
      </w:tr>
      <w:tr>
        <w:trPr>
          <w:trHeight w:val="234"/>
        </w:trPr>
        <w:tc>
          <w:tcPr>
            <w:tcW w:w="74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at March 31, 2023</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1,644</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7400" w:type="dxa"/>
            <w:vAlign w:val="bottom"/>
          </w:tcPr>
          <w:p>
            <w:pPr>
              <w:ind w:left="20"/>
              <w:spacing w:after="0"/>
              <w:rPr>
                <w:sz w:val="20"/>
                <w:szCs w:val="20"/>
                <w:color w:val="auto"/>
              </w:rPr>
            </w:pPr>
            <w:r>
              <w:rPr>
                <w:rFonts w:ascii="Arial" w:cs="Arial" w:eastAsia="Arial" w:hAnsi="Arial"/>
                <w:sz w:val="18"/>
                <w:szCs w:val="18"/>
                <w:color w:val="auto"/>
              </w:rPr>
              <w:t>Total operating lease liabilities at March 31, 2023</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r>
      <w:tr>
        <w:trPr>
          <w:trHeight w:val="20"/>
        </w:trPr>
        <w:tc>
          <w:tcPr>
            <w:tcW w:w="7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December 31, 2022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Operating Leases</w:t>
            </w:r>
          </w:p>
        </w:tc>
      </w:tr>
      <w:tr>
        <w:trPr>
          <w:trHeight w:val="234"/>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Years ending December 31,</w:t>
            </w: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at December 31, 2022</w:t>
            </w:r>
          </w:p>
        </w:tc>
      </w:tr>
      <w:tr>
        <w:trPr>
          <w:trHeight w:val="209"/>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9"/>
        </w:trPr>
        <w:tc>
          <w:tcPr>
            <w:tcW w:w="7240" w:type="dxa"/>
            <w:vAlign w:val="bottom"/>
          </w:tcPr>
          <w:p>
            <w:pPr>
              <w:ind w:left="20"/>
              <w:spacing w:after="0"/>
              <w:rPr>
                <w:sz w:val="20"/>
                <w:szCs w:val="20"/>
                <w:color w:val="auto"/>
              </w:rPr>
            </w:pPr>
            <w:r>
              <w:rPr>
                <w:rFonts w:ascii="Arial" w:cs="Arial" w:eastAsia="Arial" w:hAnsi="Arial"/>
                <w:sz w:val="18"/>
                <w:szCs w:val="18"/>
                <w:color w:val="auto"/>
              </w:rPr>
              <w:t>Total operating lease liabilities at December 31, 2022</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March 31, 2023, the weighted average remaining lease term is 2.16 years and the weighted average discount rate used to determine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operating lease liability was 8.5%. As of December 31, 2022, the weighted average remaining lease term is 2.36 years and the weighted average discount rate used to determine the operating lease liability was 8.3%.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Former Chief Executive Officer Contractual Severance Related Benefits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On April 27, 2022, the Company announced certain executive management changes. Effective April 22, 2022, Dr. Claus Juan Møller San Pedro stepped down from his positions as Chief Executive Officer and as a member of the Company’s Board of Directors. There were no disagreements with the Company expressed by Dr. Møller on any matters relating the Company’s operations, policies or practices. Dr. Møller’s contractual severance related benefits provided for cash compensation of $1,589,000, which includes salary and certain benefits continuation. Also, under terms of the equity award agreement, Dr. Møller’s outstanding stock option awards will continue to vest as scheduled and become exercisable when vested. This resulted in a non-cash share-based compensation expense charge of $9,286,000 that the Company recognized in the year ended December 31, 2022 as there is no longer a service condition related to such awards. The total charge of $10,875,000 related to executive management change was recorded in selling, general and administrative expenses during the year ended December 31, 2022. There was no impact in the three months ended March 31, 2023 and 2022 due to the April 22, 2022 timing of the separation.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Donoghue vs. Y-mAbs Therapeutics, Inc., and Gad</w:t>
      </w:r>
    </w:p>
    <w:p>
      <w:pPr>
        <w:spacing w:after="0" w:line="22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Company has been named a nominal defendant in a lawsuit filed in the U.S. District Court, Southern District of New York, on August 25, 2021, by one of the Company’s stockholders, Deborah Donoghue (Case No. 1:21-cv-07182). The suit names the Company’s President, Interim Chief Executive Officer and Head of Business Development and Strategy, and member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re Y-mAbs Therapeutics, Inc. Securities Litigation</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On January 18, 2023, a purported Y-mAbs stockholder filed a putative class action lawsuit against the Company and certain of its current and former officers for alleged violations of the U.S. federal securities laws in the United States District Court, Southern District of New York (Case No.: 1:23-cv-00431). The complaint asserts claims under Sections 10(b) and 20(a) of the Securities Exchange Act of 1934, as amended, on behalf of a proposed class consisting of those who acquired the Company’s common stock between October 6, 2020 and October 28, 2022. The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complaint seeks unspecified damages, and costs and expenses, including attorneys’ fees. On April 4, 2023, the Court appointed a lead plaintiff for the putative class. On April 17, the Court entered a scheduling order under which the lead plaintiff has until May 23, 2023 to file an amended complaint and defendants have until July 11, 2023 to file their motion to dismiss. The Company believes that these claims are without merit and intends to vigorously defend against these claims. The Company has not established a liability for this claim as of March 31, 2023 as the Company does not consider the loss on the claim to be probable.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Hazelton vs. Y-mAbs Therapeutics Inc., et al.</w:t>
      </w:r>
    </w:p>
    <w:p>
      <w:pPr>
        <w:spacing w:after="0" w:line="225" w:lineRule="exact"/>
        <w:rPr>
          <w:sz w:val="20"/>
          <w:szCs w:val="20"/>
          <w:color w:val="auto"/>
        </w:rPr>
      </w:pPr>
    </w:p>
    <w:p>
      <w:pPr>
        <w:ind w:left="60" w:right="59" w:firstLine="766"/>
        <w:spacing w:after="0" w:line="288" w:lineRule="auto"/>
        <w:rPr>
          <w:sz w:val="20"/>
          <w:szCs w:val="20"/>
          <w:color w:val="auto"/>
        </w:rPr>
      </w:pPr>
      <w:r>
        <w:rPr>
          <w:rFonts w:ascii="Arial" w:cs="Arial" w:eastAsia="Arial" w:hAnsi="Arial"/>
          <w:sz w:val="16"/>
          <w:szCs w:val="16"/>
          <w:color w:val="auto"/>
        </w:rPr>
        <w:t>The Company has been named a nominal defendant in a lawsuit filed in the Court of Chancery of the State of Delaware, on February 8, 2023, by a purported stockholder, Jeffrey Hazelton (Case No. 2023-0147-LWW). The complaint purports to bring claims on behalf of the Company against current and former members of the Company’s board of directors for allegedly awarding themselves excessive compensation for fiscal years 2020 and 2021. The complaint seeks, among other things, recovery of alleged excessive compensation, an order directing the Company to undertake certain corporate governance reforms, and an award of costs and expenses, including attorneys’ fees. On April 6, 2023, Defendants filed a motion to dismiss. Plaintiff has until May 19, 2023 to file their opposition to the motion, and defendants will then have until June 14, 2023 to file their reply for the motion. The Company is of the opinion that the claims are without merit and intends to maintain this position in the proceedings. The Company has not established a liability for this claim as of March 31, 2023 as the Company does not consider the loss on the claim to be probable.</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As of March 31, 2023 and December 31, 2022, the Company has authorized a total of 105,500,000 shares, 100,000,000 of which are common stock, par value $0.0001 per share, and 5,500,000 of which are preferred stock, par value $0.0001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43,677,767 shares of its common stock as of March 31, 2023 and 43,670,109 shares of its common stock as of December 31,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March 31, 2023 or December 31, 2022.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April 2020, in connection with the SADA License Agreement, the Company entered into certain stock grant agreements pursuant to which it agreed to issue a total of 213,996 shares to two non-employee researchers who were involved in the development of the SADA-BiDE (2-step Self-Assembly and DisAssembly-Bispecific DOTA-Engaging antibody system) Pre-targeted Radioimmunotherapy Platform (the “SADA Technology”) licensed from MSK and MIT in consideration for their prior service. All 213,996 shares were issued in April 2020 into escrow with 40% of the shares immediately vesting at the time of issuance and the remaining 60% of the shares subject to vesting ratably over the next three years on the anniversary date of the agreement. As of March 31, 2023, the two non-employee researchers have vested in 80% of the total grant with the final 20% vesting on the anniversary date of the agreement in April 2023. There is no cash settlement feature, and no future service is required for the non-employee researchers to vest and receive the shares. In April 2020, the Company recognized a research and development expense of $7,376,000, which reflected the fair value of the issued shares on the grant date. There is no future expense related to these awards.</w:t>
      </w:r>
    </w:p>
    <w:p>
      <w:pPr>
        <w:spacing w:after="0" w:line="172" w:lineRule="exact"/>
        <w:rPr>
          <w:sz w:val="20"/>
          <w:szCs w:val="20"/>
          <w:color w:val="auto"/>
        </w:rPr>
      </w:pPr>
    </w:p>
    <w:p>
      <w:pPr>
        <w:ind w:left="60" w:right="319" w:firstLine="648"/>
        <w:spacing w:after="0" w:line="301" w:lineRule="auto"/>
        <w:rPr>
          <w:sz w:val="20"/>
          <w:szCs w:val="20"/>
          <w:color w:val="auto"/>
        </w:rPr>
      </w:pPr>
      <w:r>
        <w:rPr>
          <w:rFonts w:ascii="Arial" w:cs="Arial" w:eastAsia="Arial" w:hAnsi="Arial"/>
          <w:sz w:val="16"/>
          <w:szCs w:val="16"/>
          <w:color w:val="auto"/>
        </w:rPr>
        <w:t>In July 2020, pursuant to the stock grant agreements, the Company also loaned the two researchers a total of $2,610,000 related to their individual tax payments due in conjunction with the stock grants. Each of the loans are evidenced by a three-year Secured Promissory Note, which had maturity dates of April 2023 and June 2023. The outstanding principal amounts of the loans, together with all accrued interest thereon at the rate of 1% per annum, is due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and payable on the maturity date of the loans. The loans are secured by Pledge and Security Agreements, pursuant to which the researchers have pledged the shares as security for repayment of the loans. In July 2022, one of the researchers repaid their Secured Promissory Note, which had a maturity date of April 2023, and accrued interest, which resulted in a de minimis loss compared to the amortized cost of the loan, in exchange for 57,887 shares that were pledged as part of their security. Upon receipt, the Company recorded treasury shares at an acquisition cost of $963,000, based on the share price on the settlement date. The Company subsequently cancelled the acquired treasury shares resulting in a reduction of outstanding common stock and a reduction of additional paid-in-capital totaling $963,000. During the fourth quarter of 2022, the Company concluded that the other loan receivable, with a maturity date of June 2023, was impaired resulting in a $1,051,000 charge for the year-ended December 31, 2022. The remaining loan receivable balance is included in other current assets on the Company’s Consolidated Balance Sheets as of March 31, 2023 and December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11—SHARE-BASED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Company’s board of directors and stockholders have approved and adopted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its parent and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The Company’s board of directors and stockholders approved and adopted the 2018 Plan. However, options outstanding under the 2015 Plan continue to be governed by the 2015 Plan. The 2018 Plan which became effective upon the Company’s initial public offering in September 2018 and which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through 2029, equal to 4% of the outstanding shares of common stock as of the last day of the Company’s immediately preceding fiscal year or by a lesser amount determined by the board of directors. The exercise price of options granted under the plans must at least be equal to the fair market value of the Company’s common stock on the date of grant. The term of an incentive stock option may not exceed 10 years, except that with respect to any participant who owns more than 10% of the voting power of all classes of the Company’s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 agreements, which is generally between one and four years and generally become immediately exercisable upon the occurrence of a change in control, as defined in the Plan Agreement.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During the three-month periods ended March 31, 2023 and 2022, stock-based compensation for stock option grants were $5,117,000 and $5,017,000, respectively, for options granted to employees and directors. The expense for the three months ended March 31, 2023 was inclusive of an acceleration of stock-based compensation of $1,706,000, as described further in NOTE 15— RESTRUCTURING CHARGE. During the three months ended March 31, 2023,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11" w:lineRule="auto"/>
        <w:rPr>
          <w:sz w:val="20"/>
          <w:szCs w:val="20"/>
          <w:color w:val="auto"/>
        </w:rPr>
      </w:pPr>
      <w:r>
        <w:rPr>
          <w:rFonts w:ascii="Arial" w:cs="Arial" w:eastAsia="Arial" w:hAnsi="Arial"/>
          <w:sz w:val="16"/>
          <w:szCs w:val="16"/>
          <w:color w:val="auto"/>
        </w:rPr>
        <w:t>expenses were recorded as $2,180,000 in research and development expense and $2,937,000 in selling, general, and administrative expense. During the three months ended March 31, 2022, the expenses were recorded as $1,779,000 in research and development expense and $3,238,000 in selling, general, and administrative expense.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value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7,079,767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1,536,700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and expected to vest at March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8,506,400</w:t>
            </w:r>
          </w:p>
        </w:tc>
        <w:tc>
          <w:tcPr>
            <w:tcW w:w="1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$ 18.41</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March 31, 2023</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5,172,608</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$ 19.99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3,344</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weighted average fair value of stock options granted for the three months ended March 31, 2023 was $3.40 There were no stock options granted in the three months ended March 31, 2022.</w:t>
      </w:r>
    </w:p>
    <w:p>
      <w:pPr>
        <w:spacing w:after="0" w:line="170"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There were 1,105,500 options granted in the three months ended March 31, 2023 under the Company’s retention program, which were granted to the continuing employees that were not subject to the Company’s strategic restructuring plan.</w:t>
      </w:r>
    </w:p>
    <w:p>
      <w:pPr>
        <w:spacing w:after="0" w:line="184"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All of the options granted in the three months ended March 31, 2023, have a maximum contractual term of ten years and have a vesting schedule in which 25% vest on the first anniversary of the grant date and the remainder vest ratably on a monthly basis over the next 36 months, provided in each case that the recipient remains an employee of the Company through each vesting date. The expected term for the options granted in the three months ended March 31, 2023 was 6.25 years and the risk-free interest rate was approximately 3.5%.</w:t>
      </w:r>
    </w:p>
    <w:p>
      <w:pPr>
        <w:spacing w:after="0" w:line="176"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we estimate our expected share price volatility based on a combination of the historical volatility of a group of publicly 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 There were no significant changes to the inputs included in the Black-Scholes option pricing model during the period ended March 31, 2023.</w:t>
      </w:r>
    </w:p>
    <w:p>
      <w:pPr>
        <w:spacing w:after="0" w:line="184"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As of March 31, 2023, we had $23,597,000 of unrecognized compensation related to employee stock options that are expected to vest over a period of 2.83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ind w:left="60" w:right="299" w:firstLine="648"/>
        <w:spacing w:after="0" w:line="311" w:lineRule="auto"/>
        <w:rPr>
          <w:sz w:val="20"/>
          <w:szCs w:val="20"/>
          <w:color w:val="auto"/>
        </w:rPr>
      </w:pPr>
      <w:r>
        <w:rPr>
          <w:rFonts w:ascii="Arial" w:cs="Arial" w:eastAsia="Arial" w:hAnsi="Arial"/>
          <w:sz w:val="16"/>
          <w:szCs w:val="16"/>
          <w:color w:val="auto"/>
        </w:rPr>
        <w:t>For the three months ended March 31, 2023 and March 31, 2022, stock-based compensation for restricted stock unit grants was $187,000 and $74,000, respectively. During the three months ended March 31, 2023, the expenses were recorded as $126,000 in research and development expense and $61,000 in selling, general, and administrative expense.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During the three months ended March 31, 2022, the expenses were recorded as $68,000 in research and development expense and $6,000 in selling, general, and administrative expense. The following table summarizes restricted stock units issued and outstanding:</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Restricted Stock Units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vesting</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price</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17.77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366,655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(4,494)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18.27</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March 31, 2023</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table above includes 362,400 restricted stock units granted in the three months ended March 31, 2023 were granted under the Company’s retention program, which were granted to the continuing employees that were not subject to the Company’s strategic restructuring plan.</w:t>
      </w:r>
    </w:p>
    <w:p>
      <w:pPr>
        <w:spacing w:after="0" w:line="184"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As of March 31, 2023, we had $1,896,000 of unrecognized compensation related to employee restricted stock units that are expected to vest over a period of 2.74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 xml:space="preserve">MSK is a shareholder of the Company. Under the MSK License Agreement, the SADA License Agreement, the CD33 License Agreement, the MabVax Agreement and various other supporting agreements with MSK, the Company has expensed costs in the total amount of $1,263,000 and $1,374,000 in the three months ended March 31, 2023 and 2022, respectively, for milestones, royalties, and research and development costs, under these agreements with MSK. Please refer to </w:t>
      </w:r>
      <w:r>
        <w:rPr>
          <w:rFonts w:ascii="Arial" w:cs="Arial" w:eastAsia="Arial" w:hAnsi="Arial"/>
          <w:sz w:val="16"/>
          <w:szCs w:val="16"/>
          <w:i w:val="1"/>
          <w:iCs w:val="1"/>
          <w:color w:val="auto"/>
        </w:rPr>
        <w:t>NOTE 9—LICENSE AGREEMENTS AND COMMITMENTS</w:t>
      </w:r>
      <w:r>
        <w:rPr>
          <w:rFonts w:ascii="Arial" w:cs="Arial" w:eastAsia="Arial" w:hAnsi="Arial"/>
          <w:sz w:val="16"/>
          <w:szCs w:val="16"/>
          <w:color w:val="auto"/>
        </w:rPr>
        <w:t xml:space="preserve"> for additional details on the Company’s agreements with MSK. As of March 31, 2023, the Company had a total of $54,000 recorded as accounts payable and $4,805,000 as accrued liabilities, thereby totaling $4,859,000 due to MSK. As of December 31, 2022, the Company had a total of $240,000 recorded as accounts payable and $6,904,000 as accrued liabilities, thereby totaling $7,144,000 due to MSK.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left="60" w:right="939" w:firstLine="648"/>
        <w:spacing w:after="0" w:line="308" w:lineRule="auto"/>
        <w:rPr>
          <w:sz w:val="20"/>
          <w:szCs w:val="20"/>
          <w:color w:val="auto"/>
        </w:rPr>
      </w:pPr>
      <w:r>
        <w:rPr>
          <w:rFonts w:ascii="Arial" w:cs="Arial" w:eastAsia="Arial" w:hAnsi="Arial"/>
          <w:sz w:val="17"/>
          <w:szCs w:val="17"/>
          <w:color w:val="auto"/>
        </w:rPr>
        <w:t>The Company provided no current and deferred income tax provisions on net losses of $6,390,000 and $28,068,000 for the three-month periods ended March 31, 2023 and 2022, respectively.</w:t>
      </w:r>
    </w:p>
    <w:p>
      <w:pPr>
        <w:spacing w:after="0" w:line="146"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Company’s tax returns for the years 2021, 2020, 2019, 2018, and 2017 are open for tax examination by U.S. federal and state, and the Danish tax authorities. During 2022, the review of the Company’s transfer pricing policies by the Danish Tax Authorities for tax years 2016 through 2020 was completed resulting in the release of the corresponding reserve. The release did not have a material impact on the Company’s income tax accounts.</w:t>
      </w:r>
    </w:p>
    <w:p>
      <w:pPr>
        <w:spacing w:after="0" w:line="171"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14—OTHER BENEFITS</w:t>
      </w:r>
    </w:p>
    <w:p>
      <w:pPr>
        <w:spacing w:after="0" w:line="22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during the three months ended March 31, 2023 and 2022.</w:t>
      </w:r>
    </w:p>
    <w:p>
      <w:pPr>
        <w:spacing w:after="0" w:line="171"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has established a retirement program for employees of our Danish subsidiary pursuant to which all such employees can contribute an amount at their election from their base compensation and may receive contributions from our Danish subsidiary. The Danish subsidiary made no contributions during the three months ended March 31, 2023 and 2022. In addition, health insurance benefits for our Danish employees are fully paid for by such employees. Our Danish subsidiary does not incur any costs for these health insurance benefits.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w:t>
      </w:r>
      <w:r>
        <w:rPr>
          <w:rFonts w:ascii="Arial" w:cs="Arial" w:eastAsia="Arial" w:hAnsi="Arial"/>
          <w:sz w:val="18"/>
          <w:szCs w:val="18"/>
          <w:color w:val="auto"/>
        </w:rPr>
        <w:t>—</w:t>
      </w:r>
      <w:r>
        <w:rPr>
          <w:rFonts w:ascii="Arial" w:cs="Arial" w:eastAsia="Arial" w:hAnsi="Arial"/>
          <w:sz w:val="18"/>
          <w:szCs w:val="18"/>
          <w:b w:val="1"/>
          <w:bCs w:val="1"/>
          <w:color w:val="auto"/>
        </w:rPr>
        <w:t>RESTRUCTURING CHARGE</w:t>
      </w:r>
    </w:p>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On January 4, 2023, following Board approval, the Company announced a strategic restructuring plan designed to extend its cash resources and prioritize resources on the commercialization and potential label extension of DANYELZA and development of the SADA technology platform. The Company expects a reduction in its current workforce by approximately 35%, with such reduction anticipated to be completed by the end of May 2023. Affected employees have been offered separation benefits, including severance and outplacement services along with temporary healthcare coverage assistance. As a result, during the three-month ended March 31, 2023, the Company recognized restructuring expenses of $4,482,000 based on the currency rate for the quarter, which were recorded within research and development and selling, general, and administrative of $3,346,000 and $1,136,000, respectively, on the Consolidated Statements of Net Loss and Comprehensive Loss. The restructuring expenses primarily related to severance termination benefits of $2,776,000 and acceleration of stock-based compensation of $1,706,000. Regarding the severance termination benefits of $2,776,000, a total of $1,671,000 was paid in cash during the three months ended March 31, 2023, and the remaining $1,105,000 was recognized within accrued liabilities on the consolidated balance sheet as of March 31, 2023. The Company recognized acceleration of stock-based compensation of $1,706,000 in the three months ended March 31, 2023 as there is no longer a service condition related to such awards.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accompanying financial statements and related notes thereto included elsewhere in this Quarterly Report on Form 10-Q and in our Annual Report on Form 10-K for the year ended December 31, 2022 filed with the U.S. Securities and Exchange Commission, or SEC.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spacing w:after="0" w:line="149"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Our only approved drug DANYELZA® (naxitamab gqgk) received accelerated approval by the United States Food and Drug Administration, or the FDA, in November 2020 for the treatment, in combination with Granulocyte Macrophage Colony Stimulating Factor, or GM CSF, of pediatric patients one year of age and older and adult patients with relapsed or refractory, or R/R, high risk neuroblastoma, or NB, in the bone or bone marrow who have demonstrated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color w:val="auto"/>
        </w:rPr>
        <w:t>a partial response, minor response, or stable disease to prior therapy. We are commercializing DANYELZA in the United States and began shipping in February 2021. In December 2022, we announced a distribution agreement with WEP Clinical Ltd., or WEP, in connection with an early access program for DANYELZA in Europe.</w:t>
      </w:r>
    </w:p>
    <w:p>
      <w:pPr>
        <w:spacing w:after="0" w:line="16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DANYELZA has been evaluated in a Phase 2 clinical study in front line NB, a pilot study of chemoimmunotherapy for high-risk NB, and is currently being evaluated in a pivotal-stage multicenter trial (Study 201) which is designed to satisfy the accelerated approval confirmatory study and post-marketing requirements of the FDA, as well as a Phase 2 clinical study in second-line relapsed osteosarcoma patients.</w:t>
      </w:r>
    </w:p>
    <w:p>
      <w:pPr>
        <w:spacing w:after="0" w:line="177"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 xml:space="preserve">We submitted a Biologics License Application, or BLA, to the FDA for radiolabeled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held a number of Type B meetings with the agency, including a pre-BLA meeting in January 2022, before we resubmitted the BLA for omburtamab in March 2022. In October 2022 we met with the FDA’s Oncologic Drugs Advisory Committee, or ODAC, who reviewed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voted 16 to 0 that we had not provided sufficient evidence to conclude that omburtamab improves overall survival. In November 2022, we received a complete response letter, or CRL, for the BLA. In the CRL, and in our Type A meeting held subsequent to receipt of the CRL, the FDA made recommendations for us to consider in terms trial design to demonstrate substantial evidence of effectiveness and a favorable benefit-risk profile. We are currently considering the future for our omburtamab development program and we can provide no assurance that the development of omburtamab will continue or that omburtamab will ultimately receive FDA approval.</w:t>
      </w:r>
    </w:p>
    <w:p>
      <w:pPr>
        <w:spacing w:after="0" w:line="189"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7"/>
          <w:szCs w:val="17"/>
          <w:color w:val="auto"/>
        </w:rPr>
        <w:t>We are using our proprietary SADA BiDE (2-step Self-Assembly and DisAssembly Bispecific DOTA 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to advance a series of antibody constructs, using a 2-step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 We have designated GD2-SADA for potential use in GD2-positive solid tumors as our first SADA construct and we had our first clinical patients dosed in April 2023, whereby we completed the 120-hour dosing interval cohort. The initial blood PK profile of the construct in these patients appears to match our pre-clinical models in terms of clearance data. Hence, we aim for a 48-hour interval between the SADA protein and the radioactive payload going forward. We have secured clinical supplies for a medical radioisotope no-carrier-added, or n.c.a., lutetium-177 from ITM Isotope Technologies Munich SE, or ITM, who will provide its n.c.a. </w:t>
      </w:r>
      <w:r>
        <w:rPr>
          <w:rFonts w:ascii="Arial" w:cs="Arial" w:eastAsia="Arial" w:hAnsi="Arial"/>
          <w:sz w:val="25"/>
          <w:szCs w:val="25"/>
          <w:color w:val="auto"/>
          <w:vertAlign w:val="superscript"/>
        </w:rPr>
        <w:t>177</w:t>
      </w:r>
      <w:r>
        <w:rPr>
          <w:rFonts w:ascii="Arial" w:cs="Arial" w:eastAsia="Arial" w:hAnsi="Arial"/>
          <w:sz w:val="17"/>
          <w:szCs w:val="17"/>
          <w:color w:val="auto"/>
        </w:rPr>
        <w:t>Lu for phase 1-3 clinical development of GD2-SADA. We announced our first hematological target CD38-SADA in December 2022, and expect to submit an IND for this construct in 2023. We believe the SADA technology could potentially improve the efficacy of immunological therapeutics, e.g., naked monoclonal antibodies, in tumors that have not historically demonstrated meaningful responses to immunological agents.</w:t>
      </w:r>
    </w:p>
    <w:p>
      <w:pPr>
        <w:spacing w:after="0" w:line="197"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January 2023 we announced a strategic restructuring plan designed to extend our cash resources and prioritize resources on the commercialization and potential label extension of DANYELZA and development of the SADA technology platform. In addition to deprioritizing the omburtamab program for all indications and product candidates, we have deprioritized other pipeline programs, including activities relating to GD2-GD3 Vaccine and CD33 bispecific antibody constructs by delaying trial initiation and overall timelines as part of the restructuring plan. The restructuring plan includes a reduction of our workforce by approximately 35% and is expected to be completed by the end of May 2023. As a result of the estimated decrease in operating expenses, we estimate that our cash and cash equivalents, when combined with anticipated DANYELZA revenues, will support operations into 2026.</w:t>
      </w:r>
    </w:p>
    <w:p>
      <w:pPr>
        <w:spacing w:after="0" w:line="178"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This estimate reflects our current business plan, including the restructuring, that is supported by assumptions that may prove to be inaccurate, such that we could use our available capital resources sooner than we currently expect. This estimate assumes no income from new partnerships or other new business development activities, and no further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development of the omburtamab program. We cannot provide any assurance that we will be able to obtain additional capital from additional equity or debt financings, collaborations, licensing arrangements, or other sources.</w:t>
      </w:r>
    </w:p>
    <w:p>
      <w:pPr>
        <w:spacing w:after="0" w:line="12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w:t>
      </w:r>
    </w:p>
    <w:p>
      <w:pPr>
        <w:spacing w:after="0" w:line="187"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To date, we have financed our operations primarily through private placements of our securities, proceeds from our IPO and proceeds from our two subsequent public offerings, revenues generated from DANYELZA and license revenues, and the proceeds from our sale of our Priority Review Voucher, or PRV, obtained upon FDA approval of DANYELZA.</w:t>
      </w:r>
    </w:p>
    <w:p>
      <w:pPr>
        <w:spacing w:after="0" w:line="187"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of March 31, 2023 and December 31, 2022, we had an accumulated deficit of $442.0 million and $436.0 million, respectively. We experienced net losses of $6.4 million and $28.1 million for the three months ended March 31, 2023 and 2022, respectively. We have incurred significant net operating losses in every year since our inception and expect to continue to incur net operating losses and significant expenses for the foreseeable future. Our net losses may fluctuate significantly from quarter to quarter and year to year as we:</w:t>
      </w:r>
    </w:p>
    <w:p>
      <w:pPr>
        <w:spacing w:after="0" w:line="201" w:lineRule="exact"/>
        <w:rPr>
          <w:sz w:val="20"/>
          <w:szCs w:val="20"/>
          <w:color w:val="auto"/>
        </w:rPr>
      </w:pPr>
    </w:p>
    <w:p>
      <w:pPr>
        <w:ind w:left="1040" w:right="779" w:hanging="315"/>
        <w:spacing w:after="0" w:line="28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the regulatory process both in the U.S. and internationally;</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36" w:lineRule="exact"/>
        <w:rPr>
          <w:rFonts w:ascii="Arial" w:cs="Arial" w:eastAsia="Arial" w:hAnsi="Arial"/>
          <w:sz w:val="18"/>
          <w:szCs w:val="18"/>
          <w:color w:val="auto"/>
        </w:rPr>
      </w:pPr>
    </w:p>
    <w:p>
      <w:pPr>
        <w:ind w:left="1040" w:right="399" w:hanging="315"/>
        <w:spacing w:after="0" w:line="28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36"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 and</w:t>
      </w:r>
    </w:p>
    <w:p>
      <w:pPr>
        <w:spacing w:after="0" w:line="36"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w:t>
      </w:r>
    </w:p>
    <w:p>
      <w:pPr>
        <w:spacing w:after="0" w:line="279"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In August 2015, we entered into a license agreement with MSK, or the MSK License, pursuant to which we have obtained exclusive rights to MSK’s rights in our current antibody product candidates. Under the MSK License, we committed to funding scientific research at MSK as well as conducting certain clinical trial activities at MSK. As these product candidates progress through clinical development, regulatory approval and commercialization, certain milestone payments will come due to MSK either as a result of the milestones having been met or the passage of time even if the milestones have not been met. Also, we owe MSK customary royalties on commercial sales of our approved products. In addition, we have committed to obtain certain personnel and laboratory services at MSK under our Master Data Services Agreement, or MDSA, and two separate Core Facility Service Agreements, or CFSAs. Also, under our Investigator-Sponsored Master Clinical Trial Agreement, or MCTA, with MSK, we will provide drug product and funding for certain clinical trials at MSK.</w:t>
      </w:r>
    </w:p>
    <w:p>
      <w:pPr>
        <w:spacing w:after="0" w:line="185" w:lineRule="exact"/>
        <w:rPr>
          <w:sz w:val="20"/>
          <w:szCs w:val="20"/>
          <w:color w:val="auto"/>
        </w:rPr>
      </w:pPr>
    </w:p>
    <w:p>
      <w:pPr>
        <w:ind w:left="60" w:right="59" w:firstLine="648"/>
        <w:spacing w:after="0" w:line="256" w:lineRule="auto"/>
        <w:rPr>
          <w:sz w:val="20"/>
          <w:szCs w:val="20"/>
          <w:color w:val="auto"/>
        </w:rPr>
      </w:pPr>
      <w:r>
        <w:rPr>
          <w:rFonts w:ascii="Arial" w:cs="Arial" w:eastAsia="Arial" w:hAnsi="Arial"/>
          <w:sz w:val="17"/>
          <w:szCs w:val="17"/>
          <w:color w:val="auto"/>
        </w:rPr>
        <w:t>On April 15, 2020, we entered into the SADA Technology License Agreement, or the SADA License Agreement, with MSK and Massachusetts Institute of Technology, or MIT, that grants us an exclusive, worldwide, sublicensable license to certain patent and intellectual property rights developed by MSK and MIT to develop, manufacture,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w:t>
      </w:r>
    </w:p>
    <w:p>
      <w:pPr>
        <w:spacing w:after="0" w:line="193" w:lineRule="exact"/>
        <w:rPr>
          <w:sz w:val="20"/>
          <w:szCs w:val="20"/>
          <w:color w:val="auto"/>
        </w:rPr>
      </w:pPr>
    </w:p>
    <w:p>
      <w:pPr>
        <w:jc w:val="both"/>
        <w:ind w:left="60" w:right="679" w:firstLine="648"/>
        <w:spacing w:after="0" w:line="263" w:lineRule="auto"/>
        <w:rPr>
          <w:sz w:val="20"/>
          <w:szCs w:val="20"/>
          <w:color w:val="auto"/>
        </w:rPr>
      </w:pPr>
      <w:r>
        <w:rPr>
          <w:rFonts w:ascii="Arial" w:cs="Arial" w:eastAsia="Arial" w:hAnsi="Arial"/>
          <w:sz w:val="18"/>
          <w:szCs w:val="18"/>
          <w:color w:val="auto"/>
        </w:rPr>
        <w:t>As required under the SADA License Agreement, in October 2020, we entered into a Sponsored Research Agreement with MSK to fund at least $1,500,000 in scientific research at MSK over the following three years. The scientific research under this arrangement was completed in 2022.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Further, the SADA License Agreement requires us to pay to MSK and MIT mid to high single-digit royalties based on annual net sales of licensed products or the performance of licensed services by us and our affiliates and sublicensees. We are obligated to pay minimum annual royalties of $40,000, which shall increase to $60,000 once a patent has been issued, over the royalty term, commencing on the tenth anniversary of the license agreement. These amounts are nonrefundable but are creditable against royalty payments otherwise due under the SADA License Agreement. As of March 31, 2023, we have determined that payment of the minimum royalties is not probable, and accordingly have not accrued for such royalties at March 31, 2023.</w:t>
      </w:r>
    </w:p>
    <w:p>
      <w:pPr>
        <w:spacing w:after="0" w:line="17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Under the SADA License Agreement, we are also obligated to pay MSK and MIT certain clinical, regulatory and sales-based milestone payments. Certain of the clinical and regulatory milestone payments become due at the earlier of either the completion of the related milestone activity or the date indicated in the SADA License Agreement. Total clinical and regulatory milestones potentially due under the SADA License Agreement are $4.7 million and $18.1 million, respectively. Sales-based milestones payments, totaling $23.8 million, become due should the Company achieve certain amounts of sales. In addition, for each of the SADA constructs generated by MSK and sold on behalf of the Company by a sublicensee, the Company may make sales-based milestone payments in the total amount up to $60.0 million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 The Company dosed the first clinical patient with GD2 SADA in April 2023. The Company will assess the clinical progress to determine whether the milestones under the agreement are deemed probable. The company anticipates having the necessary data during the second half of 2023. As of March 31, 2023, we have accrued $0.6 million of the clinical based milestones under the SADA License Agreement which we considered to be estimable and probable and we expect to pay this amount within one year.</w:t>
      </w:r>
    </w:p>
    <w:p>
      <w:pPr>
        <w:spacing w:after="0" w:line="171"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 xml:space="preserve">These MSK agreements are important to our business. For a more detailed discussion of the terms and conditions of certain of these agreements, see </w:t>
      </w:r>
      <w:r>
        <w:rPr>
          <w:rFonts w:ascii="Arial" w:cs="Arial" w:eastAsia="Arial" w:hAnsi="Arial"/>
          <w:sz w:val="17"/>
          <w:szCs w:val="17"/>
          <w:i w:val="1"/>
          <w:iCs w:val="1"/>
          <w:color w:val="auto"/>
        </w:rPr>
        <w:t>NOTE 9—LICENSE AGREEMENTS AND COMMITMENTS.</w:t>
      </w:r>
    </w:p>
    <w:p>
      <w:pPr>
        <w:spacing w:after="0" w:line="14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Omburtamab BLA and Advisory Committee Meeting</w:t>
      </w:r>
    </w:p>
    <w:p>
      <w:pPr>
        <w:spacing w:after="0" w:line="225" w:lineRule="exact"/>
        <w:rPr>
          <w:sz w:val="20"/>
          <w:szCs w:val="20"/>
          <w:color w:val="auto"/>
        </w:rPr>
      </w:pPr>
    </w:p>
    <w:p>
      <w:pPr>
        <w:jc w:val="both"/>
        <w:ind w:left="100" w:right="119" w:firstLine="583"/>
        <w:spacing w:after="0" w:line="302" w:lineRule="auto"/>
        <w:rPr>
          <w:sz w:val="20"/>
          <w:szCs w:val="20"/>
          <w:color w:val="auto"/>
        </w:rPr>
      </w:pPr>
      <w:r>
        <w:rPr>
          <w:rFonts w:ascii="Arial" w:cs="Arial" w:eastAsia="Arial" w:hAnsi="Arial"/>
          <w:sz w:val="16"/>
          <w:szCs w:val="16"/>
          <w:color w:val="auto"/>
        </w:rPr>
        <w:t xml:space="preserve">In August 2016, the FDA granted Orphan Drug Designation, or ODD, to omburtamab for NB, and in June 2017, the compound received breakthrough designation for the treatment of pediatric patients with R/R NB who have central nervous system, or CNS, leptomeningeal metastases, or LM, from NB. We submitted a BLA to the FDA for omburtamab for CNS /LM from NB in August 2020, and received a Refusal-to-File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following a series of meetings with the FDA, and in May 2022, the agency accepted our BLA for priority review. In October 2022, we met with the FDA’s Oncologic Drugs Advisory Committee, or ODAC, who reviewed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voted 16 to 0 that we had</w:t>
      </w:r>
    </w:p>
    <w:p>
      <w:pPr>
        <w:sectPr>
          <w:pgSz w:w="11900" w:h="16838" w:orient="portrait"/>
          <w:cols w:equalWidth="0" w:num="1">
            <w:col w:w="9019"/>
          </w:cols>
          <w:pgMar w:left="1440" w:top="517" w:right="1440"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0" w:right="119"/>
        <w:spacing w:after="0" w:line="268" w:lineRule="auto"/>
        <w:rPr>
          <w:sz w:val="20"/>
          <w:szCs w:val="20"/>
          <w:color w:val="auto"/>
        </w:rPr>
      </w:pPr>
      <w:r>
        <w:rPr>
          <w:rFonts w:ascii="Arial" w:cs="Arial" w:eastAsia="Arial" w:hAnsi="Arial"/>
          <w:sz w:val="18"/>
          <w:szCs w:val="18"/>
          <w:color w:val="auto"/>
        </w:rPr>
        <w:t>not provided sufficient evidence to conclude that omburtamab improves overall survival. In December 2022, we received a complete response letter, or CRL, for the BLA.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we can provide no assurance that the development of omburtamab will continue or that omburtamab will ultimately receive FDA approval.</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DANYELZA Regulatory Developments</w:t>
      </w:r>
    </w:p>
    <w:p>
      <w:pPr>
        <w:spacing w:after="0" w:line="212" w:lineRule="exact"/>
        <w:rPr>
          <w:sz w:val="20"/>
          <w:szCs w:val="20"/>
          <w:color w:val="auto"/>
        </w:rPr>
      </w:pPr>
    </w:p>
    <w:p>
      <w:pPr>
        <w:ind w:left="60" w:right="59" w:firstLine="583"/>
        <w:spacing w:after="0" w:line="257" w:lineRule="auto"/>
        <w:rPr>
          <w:sz w:val="20"/>
          <w:szCs w:val="20"/>
          <w:color w:val="auto"/>
        </w:rPr>
      </w:pPr>
      <w:r>
        <w:rPr>
          <w:rFonts w:ascii="Arial" w:cs="Arial" w:eastAsia="Arial" w:hAnsi="Arial"/>
          <w:sz w:val="18"/>
          <w:szCs w:val="18"/>
          <w:color w:val="auto"/>
        </w:rPr>
        <w:t>The Company entered into a license agreement for DANYELZA and omburtamab with SciClone Pharmaceuticals International Ltd., or SciClone, for Greater China, including Mainland China, Taiwan, Hong Kong and Macau in December 2022. In December 2022, the Company received a regulatory-based milestone payment of $15.0 million in connection with the conditional marketing approval of DANYELZA in China. We anticipate the DANYELZA launch in China to begin in the second quarter of 2023.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Known Trends, Geopolitical Events and Uncertainties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longer-term adverse impacts on Russia, Ukraine and Europe and around the globe.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This has negatively impacted our plans to commercialize and sell DANYELZA in Russia and may therefore adversely affect our business. In addition, the war between Russia and Ukraine has had significant ramifications on global financial and energy markets, including volatility in the U.S. and global financial markets, which has led to disruptions to trade, commerce, pricing stability, credit availability, supply chain continuity and reduced access to liquidity globally, and has caused and may continue to cause volatility in the price of our common stock, which may adversely impact our ability to raise capital on favorable terms or at all.</w:t>
      </w:r>
    </w:p>
    <w:p>
      <w:pPr>
        <w:spacing w:after="0" w:line="17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recent trends towards rising inflation may also materially affect our business and corresponding financial position and cash flows. Inflationary factors, such as increases in the cost of our clinical trial materials and supplies, interest rates and overhead costs may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demand for our product and our operations. Furthermore, such economic conditions have produced downward pressure on share prices. We may experience increases on our operating costs, including our labor costs and research and development costs, due to supply chain constraints, consequences associated with COVID-19 and the ongoing conflict between Russia and Ukraine, and employee availability and wage increases, which may result in additional stress on the Company’s working capital resources.</w:t>
      </w:r>
    </w:p>
    <w:p>
      <w:pPr>
        <w:spacing w:after="0" w:line="17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recent closures of Silicon Valley Bank and Signature Bank have resulted in broader financial institution liquidity risk and concerns, and future adverse developments with respect to specific financial institutions or the broader financial services industry may lead to market-wide liquidity shortages. The failure of any bank in which we deposit our funds could reduce the amount of cash we have available for our operations or corporate development, or delay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ability to access such funds. Any such failure may increase the possibility of a sustained deterioration of financial market liquidity, or illiquidity at clearing, cash management and/or custodial financial institutions. To guard against that risk, our cash and cash equivalents are held at a large major federal, national bank.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and cash equivalents may be threatened and our ability to borrow or raise additional capital when needed to operate our business could be substantially impaired.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revenue consists of sales of DANYELZA.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97" w:lineRule="exact"/>
        <w:rPr>
          <w:sz w:val="20"/>
          <w:szCs w:val="20"/>
          <w:color w:val="auto"/>
        </w:rPr>
      </w:pPr>
    </w:p>
    <w:p>
      <w:pPr>
        <w:ind w:left="1040" w:right="499" w:hanging="315"/>
        <w:spacing w:after="0" w:line="395"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sponsored research, laboratory facility services, clinical trial and data service at MSK under the Sponsored Research Agreements, or the SRAs, the two CFSAs, the MCTA, and the MDSA, with MSK;</w:t>
      </w:r>
    </w:p>
    <w:p>
      <w:pPr>
        <w:spacing w:after="0" w:line="42" w:lineRule="exact"/>
        <w:rPr>
          <w:rFonts w:ascii="Arial" w:cs="Arial" w:eastAsia="Arial" w:hAnsi="Arial"/>
          <w:sz w:val="16"/>
          <w:szCs w:val="16"/>
          <w:color w:val="auto"/>
        </w:rPr>
      </w:pPr>
    </w:p>
    <w:p>
      <w:pPr>
        <w:ind w:left="1040" w:right="919" w:hanging="315"/>
        <w:spacing w:after="0" w:line="32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and pre-clinical studies and clinical trials;</w:t>
      </w:r>
    </w:p>
    <w:p>
      <w:pPr>
        <w:spacing w:after="0" w:line="197" w:lineRule="exact"/>
        <w:rPr>
          <w:rFonts w:ascii="Arial" w:cs="Arial" w:eastAsia="Arial" w:hAnsi="Arial"/>
          <w:sz w:val="18"/>
          <w:szCs w:val="18"/>
          <w:color w:val="auto"/>
        </w:rPr>
      </w:pPr>
    </w:p>
    <w:p>
      <w:pPr>
        <w:jc w:val="both"/>
        <w:ind w:left="1040" w:right="359" w:hanging="315"/>
        <w:spacing w:after="0" w:line="295"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222" w:lineRule="exact"/>
        <w:rPr>
          <w:rFonts w:ascii="Arial" w:cs="Arial" w:eastAsia="Arial" w:hAnsi="Arial"/>
          <w:sz w:val="18"/>
          <w:szCs w:val="18"/>
          <w:color w:val="auto"/>
        </w:rPr>
      </w:pPr>
    </w:p>
    <w:p>
      <w:pPr>
        <w:ind w:left="1040" w:right="1159" w:hanging="315"/>
        <w:spacing w:after="0" w:line="30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upfront, milestone and other non-revenue related payments due under our third-party licensing agreements;</w:t>
      </w:r>
    </w:p>
    <w:p>
      <w:pPr>
        <w:spacing w:after="0" w:line="211"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travel and stock-based compensation;</w:t>
      </w:r>
    </w:p>
    <w:p>
      <w:pPr>
        <w:spacing w:after="0" w:line="304" w:lineRule="exact"/>
        <w:rPr>
          <w:rFonts w:ascii="Arial" w:cs="Arial" w:eastAsia="Arial" w:hAnsi="Arial"/>
          <w:sz w:val="17"/>
          <w:szCs w:val="17"/>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279"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92" w:lineRule="exact"/>
        <w:rPr>
          <w:rFonts w:ascii="Arial" w:cs="Arial" w:eastAsia="Arial" w:hAnsi="Arial"/>
          <w:sz w:val="18"/>
          <w:szCs w:val="18"/>
          <w:color w:val="auto"/>
        </w:rPr>
      </w:pPr>
    </w:p>
    <w:p>
      <w:pPr>
        <w:ind w:left="1040" w:right="699" w:hanging="315"/>
        <w:spacing w:after="0" w:line="308"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90" w:lineRule="exact"/>
        <w:rPr>
          <w:sz w:val="20"/>
          <w:szCs w:val="20"/>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52" w:lineRule="exact"/>
        <w:rPr>
          <w:rFonts w:ascii="Arial" w:cs="Arial" w:eastAsia="Arial" w:hAnsi="Arial"/>
          <w:sz w:val="18"/>
          <w:szCs w:val="18"/>
          <w:color w:val="auto"/>
        </w:rPr>
      </w:pPr>
    </w:p>
    <w:p>
      <w:pPr>
        <w:ind w:left="1000" w:right="959" w:hanging="275"/>
        <w:spacing w:after="0" w:line="32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89" w:lineRule="exact"/>
        <w:rPr>
          <w:rFonts w:ascii="Arial" w:cs="Arial" w:eastAsia="Arial" w:hAnsi="Arial"/>
          <w:sz w:val="18"/>
          <w:szCs w:val="18"/>
          <w:color w:val="auto"/>
        </w:rPr>
      </w:pPr>
    </w:p>
    <w:p>
      <w:pPr>
        <w:ind w:left="1000" w:right="899" w:hanging="275"/>
        <w:spacing w:after="0" w:line="357"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actual probability of success for our product candidates, including the safety and efficacy, early clinical data, competition, manufacturing capability and commercial viability;</w:t>
      </w:r>
    </w:p>
    <w:p>
      <w:pPr>
        <w:spacing w:after="0" w:line="52" w:lineRule="exact"/>
        <w:rPr>
          <w:rFonts w:ascii="Arial" w:cs="Arial" w:eastAsia="Arial" w:hAnsi="Arial"/>
          <w:sz w:val="17"/>
          <w:szCs w:val="17"/>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11"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11"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11"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11"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1000" w:right="839" w:hanging="275"/>
        <w:spacing w:after="0" w:line="30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16" w:lineRule="exact"/>
        <w:rPr>
          <w:rFonts w:ascii="Arial" w:cs="Arial" w:eastAsia="Arial" w:hAnsi="Arial"/>
          <w:sz w:val="18"/>
          <w:szCs w:val="18"/>
          <w:color w:val="auto"/>
        </w:rPr>
      </w:pPr>
    </w:p>
    <w:p>
      <w:pPr>
        <w:ind w:left="1000" w:right="579" w:hanging="275"/>
        <w:spacing w:after="0" w:line="30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potential regulatory approvals, including the timing of any BLA and Marketing Authorization Application, or MAA, submissions and their acceptance;</w:t>
      </w:r>
    </w:p>
    <w:p>
      <w:pPr>
        <w:spacing w:after="0" w:line="103" w:lineRule="exact"/>
        <w:rPr>
          <w:rFonts w:ascii="Arial" w:cs="Arial" w:eastAsia="Arial" w:hAnsi="Arial"/>
          <w:sz w:val="18"/>
          <w:szCs w:val="18"/>
          <w:color w:val="auto"/>
        </w:rPr>
      </w:pPr>
    </w:p>
    <w:p>
      <w:pPr>
        <w:ind w:left="1000" w:right="699" w:hanging="275"/>
        <w:spacing w:after="0" w:line="30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receipt of marketing approvals, including a safety, tolerability and efficacy profile that is satisfactory to the FDA, the EMA or any other non-U.S. regulatory authority;</w:t>
      </w:r>
    </w:p>
    <w:p>
      <w:pPr>
        <w:spacing w:after="0" w:line="103" w:lineRule="exact"/>
        <w:rPr>
          <w:rFonts w:ascii="Arial" w:cs="Arial" w:eastAsia="Arial" w:hAnsi="Arial"/>
          <w:sz w:val="18"/>
          <w:szCs w:val="18"/>
          <w:color w:val="auto"/>
        </w:rPr>
      </w:pPr>
    </w:p>
    <w:p>
      <w:pPr>
        <w:ind w:left="1000" w:right="1039" w:hanging="275"/>
        <w:spacing w:after="0" w:line="30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requirement by the FDA, the EMA or any other non-US regulatory authority to conduct post market surveillance or safety studies;</w:t>
      </w:r>
    </w:p>
    <w:p>
      <w:pPr>
        <w:spacing w:after="0" w:line="116" w:lineRule="exact"/>
        <w:rPr>
          <w:rFonts w:ascii="Arial" w:cs="Arial" w:eastAsia="Arial" w:hAnsi="Arial"/>
          <w:sz w:val="18"/>
          <w:szCs w:val="18"/>
          <w:color w:val="auto"/>
        </w:rPr>
      </w:pPr>
    </w:p>
    <w:p>
      <w:pPr>
        <w:ind w:left="1000" w:right="899" w:hanging="275"/>
        <w:spacing w:after="0" w:line="30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03" w:lineRule="exact"/>
        <w:rPr>
          <w:rFonts w:ascii="Arial" w:cs="Arial" w:eastAsia="Arial" w:hAnsi="Arial"/>
          <w:sz w:val="18"/>
          <w:szCs w:val="18"/>
          <w:color w:val="auto"/>
        </w:rPr>
      </w:pPr>
    </w:p>
    <w:p>
      <w:pPr>
        <w:ind w:left="1000" w:hanging="27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commercialization of approved products.</w:t>
      </w:r>
    </w:p>
    <w:p>
      <w:pPr>
        <w:spacing w:after="0" w:line="23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mean a significant change in the costs and timing associated with the development of that product candidate. For example, in its CRL for omburtamab, and in our Type A meeting held subsequent to receipt of the CRL, the FDA made recommendations for us to consider in terms of a potential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conduct clinical trials and potentially prepare regulatory submissions for our pipeline candidates, including supplementary regulatory submissions for DANYELZA. In January 2023 we announced a strategic restructuring plan designed to extend our cash resources and prioritize resources on the commercialization and potential label extension of DANYELZA and development of the SADA technology platform. In addition to deprioritizing the omburtamab program for all indications and product candidates, we have deprioritized other pipeline programs, including activities relating to GD2-GD3 Vaccine and CD33 bispecific antibody constructs by delaying trial initiation and overall timelines as part of the restructuring plan. We anticipate that our research and development expenses will decrease based our January 2023 restructuring.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8"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We anticipate that our selling, general, and administrative, or SG&amp;A, expenses will decrease based our January 2023 restructuring. SG&amp;A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 (Loss), Net</w:t>
      </w:r>
    </w:p>
    <w:p>
      <w:pPr>
        <w:spacing w:after="0" w:line="225"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color w:val="auto"/>
        </w:rPr>
        <w:t>Other income / (loss), net primarily consists of interest income earned on our money market fund and foreign currency transaction gains and losses. Other income / (loss), net can vary quarter-to-quarter based on interest rates and foreign currency fluctuations.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jc w:val="both"/>
        <w:ind w:left="60" w:right="47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Quarterly Report on Form 10-Q, we believe the following accounting policies to be most critical to the judgments and estimates used in the preparation of our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Significant estimates and assumptions reflected in these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The full extent to which the COVID-19 pandemic and macroeconomic conditions will directly or indirectly impact our business, results of operations and financial condition, including revenues, expenses, manufacturing, clinical trials, research and development costs and employee-related amounts, will depend on future developments that are highly uncertain, including as a result of the economic impact on local, regional, national and international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We recognize revenue from sales of DANYELZA at a point in time when our customer is deemed to have obtained control of the product, which generally occurs upon receipt at the end-user hospital.</w:t>
      </w:r>
    </w:p>
    <w:p>
      <w:pPr>
        <w:spacing w:after="0" w:line="14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vast majority of our product sales were in the United States with additional sales outside the United States in China and Israel through sublicenses and distribution agreements. The Company had product sales to certain customers that accounted for more than 10% of total gross product revenue for the three months ended March 31, 2023 and March 31, 2022. McKesson, AmerisourceBergen, Cardinal Health, and WEP accounted for 45%, 29%, 13%, and 12%, respectively, of our gross product revenue for the three months ended March 31, 2023. McKesson, AmerisourceBergen, and Cardinal Health accounted for 60%, 25%, and 11%, respectively, of our gross product revenue for the three months ended March 31, 2022.</w:t>
      </w:r>
    </w:p>
    <w:p>
      <w:pPr>
        <w:spacing w:after="0" w:line="19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6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If there are multiple distinct performance obligations, we allocate the transaction price to each distinct performance obligation based on our relative standalone selling price. In assessing whether a promised good or service is distinct in the evaluation of a license arrangement subject to ASC 606, we consider factors such as the research, manufacturing and commercialization capabilities of the licensing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combine that good or service with other promised goods or services until it identifies a bundle of goods or services that is distinct.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 party CMOs and CROs for additional product manufacturing and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1040" w:right="679" w:hanging="315"/>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and</w:t>
      </w:r>
    </w:p>
    <w:p>
      <w:pPr>
        <w:spacing w:after="0" w:line="123" w:lineRule="exact"/>
        <w:rPr>
          <w:rFonts w:ascii="Arial" w:cs="Arial" w:eastAsia="Arial" w:hAnsi="Arial"/>
          <w:sz w:val="16"/>
          <w:szCs w:val="16"/>
          <w:color w:val="auto"/>
        </w:rPr>
      </w:pPr>
    </w:p>
    <w:p>
      <w:pPr>
        <w:ind w:left="1040" w:right="13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84"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76"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 pricing model. The assumptions used to determine the fair value of the granted stock options were as follows:</w:t>
      </w:r>
    </w:p>
    <w:p>
      <w:pPr>
        <w:spacing w:after="0" w:line="146" w:lineRule="exact"/>
        <w:rPr>
          <w:sz w:val="20"/>
          <w:szCs w:val="20"/>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170"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3" w:lineRule="exact"/>
        <w:rPr>
          <w:rFonts w:ascii="Arial" w:cs="Arial" w:eastAsia="Arial" w:hAnsi="Arial"/>
          <w:sz w:val="18"/>
          <w:szCs w:val="18"/>
          <w:color w:val="auto"/>
        </w:rPr>
      </w:pPr>
    </w:p>
    <w:p>
      <w:pPr>
        <w:ind w:left="1040" w:right="459" w:hanging="315"/>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Volatility: The expected stock price volatility is estimated by taking the average historic price volatility of the share price of our common stock and industry peers, and adjusting for differences in life cycle and financing leverage. Our industry peers consist of several public companies in the biopharmaceutical industry.</w:t>
      </w:r>
    </w:p>
    <w:p>
      <w:pPr>
        <w:spacing w:after="0" w:line="186" w:lineRule="exact"/>
        <w:rPr>
          <w:rFonts w:ascii="Arial" w:cs="Arial" w:eastAsia="Arial" w:hAnsi="Arial"/>
          <w:sz w:val="18"/>
          <w:szCs w:val="18"/>
          <w:color w:val="auto"/>
        </w:rPr>
      </w:pPr>
    </w:p>
    <w:p>
      <w:pPr>
        <w:ind w:left="1040" w:right="219" w:hanging="315"/>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the expected 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2023 and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3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center"/>
              <w:ind w:right="3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revenue,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20,251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(9,494)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27,752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(10,429)</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(27,695)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Other income / (loss), net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other income /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(28,068)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recorded $20.3 million and $10.5 million in net revenues for the three months ended March 31, 2023 and 2022, respectively. The $9.8 million increase was primarily driven by an increase in new US patients in the second half of 2022 that continued through the first quarter of 2023 and an incremental benefit from expanding international markets. The three months ended March 31, 2023 geographic breakout for the $20.3 million of product revenue, net between the United States and other countries was $16.8 million and $3.5 million, respectively. The three months ended March 31, 2022 geographic breakout for the $10.5 million of product revenue, net between in the United States and other countries were $ 9.5 million and $ 1.0 million, respectively. Our revenue from other countries for the three months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ended March 31, 2023 included $2.5 million of product revenue from our distribution partner, WEP, in connection with the early access program for DANYELZA in Europe. The product revenue generated in the three months ended March 31, 2023 was an initial inventory stocking and we do not anticipate this level to be the run rate for future quarters.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Cost of Goods Sold was $2.1 million and $1.8 million for the three months ended March 31, 2023 and 2022, respectively. Increased cost of goods sold was driven by increased product revenue in the three months ended March 31, 2023. The change in cost of goods sold also reflects increased vials for compassionate use during the three months ended March 31, 2022, compared to the same period in 2023. Our cost of goods sold includes amounts related to materials, third-party contract manufacturing, third-party packaging services, freight, labor costs for personnel involved in the manufacturing process, third-party royalties for approved products, and indirect overhead costs. In periods prior to receiving FDA approval for DANYELZA, we recognized inventory and related manufacturing costs of DANYELZA as research and development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manufacturing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(2,228)</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Outsourced research and supplies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Personnel costs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consulting fees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13,418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22,912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Research and development expenses were $13.4 million for the three months ended March 31, 2023, as compared to $22.9 million for the three months ended March 31, 2022. The $9.5 million decrease was primarily due to the decrease in spending on deprioritized programs, which resulted in a $5.6 million decrease in outsourced manufacturing, a $2.3 million decrease in outsourced research and supplies, a $2.2 million decrease in clinical trials, partially offset by increased personnel related costs, inclusive of stock-based compensation, of $1.1 million.</w:t>
      </w:r>
    </w:p>
    <w:p>
      <w:pPr>
        <w:spacing w:after="0" w:line="17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recorded a restructuring charge of $3.4 million in research and development expense during the three months ended March 31, 2023. Many of the employees impacted by the restructuring continued to receive their salary as they were within their notice period. When compared to the three months ended March 31, 2022, the restructuring charge increased personnel related costs, inclusive of stock-based compensation, for the impacted individuals by $2.0 million in the three months ended March 31, 2023, as compared to 2022. The $2.0 million increase included accrued severance related benefits of $1.1 million and accelerated stock-based compensation expense of $0.9 million. Please refer to NOTE 15— RESTRUCTURING CHARGE in the consolidated financial statements in this Quarterly Report on Form 10-Q for further discussion.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Selling, general, and administrative expenses were $12.2 million for the three months ended March 31, 2023, as compared to $13.4 million for the three months ended March 31, 2022. The $1.2 million decrease in selling, general,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342" w:lineRule="auto"/>
        <w:rPr>
          <w:sz w:val="20"/>
          <w:szCs w:val="20"/>
          <w:color w:val="auto"/>
        </w:rPr>
      </w:pPr>
      <w:r>
        <w:rPr>
          <w:rFonts w:ascii="Arial" w:cs="Arial" w:eastAsia="Arial" w:hAnsi="Arial"/>
          <w:sz w:val="16"/>
          <w:szCs w:val="16"/>
          <w:color w:val="auto"/>
        </w:rPr>
        <w:t>administrative expenses was primarily attributable to a $0.8 million decrease in personnel related costs, inclusive of stock-based compensation, a $0.6 million decrease in insurance costs, partially offset by a $0.4 million increase in legal expense.</w:t>
      </w:r>
    </w:p>
    <w:p>
      <w:pPr>
        <w:spacing w:after="0" w:line="12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recorded a restructuring charge of $1.1 million in selling, general, and administrative expense during the three months ended March 31, 2023. Many of the employees impacted by the restructuring continued to receive their salary as they were within their notice period. When compared to the three months ended March 31, 2022, the restructuring charge increased personnel related costs, inclusive of stock-based compensation, for the impacted individuals by $0.8 million in the three months ended March 31, 2023, as compared to 2022, which primarily related to accelerated stock-based compensation expense. Please refer to NOTE 15— RESTRUCTURING CHARGE in the consolidated financial statements in this Quarterly Report on Form 10-Q for further discussion.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Other Income / (Loss)</w:t>
      </w:r>
    </w:p>
    <w:p>
      <w:pPr>
        <w:spacing w:after="0" w:line="225"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Interest and other income / (loss) for the three months ended March 31, 2023 was $1.1 million income as compared to a $0.4 million loss for the three months ended March 31, 2022. The change in our interest and other income / (loss) was due to increased interest income of $1.0 million, driven by increased interest rates on our money market fund, and by a favorable change in foreign currency transaction gains and losses of $0.5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Each year we have experienced a significant use of cash to fund our net operating losses since inception and expect to continue to have to fund net operating losses. We expect our use of cash to fund our net operating losses to decrease as a result of our restructuring plan approved and announced in January 2023. Our net losses may fluctuate significantly from quarter to quarter and year to year. We currently have one approved product, DANYELZA, which launched in the first quarter of 2021. We have financed our operations through March 31, 2023 primarily through gross proceeds from the sale of our common stock of $493.8 million in the years 2015 through 2021, as well as additional funding from the proceeds from the sales of DANYELZA and from proceeds from the sale of the DANYELZA PRV. As of March 31, 2023, we had cash and cash equivalents of $92.6 million. As a result of the expected decrease in forecasted operating expenses, we estimate that our cash and cash equivalents, when combined with anticipated DANYELZA revenues, will support operations into 2026. This estimate is based on our current business plan, including our restructuring, and on assumptions that may prove to be wrong, and we could use our available capital resources sooner than we currently expect. This estimate assumes no income from new partnerships or other new business development activities, and no further development of the omburtamab program. We cannot provide any assurance that we will be able to obtain additional capital from additional equity or debt financings, collaborations, licensing arrangements, or other sources.</w:t>
      </w:r>
    </w:p>
    <w:p>
      <w:pPr>
        <w:spacing w:after="0" w:line="171"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For an analysis of the type of contractual obligation and the relevant time periods for the related cash requirements of such obligations which may have a material impact on our liquidity and capital resources see the section herein entitled “Contractual Obligations and Commitments”.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2023 and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100" w:type="dxa"/>
            <w:vAlign w:val="bottom"/>
            <w:gridSpan w:val="3"/>
          </w:tcPr>
          <w:p>
            <w:pPr>
              <w:ind w:left="62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Pr>
          <w:p>
            <w:pPr>
              <w:spacing w:after="0"/>
              <w:rPr>
                <w:sz w:val="12"/>
                <w:szCs w:val="12"/>
                <w:color w:val="auto"/>
              </w:rPr>
            </w:pPr>
          </w:p>
        </w:tc>
      </w:tr>
      <w:tr>
        <w:trPr>
          <w:trHeight w:val="129"/>
        </w:trPr>
        <w:tc>
          <w:tcPr>
            <w:tcW w:w="4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(13,124)</w:t>
            </w: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(24,925)</w:t>
            </w: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r>
      <w:tr>
        <w:trPr>
          <w:trHeight w:val="148"/>
        </w:trPr>
        <w:tc>
          <w:tcPr>
            <w:tcW w:w="4540" w:type="dxa"/>
            <w:vAlign w:val="bottom"/>
          </w:tcPr>
          <w:p>
            <w:pPr>
              <w:ind w:left="20"/>
              <w:spacing w:after="0" w:line="149" w:lineRule="exact"/>
              <w:rPr>
                <w:sz w:val="20"/>
                <w:szCs w:val="20"/>
                <w:color w:val="auto"/>
              </w:rPr>
            </w:pPr>
            <w:r>
              <w:rPr>
                <w:rFonts w:ascii="Arial" w:cs="Arial" w:eastAsia="Arial" w:hAnsi="Arial"/>
                <w:sz w:val="14"/>
                <w:szCs w:val="14"/>
                <w:color w:val="auto"/>
              </w:rPr>
              <w:t>Net cash provided by investing activities</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4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r>
      <w:tr>
        <w:trPr>
          <w:trHeight w:val="148"/>
        </w:trPr>
        <w:tc>
          <w:tcPr>
            <w:tcW w:w="4540" w:type="dxa"/>
            <w:vAlign w:val="bottom"/>
          </w:tcPr>
          <w:p>
            <w:pPr>
              <w:ind w:left="20"/>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r>
      <w:tr>
        <w:trPr>
          <w:trHeight w:val="142"/>
        </w:trPr>
        <w:tc>
          <w:tcPr>
            <w:tcW w:w="45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Net decrease in cash and cash equivalents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(13,133)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(24,840)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11,707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use of cash in all periods resulted primarily from our net losses adjusted for non-cash charges and changes in components of working capital.</w:t>
      </w:r>
    </w:p>
    <w:p>
      <w:pPr>
        <w:spacing w:after="0" w:line="170"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Net cash used in operating activities was $13.1 million for the three months ended March 31, 2023, as compared to net cash used in operating activities of $24.9 million for the three months ended March 31, 2022. The $11.8 million decrease in cash used in operating activities was primarily due to a $21.7 million improvement in our net loss, which was partially offset by an increase in cash used for working capital of $9.3 million during the three months ended March 31, 2023 compared to the corresponding period in 2022. This $9.3 million increased cash used for working capital is driven by lower accounts payable of $5.9 million and higher accounts receivable from increased sales activity of $4.6 million for the three months ended March 31, 2023 as compared to March 31, 2022.</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did not generate or use cash for investing activities during the three months ended March 31, 2023 and 2022.</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We did not generate or use cash for financing activities during the three months ended March 31, 2023. Net cash provided by financing activities was $32,000 for the three months ended March 31, 2022, which resulted from proceeds from exercised stock options.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plan to advance the development of other pipeline programs, initiate new research and pre-clinical development efforts and seek marketing approval for any additional product candidates and indications that we successfully develop. If we obtain approval for any additional product candidates and indications, we expect to incur commercialization expenses, which may be significant, related to establishing sales, marketing, manufacturing capabilities, distribution and other commercial infrastructure to commercialize such products. Accordingly, we may need to obtain substantial additional funding in connection with our continuing operations. However, global economic conditions have been worsening, with disruptions to, and volatility in, the credit and financial markets in the U.S.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w:t>
      </w:r>
    </w:p>
    <w:p>
      <w:pPr>
        <w:spacing w:after="0" w:line="185"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As a result of the expected decrease in operating expenses, we estimate that our cash and cash equivalents of $92.6 million as of March 31, 2023, when combined with anticipated DANYELZA revenues, will support operations as currently planned into 2026. This estimate is based on our current business plan and on assumptions that may prove to be wrong, and we could use our available capital resources sooner than we currently expect. This estimate assumes no new</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partnerships or other new business development and no further development of the omburtamab program. We cannot provide any assurance that we will be able to obtain additional capital from additional equity or debt financings, collaborations, licensing arrangements, or other sources. As a result of the reduction in workforce and revised business plan, we incurred restructuring expenses of $4.5 million, consisting predominantly of cash related to notice and severance payments of $2.8 million and acceleration of stock-based compensation of $1.7 million. The restructuring expenses were recognized in the first quarter of 2023. Of the $2.8 million of severance payments, $1.7 million was paid in cash during the three months ended March 31, 2023, and the remaining $1.1 million was recognized within accrued liabilities on the consolidated balance sheet as of March 31, 2023, which the majority will be paid in the three months ended June 30, 2023. The charges that we expect to incur are subject to a number of assumptions, and actual expenses may differ materially from the estimates disclosed above.</w:t>
      </w:r>
    </w:p>
    <w:p>
      <w:pPr>
        <w:spacing w:after="0" w:line="18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DANYELZA,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7" w:lineRule="exact"/>
        <w:rPr>
          <w:sz w:val="20"/>
          <w:szCs w:val="20"/>
          <w:color w:val="auto"/>
        </w:rPr>
      </w:pPr>
    </w:p>
    <w:p>
      <w:pPr>
        <w:ind w:left="1040" w:right="2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DANYELZA, and conducting pre-clinical studies and clinical trials for our SADA constructs;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research and pre-clinical development efforts for any future product candidates that we may develop;</w:t>
      </w:r>
    </w:p>
    <w:p>
      <w:pPr>
        <w:spacing w:after="0" w:line="236" w:lineRule="exact"/>
        <w:rPr>
          <w:rFonts w:ascii="Arial" w:cs="Arial" w:eastAsia="Arial" w:hAnsi="Arial"/>
          <w:sz w:val="17"/>
          <w:szCs w:val="17"/>
          <w:color w:val="auto"/>
        </w:rPr>
      </w:pPr>
    </w:p>
    <w:p>
      <w:pPr>
        <w:ind w:left="1040" w:right="39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distribution agreements or other arrangements;</w:t>
      </w:r>
    </w:p>
    <w:p>
      <w:pPr>
        <w:spacing w:after="0" w:line="170"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1040" w:right="99" w:hanging="315"/>
        <w:spacing w:after="0" w:line="286"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1040" w:right="3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future revenue, if any, received from commercial sales of our current and future product candidates upon any marketing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rFonts w:ascii="Arial" w:cs="Arial" w:eastAsia="Arial" w:hAnsi="Arial"/>
          <w:sz w:val="18"/>
          <w:szCs w:val="18"/>
          <w:color w:val="auto"/>
        </w:rPr>
      </w:pPr>
    </w:p>
    <w:p>
      <w:pPr>
        <w:jc w:val="both"/>
        <w:ind w:left="1040" w:right="819" w:hanging="315"/>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headcount and associated costs as we focus our research and development efforts on additional indications for DANYELZA and our SADA technology and expand our commercial infrastructure;</w:t>
      </w:r>
    </w:p>
    <w:p>
      <w:pPr>
        <w:spacing w:after="0" w:line="123" w:lineRule="exact"/>
        <w:rPr>
          <w:rFonts w:ascii="Arial" w:cs="Arial" w:eastAsia="Arial" w:hAnsi="Arial"/>
          <w:sz w:val="16"/>
          <w:szCs w:val="16"/>
          <w:color w:val="auto"/>
        </w:rPr>
      </w:pPr>
    </w:p>
    <w:p>
      <w:pPr>
        <w:ind w:left="1040" w:right="19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additional financing to achieve our business objectives. Adequate additional financing may not be available to us on acceptable terms, or at all.</w:t>
      </w:r>
    </w:p>
    <w:p>
      <w:pPr>
        <w:spacing w:after="0" w:line="170"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Arial" w:cs="Arial" w:eastAsia="Arial" w:hAnsi="Arial"/>
          <w:sz w:val="18"/>
          <w:szCs w:val="18"/>
          <w:i w:val="1"/>
          <w:iCs w:val="1"/>
          <w:color w:val="auto"/>
        </w:rPr>
        <w:t>NOTE 9—LICENSE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AND COMMITMENTS </w:t>
      </w:r>
      <w:r>
        <w:rPr>
          <w:rFonts w:ascii="Arial" w:cs="Arial" w:eastAsia="Arial" w:hAnsi="Arial"/>
          <w:sz w:val="18"/>
          <w:szCs w:val="18"/>
          <w:color w:val="auto"/>
        </w:rPr>
        <w:t>of our enclosed financial statements.</w:t>
      </w:r>
    </w:p>
    <w:p>
      <w:pPr>
        <w:spacing w:after="0" w:line="184"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w:t>
      </w:r>
    </w:p>
    <w:p>
      <w:pPr>
        <w:spacing w:after="0" w:line="16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w:t>
      </w:r>
    </w:p>
    <w:p>
      <w:pPr>
        <w:spacing w:after="0" w:line="170"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We have entered into three license agreements and certain other agreements with MSK. The license agreements are further described below as the MSK License, the CD33 License, and the SADA License. Additionally, through the Settlement and Assumption and Assignment, or SAAA, we have established a direct license with MSK relating to the GD2-GD3 Vaccine.</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Under the MSK License and the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based on net sales of products licensed under the applicable agreement and (iii) pay to MSK a percentage of any sublicense fees received by us. Under the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We are also obligated to pay MSK certain clinical, regulatory and sales-based milestone payments under the MSK License and the CD33 License. Certain of the clinical and regulatory milestone payments become due at the earlier of completion of the related milestone activity or the date indicated in the MSK License. Total clinical, regulatory and sales-based milestones potentially due under the MSK License are $2,450,000, $9,000,000 and $20,000,000, respectively. In addition, under the CD33 License, we are obligated to make potential payments of $550,000, $500,000 and $7,500,000 for clinical, regulatory and sales-based milestones, respectively. We record milestones in the period in which the contingent liability is probable and the amount is reasonably estimable.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On April 15, 2020, we entered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 Under the SADA License Agreement,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SADA construct generated by MSK and sold for the Company by a sublicensee, the Company may pay sales milestones in the total amount of $60,000,000 based on the achievement of various levels of cumulative net sales by the sublicensee. Further, under the SADA License Agreement, we have committed to funding scientific research at MSK for up to $1,500,000, which we completed in February 2022.</w:t>
      </w:r>
    </w:p>
    <w:p>
      <w:pPr>
        <w:spacing w:after="0" w:line="171"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On December 2, 2019, we entered into the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 We remain responsible for any potential downstream payment obligations by MabVax to MSK related to the GD2-GD3 Vaccine that were specified in the MabVax/MSK License Agreement. This includes the obligation to pay development milestones totaling $1,400,000, annual minimum royalties of $10,000, increasing to $25,000 from approval of the first NDA/BLA for a licensed product, over the royalty term, commencing on the second anniversary of the MabVax/Y-mAbs Sublicense and mid single-digit royalty payments to MSK on sales. Minimum royalties are non-refundable but creditable against royalty payments otherwise due from us to MSK pursuant to the MabVax/MSK License Agreement.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country-by-country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8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Research and development is inherently uncertain and, should such research and development fail, the MSK License, the CD33 License, and SADA License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 License. We have entered sublicenses with SciClone and Takeda in 2020, Adium in 2021 and WEP Clinical Ltd. in 2022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3—SUMMARY OF SIGNIFICANT ACCOUNTING POLICIES</w:t>
      </w:r>
      <w:r>
        <w:rPr>
          <w:rFonts w:ascii="Arial" w:cs="Arial" w:eastAsia="Arial" w:hAnsi="Arial"/>
          <w:sz w:val="18"/>
          <w:szCs w:val="18"/>
          <w:color w:val="auto"/>
        </w:rPr>
        <w:t xml:space="preserve"> in the accompanying notes to the consolidated financial statements for a discussion of recent accounting pronouncements.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As a “smaller reporting company” as defined by Item 10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Our management, with the participation of our Interim Chief Executive Officer and Chief Financial Officer, evaluated, as of the end of the period covered by this Quarterly Report, the effectiveness of our disclosure controls and procedures (as defined in Rules 13a 15(e) and 15d 15(e) under the Securities Exchange Act of 1934, as amended, or the Exchange Act). Based on that evaluation, our Interim Chief Executive Officer and Chief Financial Officer concluded that our disclosure controls and procedures were effective at the reasonable assurance level as of March 31, 2023.</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 15(f) and 15d 15(f) under the Exchange Act) during the first quarter ended March 31, 2023 that has materially affected, or is reasonably likely to materially affect, our internal control over financial reporting.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Donoghue vs. Y-mAbs Therapeutics, Inc., and Gad</w:t>
      </w:r>
    </w:p>
    <w:p>
      <w:pPr>
        <w:spacing w:after="0" w:line="22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Company has been named a nominal defendant in a lawsuit filed in the U.S. District Court, Southern District of New York, on August 25, 2021, by one of the Company’s stockholders, Deborah Donoghue (Case No. 1:21-cv-07182). The suit names the Company’s President, Interim Chief Executive Officer and Head of Business Development and Strategy, and member of the Company’s board of directors, Mr. 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re Y-mAbs Therapeutics, Inc. Securities Litigation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January 18, 2023, a purported Y-mAbs stockholder filed a putative class action lawsuit against the Company and certain of its current and former officers for alleged violations of the U.S. federal securities laws in the United States District Court, Southern District of New York (Case No.: 1:23-cv-00431). The complaint asserts claims under Sections 10(b) and 20(a) of the Securities Exchange Act of 1934, as amended, on behalf of a proposed class consisting of those who acquired the Company’s common stock between October 6, 2020 and October 28, 2022. The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complaint seeks unspecified damages, and costs and expenses, including attorneys’ fees. On April 4, 2023, the Court appointed a lead plaintiff for the putative class. On April 17, the Court entered a scheduling order under which the lead plaintiff has until May 23, 2023 to file an amended complaint and defendants have until July 11, 2023 to file their motion to dismiss. The Company believes that these claims are without merit and intends to vigorously defend against these claims. The Company has not established a liability for this claim as of March 31, 2023 as the Company does not consider the loss on the claim to be probable.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Hazelton vs. Y-mAbs Therapeutics Inc., and Gad, et al.</w:t>
      </w:r>
    </w:p>
    <w:p>
      <w:pPr>
        <w:spacing w:after="0" w:line="225"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The Company has been named a nominal defendant in a lawsuit filed in the Court of Chancery of the State of Delaware, on February 8, 2023, by a purported stockholder, Jeffrey Hazelton (Case No. 2023-0147-LWW). The complaint purports to bring claims on behalf of the Company against current and former members of the Company’s board of directors for allegedly awarding themselves excessive compensation for fiscal years 2020 and 2021. The complaint seeks, among other things, recovery of alleged excessive compensation, an order directing the Company to undertake certain corporate governance reforms, and an award of costs and expenses, including attorneys’ fees. On April 6, 2023, Defendants filed a motion to dismiss. Plaintiff has until May 19, 2023 to file their opposition to the motion, and defendants will then have until June 14, 2023 to file their reply for the motion. The Company is of the opinion that the claims are without merit and intends to maintain this position in the proceedings. The Company has not established a liability for this claim as of March 31, 2023 as the Company does not consider the loss on the claim to be probable.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Quarterly Report on Form 10-Q,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b w:val="1"/>
          <w:bCs w:val="1"/>
          <w:i w:val="1"/>
          <w:iCs w:val="1"/>
          <w:color w:val="auto"/>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are a commercial-stage biopharmaceutical company with a limited operating history. Since our inception in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2015, we have incurred significant losses each year. As of March 31, 2023 our accumulated deficit was approximately</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$442.4 million. We have financed our operations principally through private placements, the initial public offering of our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 in 2018 as well as subsequent public offerings of our common stock in November 2019 and February</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2021, the proceeds from the sales of DANYELZA and the sale of the PRV granted to us upon FDA approval of</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DANYELZA.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To date, we have devoted substantially all our efforts to research and development, and more recently, commercialization of DANYELZA, which is our only approved product to date and omburtamab. On November 25, 2020, DANYELZA was approved by the FDA for the treatment, in combination with GM-CSF, of pediatric patients 1 year of age and older and adult patients with relapsed/refractory, or R/R, high-risk neuroblastoma, or NB, in the bone or bone marrow who have demonstrated a partial response, minor response, or stable disease to prior therapy.</w:t>
      </w:r>
    </w:p>
    <w:p>
      <w:pPr>
        <w:spacing w:after="0" w:line="176"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Although in May 2022 our biologic license application, or BLA, for omburtamab was accepted for priority review by the FDA, in November 2022 the FDA issued a complete response letter, or CRL, for the BLA for omburtamab. The letter indicated that the FDA completed the review of the application and determined that it is unable to approve the BLA in its current form. This was consistent with the outcome of the ODAC Meeting held in October 2022.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we can provide no assurance that the development of omburtamab will continue or that omburtamab will ultimately receive FDA approval.</w:t>
      </w:r>
    </w:p>
    <w:p>
      <w:pPr>
        <w:spacing w:after="0" w:line="16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84"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The net losses we incur may fluctuate significantly from quarter to quarter. Our only approved product for sale is DANYELZA, which received FDA accelerated approval on November 25, 2020. We began limited sales and shipments of DANYELZA in February 2021 and the revenue generated from product sales does not fully fund our operating expenses. We do not anticipate generating revenue that will fully fund our operating expenses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66" w:lineRule="exact"/>
        <w:rPr>
          <w:sz w:val="20"/>
          <w:szCs w:val="20"/>
          <w:color w:val="auto"/>
        </w:rPr>
      </w:pPr>
    </w:p>
    <w:p>
      <w:pPr>
        <w:ind w:left="1040" w:right="539" w:hanging="315"/>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successful commercialization of DANYELZA and our product candidates for which we may obtain regulatory approvals and marketing authorizations, either directly or with a collaborator or distributor;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completing research regarding, and non-clinical and clinical development of, our product candidates;</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approvals, marketing authorizations and coverage and reimbursements from payors for DANYELZA and other product candidates for which we complete clinical studies;</w:t>
      </w:r>
    </w:p>
    <w:p>
      <w:pPr>
        <w:spacing w:after="0" w:line="170"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market acceptance of DANYELZA and our product candidates as viable treatment options;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distribution or other arrangements into which we may enter;</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7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were incorporated and began our operations on April 30, 2015. Our operations to date have been limited to organizing and staffing our company, business planning, raising capital, commercializing DANYELZA, conducting clinical trials of DANYELZA and other products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8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from our recent business restructuring and workforce reduction and we may incur additional costs implementing it or other difficulties.</w:t>
      </w:r>
    </w:p>
    <w:p>
      <w:pPr>
        <w:spacing w:after="0" w:line="170"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In January 2023, we announced a restructuring plan and implemented a workforce reduction. The objective of these initiatives is to focus the organization and its resources on key near and long-term potential growth drivers, namely the DANYELZA franchise and development of our SADA platform. We believe these changes were needed to streamline our organization and reallocate our resources in light of the omburtamab CRL from the FDA.</w:t>
      </w:r>
    </w:p>
    <w:p>
      <w:pPr>
        <w:spacing w:after="0" w:line="17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However, the changes to our business strategy and the reduction in workforce may yield unintended consequences and costs, such as the loss of institutional knowledge and expertise, attrition beyond our intended reduction-in-force, a reduction in morale among our remaining employees, and the risk that we may not achieve the anticipated benefits, all of which may have an adverse effect on our development activities, ability to progress our technology roadmap, and results of operations or financial condition. We incurred restructuring expenses of $4.5 million, consisting predominantly of cash related notice and severance payments of approximately $2.8 million and acceleration of stock-based compensation expense of approximately $1.7 million in the first quarter of 2023.</w:t>
      </w:r>
    </w:p>
    <w:p>
      <w:pPr>
        <w:spacing w:after="0" w:line="177"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may also incur other charges, costs, future cash expenditures or impairments not currently contemplated due to events that may occur as a result of, or in connection with, the revised business plan and reduction in workforce. For example, we recorded an impairment charge of $0.6 million to write-off the net book value of fixed assets that were related to the production of omburtamab in 2022. In addition, we may be unsuccessful in distributing the duties and obligations of departed employees among our remaining employees. In addition, our management may need to divert a disproportionate amount of its attention away from our day-to-day strategic and operational activities and devote a substantial amount of time to managing these organizational changes.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may also discover that the reductions in workforce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material adverse impact on our business, financial condition, and results of operations.</w:t>
      </w:r>
    </w:p>
    <w:p>
      <w:pPr>
        <w:spacing w:after="0" w:line="1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spacing w:after="0" w:line="184"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$9.0 million, respectively. There are also sales-based milestones that become due should we achieve certain amounts of sales of licensed products with total sales-based milestones potentially due of $20.0 million.</w:t>
      </w:r>
    </w:p>
    <w:p>
      <w:pPr>
        <w:spacing w:after="0" w:line="168"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Under the MSK CD33 License, we are obligated to make potential payments of $0.6 million, $0.5 million and $7.5 million for clinical, regulatory and sales-based milestones, respectively.</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sales-based milestones payments totaling $23.8 million, that become due should we achieve certain amounts of sales of licensed products under the SADA License. In addition, for each of the SADA constructs generated by MSK and sold on our behalf by one of our sublicenses, we may pay sales-based milestone payments in the total amount of $60.0 million based on the achievement of various levels of cumulative net sales by the sublicensee. Under the SADA License Agreement, we also committed to fund scientific research at MSK under a Sponsored Research Agreement for $1.5 million. The scientific research took place over a period that commenced in September 2020 and ended in February 2022.</w:t>
      </w:r>
    </w:p>
    <w:p>
      <w:pPr>
        <w:spacing w:after="0" w:line="180"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also remain responsible for any potential downstream payment obligations to MSK related to the GD2-GD3 Vaccine. This includes our obligation to make development and regulatory milestone payments, if achieved, totaling $1.4 million, annual minimum royalties of $10,000, increasing to $25,000 from approval of the first new drug application, or NDA, or BLA for a licensed product over the royalty term, and mid-single-digit royalty payments to MSK on sales.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These payments could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spacing w:after="0" w:line="184"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grow our sales and marketing team to support sale of DANYELZA and conduct clinical trials of, and seek marketing approval for our other product candidates. We expect to incur commercialization expenses, which may be significant, related to product sales, marketing, manufacturing and distribution of DANYELZA.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8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 addition, we cannot be certain that additional funding will be available on acceptable terms when needed, or at all. Our ability to raise additional capital may be adversely impacted by worsening global economic conditions, with disruptions to, and volatility in, the credit and financial markets in the U.S. and worldwide resulting from the effects of inflationary pressures, the COVID-19 pandemic, the military conflict between Ukraine and Russia, current and potential future bank failures,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0"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70"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securities offerings, debt financings, collaborations, strategic alliances and/or licensing arrangements. To the extent that we raise additional capital through the sale of equity or convertible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candidates, if approved, or the development of our product candidates.</w:t>
      </w:r>
    </w:p>
    <w:p>
      <w:pPr>
        <w:spacing w:after="0" w:line="18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84"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We have focused our efforts and managerial resources on specific products and product candidates and on specific indications such as DANYELZA for the treatment of R/R high-risk NB in bone and/or bone marrow and omburtamab for central nervous system, or CNS, leptomeningeal metastases, or LM, from NB.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 For example, in November 2022 the FDA issued a CRL for our BLA for omburtamab. The letter indicated that the FDA completed the review of the application and determined that it is unable to approve the BLA in its current form.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we can provide no assurance that the development of omburtamab will continue or that omburtamab will ultimately receive FDA approval.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left="60" w:right="419"/>
        <w:spacing w:after="0" w:line="320" w:lineRule="auto"/>
        <w:rPr>
          <w:sz w:val="20"/>
          <w:szCs w:val="20"/>
          <w:color w:val="auto"/>
        </w:rPr>
      </w:pPr>
      <w:r>
        <w:rPr>
          <w:rFonts w:ascii="Arial" w:cs="Arial" w:eastAsia="Arial" w:hAnsi="Arial"/>
          <w:sz w:val="15"/>
          <w:szCs w:val="15"/>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46"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on schedule, if at all. In addition, we cannot be sure that we will be able to submit investigational new drug applications, 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nature of the patient populations that we study in our clinical trials means that the treatment effect of our product candidates has to be demonstrated despite being the second or third-line of treatment, and in some cases, despite concomitant treatment with radiation or chemotherapy. Some of our target indications, including CNS/LM from NB, may also be difficult to assess via current imaging technology and other testing methods, which may lead to in conclusory or equivocal data regarding treatment effect. Furthermore, because our study populations are small, statistical analyses may not fully adjust for these and other potential bias in the data. Such was the case for omburtamab, any or all of these factors may mean that we are unable to demonstrate substantial evidence of the effectiveness of or product candidates to the satisfaction of the FDA or comparable foreign regulatory authorities.</w:t>
      </w:r>
    </w:p>
    <w:p>
      <w:pPr>
        <w:spacing w:after="0" w:line="18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71"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DANYELZA and our product candidates and related technologies represent novel approaches to cancer treatment generally. Developing and commercializing these products therefore subjects us to a number of challenges. Although the FDA accepted our BLA for omburtamab for priority review, in November 2022 the FDA issued a CRL for our BLA for omburtamab. The letter indicated that the FDA completed the review of the application and determined that it is unable to approve the BLA in its current form.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there is no assurance that we will continue to develop omburtamab or receive approval of our BLA for omburtamab. We may never be able to develop a marketable product other than DANYELZA. Our ability to generate product revenue is highly dependent on our ability to successfully commercialize DANYELZA and to obtain additional regulatory approvals of and successfully commercialize additional product candidates.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of our other product candidates will be successful in clinical studies and they may not receive regulatory approval even if they are successful in clinical studies.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success of our product candidates in development will depend on several factors, including the following:</w:t>
      </w:r>
    </w:p>
    <w:p>
      <w:pPr>
        <w:spacing w:after="0" w:line="237"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pacing w:after="0" w:line="236" w:lineRule="exact"/>
        <w:rPr>
          <w:rFonts w:ascii="Arial" w:cs="Arial" w:eastAsia="Arial" w:hAnsi="Arial"/>
          <w:sz w:val="17"/>
          <w:szCs w:val="17"/>
          <w:color w:val="auto"/>
        </w:rPr>
      </w:pPr>
    </w:p>
    <w:p>
      <w:pPr>
        <w:ind w:left="1040" w:right="11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1040" w:right="7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1040" w:right="4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the technology that would potentially harm our business.</w:t>
      </w:r>
    </w:p>
    <w:p>
      <w:pPr>
        <w:spacing w:after="0" w:line="18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Many of our product candidates are based on similar technologies. Therefore, if one product candidate encounters safety or efficacy problems, developmental delays, regulatory issues, or other problems, our other development plans and business could be significantly harmed.</w:t>
      </w:r>
    </w:p>
    <w:p>
      <w:pPr>
        <w:spacing w:after="0" w:line="184"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The SADA Technology that we use is unproven and may not result in approvable or marketable products, which exposes us to unforeseen risks and makes it difficult for us to predict the time and cost of product development and potential for regulatory approval, and we may not be successful in our efforts to use the SADA Technology to build a pipeline of product candidates.</w:t>
      </w:r>
    </w:p>
    <w:p>
      <w:pPr>
        <w:spacing w:after="0" w:line="187"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are seeking to identify and develop a broad pipeline of product candidates using the SADA Technology. We have only recently announced that the first patient in our Phase 1 trial of GD2-SADA has been dosed. The scientific research that forms the basis of our efforts to develop product candidates with the SADA Technology is still ongoing. We are not aware of any FDA approved therapeutics utilizing a similar technology. Further, the scientific evidence to support the feasibility of developing therapeutic treatments based on the SADA Technology is both preliminary and limited. As a result, we are exposed to a number of unforeseen risks, and it is difficult to predict the types of challenges and risks that we may encounter during development of our product candidates using the SADA Technology. For example, before the first dosing of the patient in our Phase 1 trial of GD1-SADA, we had not tested any of the product candidates being developed using the SADA platform in humans, and our current data is limited to animal models and preclinical cell lines, the results of which may not translate into humans. Further, relevant animal models and assays may not accurately predict the safety and efficacy of our product candidates based on the SADA Technology in humans, and we may encounter significant challenges creating appropriate models and assays for demonstrating the safety and purity of our product candidates. In addition, the SADA Technology has potential safety risks related to, but not limited to, the radiation stemming from the delivery of radioactive payloads. As a result, it is possible that safety events or concerns could negatively affect the development of our product candidates developed using the SADA Technology, including adversely affecting patient enrollment among the patient populations that we intend to treat.</w:t>
      </w:r>
    </w:p>
    <w:p>
      <w:pPr>
        <w:spacing w:after="0" w:line="176"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Given the novelty of the SADA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known therapeutics. Even if we obtain human data to support our product candidates developed using the SADA Technology, the FDA or comparable foreign regulatory agencies may lack experience in evaluating the safety and efficacy of our product candidates developed using the SADA Technology,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developed using the SADA Technology, alone or in combination with other therapies.</w:t>
      </w:r>
    </w:p>
    <w:p>
      <w:pPr>
        <w:spacing w:after="0" w:line="178"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Additionally, an element of our strategy is to use and expand the SADA Technology to build a pipeline of product candidates and progress those product candidates through clinical development for the treatment of a variety of different cancers. Although our research and development efforts to date have been focused on identifying a pipeline of product candidates directed at cancers, we may not be able to develop product candidates that are safe and effective. Even if we are successful in building a pipeline of product candidates developed using the SADA Technology,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developed using the SADA Technology, we will face difficulty in obtaining product revenue therefrom in future periods, which could result in significant harm to our financial position and adversely affect our share price.</w:t>
      </w:r>
    </w:p>
    <w:p>
      <w:pPr>
        <w:spacing w:after="0" w:line="195" w:lineRule="exact"/>
        <w:rPr>
          <w:sz w:val="20"/>
          <w:szCs w:val="20"/>
          <w:color w:val="auto"/>
        </w:rPr>
      </w:pPr>
    </w:p>
    <w:p>
      <w:pPr>
        <w:ind w:left="100" w:right="499"/>
        <w:spacing w:after="0" w:line="324" w:lineRule="auto"/>
        <w:rPr>
          <w:sz w:val="20"/>
          <w:szCs w:val="20"/>
          <w:color w:val="auto"/>
        </w:rPr>
      </w:pPr>
      <w:r>
        <w:rPr>
          <w:rFonts w:ascii="Arial" w:cs="Arial" w:eastAsia="Arial" w:hAnsi="Arial"/>
          <w:sz w:val="18"/>
          <w:szCs w:val="18"/>
          <w:b w:val="1"/>
          <w:bCs w:val="1"/>
          <w:i w:val="1"/>
          <w:iCs w:val="1"/>
          <w:color w:val="auto"/>
        </w:rPr>
        <w:t>Russia’s invasion of Ukraine and ancillary developments have had and may continue to have an adverse effect on our business.</w:t>
      </w:r>
    </w:p>
    <w:p>
      <w:pPr>
        <w:spacing w:after="0" w:line="76"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On February 24, 2022, Russia launched a wide-ranging attack on Ukraine. The resulting conflict and retaliatory measures by the global community have created global security concerns, including the possibility of expanded regional or global conflict, which have had and are likely to continue to have, short-term and more likely longer-term adverse impacts on Russia, Ukraine and Europe and around the globe. Sanctions issued by the U.S. and other countries against Russia in response to its attack on Ukraine and related counter-sanctions issued by Russia have made it very difficult for us to operate in Russia. In light of the conditions in the region, we terminated our clinical trials of DANYELZA in Russia and suspended our regulatory activities to obtain marketing authorization for DANYELZA in Russia. We have been able to make DANYELZA available in Russia on a compassionate (unapproved) use basis for a limited number of patients. Although we are considering expanding the compassionate use of DANYELZA in Russia through our partnership with Swixx BioPharma AG, the sanctions have negatively impacted our plans to commercialize and sell DANYELZA in Russia and may therefore adversely affect our business. At this time, we cannot guarantee that our clinical or regulatory activities will recommence or that we will be able to expand our collaboration with Swixx BioPharma AG. In addition, the conflict between Russia and Ukraine and related sanctions has had significant ramifications on global financial markets, including volatility in the U.S. and global financial markets experienced, which has led to disruptions to trade, commerce, pricing stability, credit availability, supply chain continuity and reduced access to liquidity globally, and has caused and may continue to cause volatility in the price of our common stock, which may adversely impact our ability to raise capital on favorable terms or at all.</w:t>
      </w:r>
    </w:p>
    <w:p>
      <w:pPr>
        <w:spacing w:after="0" w:line="191"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4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While we have initiated the commercial launch of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p>
      <w:pPr>
        <w:spacing w:after="0" w:line="171" w:lineRule="exact"/>
        <w:rPr>
          <w:sz w:val="20"/>
          <w:szCs w:val="20"/>
          <w:color w:val="auto"/>
        </w:rPr>
      </w:pPr>
    </w:p>
    <w:p>
      <w:pPr>
        <w:ind w:left="1040" w:right="17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products and any future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adequate pricing and reimbursement for DANYELZA and any future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 regulatory authorization for the development and commercialization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accurately forecast demand for our products and scale manufacturing to meet that demand;</w:t>
      </w:r>
    </w:p>
    <w:p>
      <w:pPr>
        <w:spacing w:after="0" w:line="225"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grow our relationship with MSK as a user of DANYELZA and any future products.</w:t>
      </w:r>
    </w:p>
    <w:p>
      <w:pPr>
        <w:spacing w:after="0" w:line="22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product candidates, commercialize DANYELZA or any future approved products, raise capital, expand our business, or continue our operations.</w:t>
      </w:r>
    </w:p>
    <w:p>
      <w:pPr>
        <w:spacing w:after="0" w:line="184"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4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95"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of the product and the prevalence and severity of any side effects;</w:t>
      </w:r>
    </w:p>
    <w:p>
      <w:pPr>
        <w:spacing w:after="0" w:line="225"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 and any requirement for in-patient versus out-patient administration;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populations to try new therapies and enroll in ongoing clinical trials, and of physicians to prescribe these therapies;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We have limited experience in marketing and selling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4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have limited experience in marketing and selling biopharmaceutical products. We began small shipments of DANYELZA in February 2021. Other than our commercialization partnerships for DANYELZA and omburtamab covering certain territories outside the United States,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w:t>
      </w:r>
    </w:p>
    <w:p>
      <w:pPr>
        <w:spacing w:after="0" w:line="18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marketing approval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raise financing necessary to maintain and grow our commercialization infrastructure;</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DANYELZA or any future approved products;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our sales personnel, which may put us at a competitive disadvantage relative to companies with more extensive offerings;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1040" w:right="7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Conversely, our revenues from the sale of drugs or the profitability of these revenues to us are likely to be lower from arrangements that we enter into with third parties to perform sales and marketing services (such as with SciClone Pharmaceuticals International Ltd, Takeda Israel, Swixx Biopharma AG, Adium Pharma S.A. and WEP Clinical Ltd.)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7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manufacturing organizations as well as established marketing and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other product candidates or may develop proprietary technologies or secure patent protection that we may need for the commercialization of DANYELZA and the development of our product candidates and related technologies.</w:t>
      </w:r>
    </w:p>
    <w:p>
      <w:pPr>
        <w:spacing w:after="0" w:line="182"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its efforts to develop a humanized version of Unituxin and plans to develop Unituxin within R/R NB, DANYELZA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 and was approved by the EMA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In mainland China, DANYELZA is not the first approved antibody treatment for R/R NB. If approved in Europe, DANYELZA will not be the first approved antibody treatment for R/R NB in Europe. We may not be the first to market in other geographies, which may affect the price or demand for DANYELZA. Similarly, we may not be the first to market for any of our other future products, if approved. Additionally, the availability and price of our competitors’ products could limit the demand and the price we are able to charge for our DANYELZA or for any other future products, if approved. We may not be able to implement our business plan if the acceptance of DANYELZA or for any other future products, if approved,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7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MacroGenics, Inc. and Daiichi Sankyo Co. are developing antibodies against the B7-H3 molecule that is the target of omburtamab.</w:t>
      </w:r>
    </w:p>
    <w:p>
      <w:pPr>
        <w:spacing w:after="0" w:line="170" w:lineRule="exact"/>
        <w:rPr>
          <w:sz w:val="20"/>
          <w:szCs w:val="20"/>
          <w:color w:val="auto"/>
        </w:rPr>
      </w:pPr>
    </w:p>
    <w:p>
      <w:pPr>
        <w:jc w:val="both"/>
        <w:ind w:left="60" w:right="599"/>
        <w:spacing w:after="0" w:line="311" w:lineRule="auto"/>
        <w:rPr>
          <w:sz w:val="20"/>
          <w:szCs w:val="20"/>
          <w:color w:val="auto"/>
        </w:rPr>
      </w:pPr>
      <w:r>
        <w:rPr>
          <w:rFonts w:ascii="Arial" w:cs="Arial" w:eastAsia="Arial" w:hAnsi="Arial"/>
          <w:sz w:val="16"/>
          <w:szCs w:val="16"/>
          <w:b w:val="1"/>
          <w:bCs w:val="1"/>
          <w:i w:val="1"/>
          <w:iCs w:val="1"/>
          <w:color w:val="auto"/>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spacing w:after="0" w:line="149"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Our current target patient populations are based on our beliefs and estimates regarding the incidence or prevalence of certain types of cancers that may be addressable by DANYELZA,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6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Our current target patient populations are small as we have so far focused our clinical development efforts on rare pediatric cancers. By way of example, only approximately 700 children are diagnosed with high-risk NB in the United States each year. Even if we obtain significant market share for DANYELZA, or our other product candidates, if approved, 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spacing w:after="0" w:line="19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DANYELZA is approved only as second-line treatment for patients with R/R high-risk NB in bone and/or bone marrow. Even if we would seek approval as front-line or third-line therapy for DANYELZA or another product candidate there is no guarantee that any will be approved. In addition, we may have to conduct additional clinical trials prior to gaining approval for front-line or third-line therapy.</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p>
    <w:p>
      <w:pPr>
        <w:spacing w:after="0" w:line="184" w:lineRule="exact"/>
        <w:rPr>
          <w:sz w:val="20"/>
          <w:szCs w:val="20"/>
          <w:color w:val="auto"/>
        </w:rPr>
      </w:pPr>
    </w:p>
    <w:p>
      <w:pPr>
        <w:jc w:val="both"/>
        <w:ind w:left="60" w:right="279" w:firstLine="648"/>
        <w:spacing w:after="0" w:line="311"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p>
      <w:pPr>
        <w:spacing w:after="0" w:line="149"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spacing w:after="0" w:line="178"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spacing w:after="0" w:line="157"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7"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spacing w:after="0" w:line="188"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both for our approved product DANYELZA and our current clinical trials. We anticipate this also to be the case for our future products, if approved, and clinical trials. Inadequate training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84"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8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92"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narrow the indications for use or, as the FDA did in its approval of DANYELZA for the treatment of R/R high-risk NB rather than NB that was not R/R;</w:t>
      </w:r>
    </w:p>
    <w:p>
      <w:pPr>
        <w:spacing w:after="0" w:line="170" w:lineRule="exact"/>
        <w:rPr>
          <w:rFonts w:ascii="Arial" w:cs="Arial" w:eastAsia="Arial" w:hAnsi="Arial"/>
          <w:sz w:val="18"/>
          <w:szCs w:val="18"/>
          <w:color w:val="auto"/>
        </w:rPr>
      </w:pPr>
    </w:p>
    <w:p>
      <w:pPr>
        <w:ind w:left="1040" w:right="439" w:hanging="315"/>
        <w:spacing w:after="0" w:line="311"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48"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68"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marketing approval to market our product candidates. We have multiple clinical trials currently ongoing or planned. In the event that an adverse safety issue, clinical hold or other adverse finding occurs in one or more of our clinical trials of the same product candidate, such event could adversely affect our other clinical trials of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BLA to the FDA for radiolabeled 131I-omburtamab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convened an Advisory Committee, which met on October 28, 2022 and voted 16 to 0 that we had not provided sufficient evidence to conclude that omburtamab improves overall survival among the target patient population. In November 2022, the FDA issued a CRL for our BLA for omburtamab indicating that the FDA determined that it was unable to approve the BLA in its current form since it did not provide substantial evidence of effectiveness of omburtamab for the proposed indication.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do not know whether any clinical trials we may conduct will demonstrate consistent or adequate efficacy and safety sufficient to obtain marketing approval to market our product candidates.</w:t>
      </w:r>
    </w:p>
    <w:p>
      <w:pPr>
        <w:spacing w:after="0" w:line="17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66"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In the November 2022 CRL for our BLA for omburtamab, the FDA determined that it was unable to approve the BLA in its current form since it did not provide substantial evidence of effectiveness of omburtamab for the proposed indication. Further, the FDA stated that comparisons of overall survival between our Study 101 and the external control could not be used to estimate the treatment effect of omburtamab on survival and support claims of effectiveness. Additionally, the FDA held that response rate data from our study 101 were not reliable to verify the anti-tumor activity of omburtamab.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spacing w:after="0" w:line="182"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spacing w:after="0" w:line="17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5"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7"/>
          <w:szCs w:val="17"/>
          <w:color w:val="auto"/>
        </w:rPr>
        <w:t>Other than DANYELZA, the product candidates and related technologies we have licensed have not yet led, and may never lead, to approved products. Our only approved product DANYELZA was only approved in late 2020 by the FDA and launched in the United States in early 2021. Further, DANYELZA was only approved by the Israeli Ministry of Health in Israel, in August 2022 and by the NMPA in China in December 2022. Hence its commercial potential cannot be judged with accuracy at this point in time. Even if we are successful in continuing to build our pipeline, obtaining regulatory approvals and commercializing our other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obtain marketing approval for omburtamab or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assemble sufficient resources to acquire or discover additional product candidates;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1040" w:right="239" w:hanging="315"/>
        <w:spacing w:after="0" w:line="34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pacing w:after="0" w:line="236" w:lineRule="exact"/>
        <w:rPr>
          <w:rFonts w:ascii="Arial" w:cs="Arial" w:eastAsia="Arial" w:hAnsi="Arial"/>
          <w:sz w:val="17"/>
          <w:szCs w:val="17"/>
          <w:color w:val="auto"/>
        </w:rPr>
      </w:pPr>
    </w:p>
    <w:p>
      <w:pPr>
        <w:ind w:left="1040" w:right="5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as applicable.</w:t>
      </w:r>
    </w:p>
    <w:p>
      <w:pPr>
        <w:spacing w:after="0" w:line="170"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US market, the Israeli Ministry of Health in Israel for Israel and NMPA in China for China, no assurance can be given that it will be successfully commercialized, widely accepted in the marketplace or more effective than other commercially available alternatives.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currently have in place several agreements with MSK, including the MSK License, the CD33 License, the MabVax Sublicense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because it is a hospital where patients are treated,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w:t>
      </w:r>
    </w:p>
    <w:p>
      <w:pPr>
        <w:spacing w:after="0" w:line="16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of strategic collaborations is time 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spacing w:after="0" w:line="164"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Further, arrangements with third parties, such as our arrangement with MSK or other current or potential future collaborations that we may enter, are subject to numerous risks, including the following: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1040" w:right="99" w:hanging="315"/>
        <w:spacing w:after="0" w:line="25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87" w:lineRule="exact"/>
        <w:rPr>
          <w:rFonts w:ascii="Arial" w:cs="Arial" w:eastAsia="Arial" w:hAnsi="Arial"/>
          <w:sz w:val="18"/>
          <w:szCs w:val="18"/>
          <w:color w:val="auto"/>
        </w:rPr>
      </w:pPr>
    </w:p>
    <w:p>
      <w:pPr>
        <w:ind w:left="1040" w:right="9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may delay clinical trials, provide insufficient funding for a clinical trial, stop a clinical trial,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 parties could independently develop, or develop with others, products that compete directly or indirectly with our products or product candidates;</w:t>
      </w:r>
    </w:p>
    <w:p>
      <w:pPr>
        <w:spacing w:after="0" w:line="170" w:lineRule="exact"/>
        <w:rPr>
          <w:rFonts w:ascii="Arial" w:cs="Arial" w:eastAsia="Arial" w:hAnsi="Arial"/>
          <w:sz w:val="18"/>
          <w:szCs w:val="18"/>
          <w:color w:val="auto"/>
        </w:rPr>
      </w:pPr>
    </w:p>
    <w:p>
      <w:pPr>
        <w:ind w:left="1040" w:right="159" w:hanging="315"/>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p>
      <w:pPr>
        <w:spacing w:after="0" w:line="186"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third-party with marketing and distribution rights to one or more products may not commit sufficient resources to their marketing and distribution;</w:t>
      </w:r>
    </w:p>
    <w:p>
      <w:pPr>
        <w:spacing w:after="0" w:line="170" w:lineRule="exact"/>
        <w:rPr>
          <w:rFonts w:ascii="Arial" w:cs="Arial" w:eastAsia="Arial" w:hAnsi="Arial"/>
          <w:sz w:val="18"/>
          <w:szCs w:val="18"/>
          <w:color w:val="auto"/>
        </w:rPr>
      </w:pPr>
    </w:p>
    <w:p>
      <w:pPr>
        <w:ind w:left="1040" w:right="219" w:hanging="315"/>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third parties may not properly maintain or defend our intellectual property rights or may use our intellectual property or proprietary information in a way that gives rise to actual or threatened litigation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spacing w:after="0" w:line="277" w:lineRule="auto"/>
        <w:rPr>
          <w:sz w:val="20"/>
          <w:szCs w:val="20"/>
          <w:color w:val="auto"/>
        </w:rPr>
      </w:pPr>
      <w:r>
        <w:rPr>
          <w:rFonts w:ascii="Arial" w:cs="Arial" w:eastAsia="Arial" w:hAnsi="Arial"/>
          <w:sz w:val="18"/>
          <w:szCs w:val="18"/>
          <w:color w:val="auto"/>
        </w:rPr>
        <w:t>could jeopardize or invalidate our intellectual property or proprietary information or expose us to potential liability;</w:t>
      </w:r>
    </w:p>
    <w:p>
      <w:pPr>
        <w:spacing w:after="0" w:line="170" w:lineRule="exact"/>
        <w:rPr>
          <w:sz w:val="20"/>
          <w:szCs w:val="20"/>
          <w:color w:val="auto"/>
        </w:rPr>
      </w:pPr>
    </w:p>
    <w:p>
      <w:pPr>
        <w:ind w:left="1040" w:right="219" w:hanging="315"/>
        <w:spacing w:after="0" w:line="31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disputes may arise between us and such third-party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48" w:lineRule="exact"/>
        <w:rPr>
          <w:rFonts w:ascii="Arial" w:cs="Arial" w:eastAsia="Arial" w:hAnsi="Arial"/>
          <w:sz w:val="16"/>
          <w:szCs w:val="16"/>
          <w:color w:val="auto"/>
        </w:rPr>
      </w:pPr>
    </w:p>
    <w:p>
      <w:pPr>
        <w:ind w:left="1040" w:right="35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may infringe the intellectual property rights of others, which may expose us to litigation and potential liability;</w:t>
      </w:r>
    </w:p>
    <w:p>
      <w:pPr>
        <w:spacing w:after="0" w:line="170" w:lineRule="exact"/>
        <w:rPr>
          <w:rFonts w:ascii="Arial" w:cs="Arial" w:eastAsia="Arial" w:hAnsi="Arial"/>
          <w:sz w:val="18"/>
          <w:szCs w:val="18"/>
          <w:color w:val="auto"/>
        </w:rPr>
      </w:pPr>
    </w:p>
    <w:p>
      <w:pPr>
        <w:ind w:left="1040" w:right="419" w:hanging="315"/>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83" w:lineRule="exact"/>
        <w:rPr>
          <w:rFonts w:ascii="Arial" w:cs="Arial" w:eastAsia="Arial" w:hAnsi="Arial"/>
          <w:sz w:val="18"/>
          <w:szCs w:val="18"/>
          <w:color w:val="auto"/>
        </w:rPr>
      </w:pPr>
    </w:p>
    <w:p>
      <w:pPr>
        <w:ind w:left="1040" w:right="419" w:hanging="315"/>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third parties may own or co-own intellectual property covering our products that results from our collaborating with them, and in such cases, we would not have the exclusive right to commercialize such intellectual property.</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8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4"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We have used Lutetium-177, Iodine-131 and Iodine-124 label and conjugated antibody treatments. Our uses involve the inherent risk of exposure from beta ray emissions, which can alter or harm healthy cells in the body. We, our CROs, our CMOs and other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4"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consist primarily of waste disposal expenses. However, compliance could become expensive, and current or future environmental laws or regulations may impair our research, development, production and commercialization efforts. Furthermore, failure to comply with these laws and regulations may result in substantial fines, penalties or other sanctions.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8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1" w:lineRule="exact"/>
        <w:rPr>
          <w:sz w:val="20"/>
          <w:szCs w:val="20"/>
          <w:color w:val="auto"/>
        </w:rPr>
      </w:pPr>
    </w:p>
    <w:p>
      <w:pPr>
        <w:ind w:left="60" w:right="119"/>
        <w:spacing w:after="0" w:line="320" w:lineRule="auto"/>
        <w:rPr>
          <w:sz w:val="20"/>
          <w:szCs w:val="20"/>
          <w:color w:val="auto"/>
        </w:rPr>
      </w:pPr>
      <w:r>
        <w:rPr>
          <w:rFonts w:ascii="Arial" w:cs="Arial" w:eastAsia="Arial" w:hAnsi="Arial"/>
          <w:sz w:val="15"/>
          <w:szCs w:val="15"/>
          <w:b w:val="1"/>
          <w:bCs w:val="1"/>
          <w:i w:val="1"/>
          <w:iCs w:val="1"/>
          <w:color w:val="auto"/>
        </w:rPr>
        <w:t>We rely on third parties to manufacture DANYELZA for commercial supply and our product candidates, including our antibody constructs based on the SADA technology, for our ongoing and planned pre-clinical studies and clinical studies. Our business could be harmed if third parties fail to provide us with sufficient quantities of DANYELZA or our other product candidates, including our antibody constructs based on the SADA technology, or fail to do so at acceptable quantities, quality levels or prices or fail to maintain adequate compliance with CMC guidelines of the FDA.</w:t>
      </w:r>
    </w:p>
    <w:p>
      <w:pPr>
        <w:spacing w:after="0" w:line="146"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We do not currently own any facility that may be used for commercial or clinical-scale manufacturing and processing, and we rely on outside vendors to manufacture DANYELZA for commercial supply and for supplies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processing of our product candidates, including our antibody constructs based on the SADA technology, for pre-clinical studies and clinical trials. Our other product candidates have only been manufactured or processed on a limited basis and we and our CMO may not be able to continue manufacturing any of our other product candidates. The manufacturing process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third-party research institution collaborators.</w:t>
      </w:r>
    </w:p>
    <w:p>
      <w:pPr>
        <w:spacing w:after="0" w:line="17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DANYELZA from a limited number of third-party manufacturers. We have engaged a separate third-party manufacturer to conduct fill-and-finish and labeling services, as well as for the storage and distribution of DANYELZA to clinical sites and for commercial use. We do not have a long-term supply agreement with any of these third-party API manufacturers, and we purchase our required drug supplies on a purchase order basis.</w:t>
      </w:r>
    </w:p>
    <w:p>
      <w:pPr>
        <w:spacing w:after="0" w:line="18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rely also on CMOs and third-party collaborators for the manufacture of DANYELZA for commercial supply, and we expect that this will be the manufacturing arrangement for any of our other potential products, if approved. If we are unable to establish agreements with CMOs on acceptable terms, or at all, our business and results of operations may be materially adversely affected.</w:t>
      </w:r>
    </w:p>
    <w:p>
      <w:pPr>
        <w:spacing w:after="0" w:line="187"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If we determine to resume development of omburtamab, we expect to continue to be highly dependent on our current CMO, EMD/Merck, for the production of omburtamab since this manufacturing process uses a hybridoma cell line in a relatively small scale (200 liters) cGMP manufacturing process. Many manufacturers refuse to allow hybridoma cell lines to be used in their facilities due to the risk of contamination. In addition, the relatively small scale of the cGMP system required for manufacture of omburtamab may increase the risk that we are unable to establish an alternative manufacturing arrangement on commercially reasonable terms because the small scale may lead to less commercially attractive terms for us.</w:t>
      </w:r>
    </w:p>
    <w:p>
      <w:pPr>
        <w:spacing w:after="0" w:line="195"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We are subject to the following additional risks with respect to the third-party manufacture of our antibody-based cancer treatments:</w:t>
      </w:r>
    </w:p>
    <w:p>
      <w:pPr>
        <w:spacing w:after="0" w:line="170" w:lineRule="exact"/>
        <w:rPr>
          <w:sz w:val="20"/>
          <w:szCs w:val="20"/>
          <w:color w:val="auto"/>
        </w:rPr>
      </w:pPr>
    </w:p>
    <w:p>
      <w:pPr>
        <w:ind w:left="1000" w:right="99" w:hanging="275"/>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need to qualify any new manufacturer of DANYELZA or other product candidates, the respective BLA submissions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 such potential new manufacturer. Any such potential new manufacturer would further need to pass cGMP compliance inspections by the FDA.</w:t>
      </w:r>
    </w:p>
    <w:p>
      <w:pPr>
        <w:spacing w:after="0" w:line="192" w:lineRule="exact"/>
        <w:rPr>
          <w:rFonts w:ascii="Arial" w:cs="Arial" w:eastAsia="Arial" w:hAnsi="Arial"/>
          <w:sz w:val="18"/>
          <w:szCs w:val="18"/>
          <w:color w:val="auto"/>
        </w:rPr>
      </w:pPr>
    </w:p>
    <w:p>
      <w:pPr>
        <w:ind w:left="1000" w:right="619" w:hanging="275"/>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need to qualify any new manufacturer, such third-party would have to be educated in, or develop substantially equivalent processes for, production of our product and/or product candidates.</w:t>
      </w:r>
    </w:p>
    <w:p>
      <w:pPr>
        <w:spacing w:after="0" w:line="123" w:lineRule="exact"/>
        <w:rPr>
          <w:rFonts w:ascii="Arial" w:cs="Arial" w:eastAsia="Arial" w:hAnsi="Arial"/>
          <w:sz w:val="16"/>
          <w:szCs w:val="16"/>
          <w:color w:val="auto"/>
        </w:rPr>
      </w:pPr>
    </w:p>
    <w:p>
      <w:pPr>
        <w:ind w:left="1000" w:right="519" w:hanging="275"/>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of our third-party manufacturers might be unable to timely manufacture our product and/or product candidates or to produce the quantity and quality required to meet our clinical and commercial needs.</w:t>
      </w:r>
    </w:p>
    <w:p>
      <w:pPr>
        <w:spacing w:after="0" w:line="123" w:lineRule="exact"/>
        <w:rPr>
          <w:rFonts w:ascii="Arial" w:cs="Arial" w:eastAsia="Arial" w:hAnsi="Arial"/>
          <w:sz w:val="16"/>
          <w:szCs w:val="16"/>
          <w:color w:val="auto"/>
        </w:rPr>
      </w:pPr>
    </w:p>
    <w:p>
      <w:pPr>
        <w:ind w:left="1000" w:right="439" w:hanging="275"/>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1000" w:right="139" w:hanging="275"/>
        <w:spacing w:after="0" w:line="30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of our third-party manufacturers may not perform as agreed, according to our schedule or specifications, or at all. Any such third-party manufacturer may not devote sufficient resources to our product candidates, may give greater priority to the supply of other products over our product candidates, or may not remain in the contract manufacturing business for the time required to supply our clinical trials or commercial needs.</w:t>
      </w:r>
    </w:p>
    <w:p>
      <w:pPr>
        <w:spacing w:after="0" w:line="157" w:lineRule="exact"/>
        <w:rPr>
          <w:rFonts w:ascii="Arial" w:cs="Arial" w:eastAsia="Arial" w:hAnsi="Arial"/>
          <w:sz w:val="16"/>
          <w:szCs w:val="16"/>
          <w:color w:val="auto"/>
        </w:rPr>
      </w:pPr>
    </w:p>
    <w:p>
      <w:pPr>
        <w:ind w:left="1000" w:right="419" w:hanging="275"/>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exposed to the risk of cross-contamination from other drug substances if more than one product is manufactured at a third-party manufacturer’s production facilities.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0" w:right="239" w:hanging="275"/>
        <w:spacing w:after="0" w:line="275"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 and any of our third-party manufacturers could fail to comply with applicable government regulations.</w:t>
      </w:r>
    </w:p>
    <w:p>
      <w:pPr>
        <w:spacing w:after="0" w:line="176" w:lineRule="exact"/>
        <w:rPr>
          <w:rFonts w:ascii="Arial" w:cs="Arial" w:eastAsia="Arial" w:hAnsi="Arial"/>
          <w:sz w:val="17"/>
          <w:szCs w:val="17"/>
          <w:color w:val="auto"/>
        </w:rPr>
      </w:pPr>
    </w:p>
    <w:p>
      <w:pPr>
        <w:ind w:left="1000" w:right="439" w:hanging="275"/>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000" w:right="179" w:hanging="275"/>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third-party manufacturers could breach, terminate or choose not to renew their agreement with us at a time that is costly or inconvenient for us.</w:t>
      </w:r>
    </w:p>
    <w:p>
      <w:pPr>
        <w:spacing w:after="0" w:line="170" w:lineRule="exact"/>
        <w:rPr>
          <w:rFonts w:ascii="Arial" w:cs="Arial" w:eastAsia="Arial" w:hAnsi="Arial"/>
          <w:sz w:val="18"/>
          <w:szCs w:val="18"/>
          <w:color w:val="auto"/>
        </w:rPr>
      </w:pPr>
    </w:p>
    <w:p>
      <w:pPr>
        <w:ind w:left="1000" w:right="159" w:hanging="275"/>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p>
      <w:pPr>
        <w:spacing w:after="0" w:line="183" w:lineRule="exact"/>
        <w:rPr>
          <w:rFonts w:ascii="Arial" w:cs="Arial" w:eastAsia="Arial" w:hAnsi="Arial"/>
          <w:sz w:val="18"/>
          <w:szCs w:val="18"/>
          <w:color w:val="auto"/>
        </w:rPr>
      </w:pPr>
    </w:p>
    <w:p>
      <w:pPr>
        <w:ind w:left="1000" w:right="239" w:hanging="275"/>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of our third-party manufacturers could potentially mislabel commercial or clinical supplies, which may result in the wrong dose amounts being supplied or active drug or placebo not being properly identified;</w:t>
      </w:r>
    </w:p>
    <w:p>
      <w:pPr>
        <w:spacing w:after="0" w:line="123" w:lineRule="exact"/>
        <w:rPr>
          <w:rFonts w:ascii="Arial" w:cs="Arial" w:eastAsia="Arial" w:hAnsi="Arial"/>
          <w:sz w:val="16"/>
          <w:szCs w:val="16"/>
          <w:color w:val="auto"/>
        </w:rPr>
      </w:pPr>
    </w:p>
    <w:p>
      <w:pPr>
        <w:ind w:left="1000" w:right="279" w:hanging="275"/>
        <w:spacing w:after="0" w:line="31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of our third-party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p>
      <w:pPr>
        <w:spacing w:after="0" w:line="148" w:lineRule="exact"/>
        <w:rPr>
          <w:rFonts w:ascii="Arial" w:cs="Arial" w:eastAsia="Arial" w:hAnsi="Arial"/>
          <w:sz w:val="16"/>
          <w:szCs w:val="16"/>
          <w:color w:val="auto"/>
        </w:rPr>
      </w:pPr>
    </w:p>
    <w:p>
      <w:pPr>
        <w:jc w:val="both"/>
        <w:ind w:left="1000" w:right="79" w:hanging="275"/>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clinical trials may be interrupted if third-party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w:t>
      </w:r>
    </w:p>
    <w:p>
      <w:pPr>
        <w:spacing w:after="0" w:line="186" w:lineRule="exact"/>
        <w:rPr>
          <w:rFonts w:ascii="Arial" w:cs="Arial" w:eastAsia="Arial" w:hAnsi="Arial"/>
          <w:sz w:val="18"/>
          <w:szCs w:val="18"/>
          <w:color w:val="auto"/>
        </w:rPr>
      </w:pPr>
    </w:p>
    <w:p>
      <w:pPr>
        <w:ind w:left="1000" w:right="99" w:hanging="275"/>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Each of these risks could delay or prevent the completion of our clinical trials, could delay any additional BLA submissions or the approval of any of our product candidates by the FDA, result in higher costs or adversely impact commercialization of our product candidates. Any shortage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For example, in the past, we experienced a shortage in the supply of Iodine-131, one of the components of 131I-omburtamab product candidate, from our single source supplier.</w:t>
      </w:r>
    </w:p>
    <w:p>
      <w:pPr>
        <w:spacing w:after="0" w:line="177" w:lineRule="exact"/>
        <w:rPr>
          <w:sz w:val="20"/>
          <w:szCs w:val="20"/>
          <w:color w:val="auto"/>
        </w:rPr>
      </w:pPr>
    </w:p>
    <w:p>
      <w:pPr>
        <w:jc w:val="both"/>
        <w:ind w:left="60" w:right="119" w:firstLine="648"/>
        <w:spacing w:after="0" w:line="311" w:lineRule="auto"/>
        <w:rPr>
          <w:sz w:val="20"/>
          <w:szCs w:val="20"/>
          <w:color w:val="auto"/>
        </w:rPr>
      </w:pPr>
      <w:r>
        <w:rPr>
          <w:rFonts w:ascii="Arial" w:cs="Arial" w:eastAsia="Arial" w:hAnsi="Arial"/>
          <w:sz w:val="16"/>
          <w:szCs w:val="16"/>
          <w:color w:val="auto"/>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us until deficiencies are remedied.</w:t>
      </w:r>
    </w:p>
    <w:p>
      <w:pPr>
        <w:spacing w:after="0" w:line="14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The facilities used by our CMOs to manufacture DANYELZA and our product candidates, including our antibody constructs based on the SADA technology, must be approved by the FDA pursuant to inspections conducted after submittal of a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spacing w:after="0" w:line="263" w:lineRule="auto"/>
        <w:rPr>
          <w:sz w:val="20"/>
          <w:szCs w:val="20"/>
          <w:color w:val="auto"/>
        </w:rPr>
      </w:pPr>
      <w:r>
        <w:rPr>
          <w:rFonts w:ascii="Arial" w:cs="Arial" w:eastAsia="Arial" w:hAnsi="Arial"/>
          <w:sz w:val="18"/>
          <w:szCs w:val="18"/>
          <w:color w:val="auto"/>
        </w:rPr>
        <w:t>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spacing w:after="0" w:line="184"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Any performance failure on the part of our existing or future manufacturers could adversely affect our commercialization of approved products, such as DANYELZA, and delay clinical development or marketing approval of other product candidates. We do not currently have arrangements in place for redundant supply of DANYELZA or other product candidates, and we currently use only a single third-party manufacturer for fill-and-finish services for DANYELZA and other product candidates. If any of our current CMOs cannot perform as agreed, we may be required to replace such manufacturer and we may incur added costs and delays in identifying and qualifying any such replacement.</w:t>
      </w:r>
    </w:p>
    <w:p>
      <w:pPr>
        <w:spacing w:after="0" w:line="164" w:lineRule="exact"/>
        <w:rPr>
          <w:sz w:val="20"/>
          <w:szCs w:val="20"/>
          <w:color w:val="auto"/>
        </w:rPr>
      </w:pPr>
    </w:p>
    <w:p>
      <w:pPr>
        <w:jc w:val="both"/>
        <w:ind w:left="60" w:right="139"/>
        <w:spacing w:after="0" w:line="301" w:lineRule="auto"/>
        <w:rPr>
          <w:sz w:val="20"/>
          <w:szCs w:val="20"/>
          <w:color w:val="auto"/>
        </w:rPr>
      </w:pPr>
      <w:r>
        <w:rPr>
          <w:rFonts w:ascii="Arial" w:cs="Arial" w:eastAsia="Arial" w:hAnsi="Arial"/>
          <w:sz w:val="16"/>
          <w:szCs w:val="16"/>
          <w:b w:val="1"/>
          <w:bCs w:val="1"/>
          <w:i w:val="1"/>
          <w:iCs w:val="1"/>
          <w:color w:val="auto"/>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57"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We currently have limited internal research and development capabilities. We conduct independent clinical trials and perform pre-clinical research but we also rely on third-party research institutions for both clinical trial and pre-clinical research.</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Currently, MSK is conducting a clinical trial to address relapsed osteosarcoma using DANYELZA. Under the terms of the MCTA, we are obligated to pay for costs associated with this clinical trial. We are conducting a clinical trial at MSK for CNS/LM from NB for omburtamab. The trial has completed accrual and no new patients are enrolled but we are performing follow-up activities on already-treated patients.</w:t>
      </w:r>
    </w:p>
    <w:p>
      <w:pPr>
        <w:spacing w:after="0" w:line="187"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16" w:lineRule="auto"/>
        <w:rPr>
          <w:sz w:val="20"/>
          <w:szCs w:val="20"/>
          <w:color w:val="auto"/>
        </w:rPr>
      </w:pPr>
      <w:r>
        <w:rPr>
          <w:rFonts w:ascii="Arial" w:cs="Arial" w:eastAsia="Arial" w:hAnsi="Arial"/>
          <w:sz w:val="15"/>
          <w:szCs w:val="15"/>
          <w:b w:val="1"/>
          <w:bCs w:val="1"/>
          <w:i w:val="1"/>
          <w:iCs w:val="1"/>
          <w:color w:val="auto"/>
        </w:rPr>
        <w:t>DANYELZA and our product candidates are biologics and the manufacture of DANYELZA and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4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 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176"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such change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spacing w:after="0" w:line="16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 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spacing w:after="0" w:line="187"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In May 2021, we entered into an exclusive distribution agreement with Adium Pharma S.A., or Adium, for Latin America. Finally, in December 2022, we entered into a distribution agreement with WEP Clinical Ltd. in connection with an early access program for DANYELZA in Europe. We may enter into further strategic collaborations for the development, marketing and commercialization of all or some of our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17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current and any future potential collaborations involving our product candidates pose risks to us, including the following:</w:t>
      </w:r>
    </w:p>
    <w:p>
      <w:pPr>
        <w:spacing w:after="0" w:line="170" w:lineRule="exact"/>
        <w:rPr>
          <w:sz w:val="20"/>
          <w:szCs w:val="20"/>
          <w:color w:val="auto"/>
        </w:rPr>
      </w:pPr>
    </w:p>
    <w:p>
      <w:pPr>
        <w:ind w:left="1040" w:right="13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40" w:right="119" w:hanging="315"/>
        <w:spacing w:after="0" w:line="279"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99" w:hanging="315"/>
        <w:spacing w:after="0" w:line="25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1040" w:right="459" w:hanging="315"/>
        <w:spacing w:after="0" w:line="342"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marketing and/or commercialization of the applicable product candidates;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Our current and any future collaboration agreements, if any, may not lead to development or commercialization of product candidates in the most efficient manner, or at all.</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b w:val="1"/>
          <w:bCs w:val="1"/>
          <w:i w:val="1"/>
          <w:iCs w:val="1"/>
          <w:color w:val="auto"/>
        </w:rPr>
        <w:t>Even if we complete the necessary non-clinical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R/R high-risk NB in bone and/or bone marrow. We cannot predict when or if, and in which other territories, we, or any of our potential future collaborators, will obtain marketing approval to commercialize DANYELZA or any of our product candidates.</w:t>
      </w:r>
    </w:p>
    <w:p>
      <w:pPr>
        <w:spacing w:after="0" w:line="177" w:lineRule="exact"/>
        <w:rPr>
          <w:sz w:val="20"/>
          <w:szCs w:val="20"/>
          <w:color w:val="auto"/>
        </w:rPr>
      </w:pPr>
    </w:p>
    <w:p>
      <w:pPr>
        <w:jc w:val="both"/>
        <w:ind w:left="60" w:right="299" w:firstLine="648"/>
        <w:spacing w:after="0" w:line="311"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market any biological drug product in the United States until we receive a Biologics License from the FDA. Although we have received a Biologics License for DANYELZA for R/R high-risk NB in bone and/or bone marrow, we intend to discuss with the FDA submission of additional BLAs for approval of DANYELZA to treat additional indications that currently lack an FDA-approved treatment option.</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w:t>
      </w:r>
    </w:p>
    <w:p>
      <w:pPr>
        <w:spacing w:after="0" w:line="171"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We have some, but only limited, experience in completing a submission of a BLA to the FDA, or similar approval submissions to comparable foreign authorities. Our BLA for DANYELZA was approved, but we received a CRL for our BLA for omburtamab.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and the small size of our target patient populations, to create further challenges in obtaining regulatory approval from the FDA and other regulatory authorities. For example, for product candidates targeting ultra-rare diseases, such as CNS/LM from NB, where the very small patient population makes it difficult or impossible to conduct two traditional, adequate and well-controlled studies, the FDA or comparable foreign regulatory authorities may need to exercise flexibility in approving therapies for such diseases. Even flexibility from the FDA may not be sufficient to obtain approval. For instance, in its CRL for omburtamab, and in our Type A meeting held subsequent to receipt of the CRL, the FDA made recommendations for us to consider in terms of adequate and well-controlled trial design to demonstrate substantial evidence of effectiveness and a favorable benefit-risk profile.</w:t>
      </w:r>
    </w:p>
    <w:p>
      <w:pPr>
        <w:spacing w:after="0" w:line="18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on October 28, 2022, which voted 16 to 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our product candidates based on the completed clinical trials, such as was the case for omburtamab. Accordingly, the regulatory approval pathway for our product candidates may be uncertain, complex, expensive, and lengthy, and approval may not be obtained.</w:t>
      </w:r>
    </w:p>
    <w:p>
      <w:pPr>
        <w:spacing w:after="0" w:line="178"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or other regulatory authorities have substantial discretion and may determine that our product candidates are not safe and effective, only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moderately effective or have undesirable or unintended side effects, toxicities or other characteristics that preclude our obtaining marketing approval or prevent or limit commercial use.</w:t>
      </w:r>
    </w:p>
    <w:p>
      <w:pPr>
        <w:spacing w:after="0" w:line="170"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1040" w:right="339" w:hanging="315"/>
        <w:spacing w:after="0" w:line="34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pandemics or other public health emergencies;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the Russian invasion of Ukraine;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Patient enrollment is a significant factor in the timing of clinical trials and is affected by many factors. See the risk factor above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product candidates could fail to receive marketing approval for many reasons, including the following:</w:t>
      </w:r>
    </w:p>
    <w:p>
      <w:pPr>
        <w:spacing w:after="0" w:line="237" w:lineRule="exact"/>
        <w:rPr>
          <w:sz w:val="20"/>
          <w:szCs w:val="20"/>
          <w:color w:val="auto"/>
        </w:rPr>
      </w:pPr>
    </w:p>
    <w:p>
      <w:pPr>
        <w:ind w:left="1040" w:right="11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EMA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approval;</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83"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EMA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1040" w:right="179" w:hanging="315"/>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1040" w:right="499" w:hanging="315"/>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This lengthy approval process as well as the unpredictability of clinical trial results resulted in our failure to obtain marketing approval to market omburtamab. The same factors may also result in a failure for us to obtain marketing approval to market any of our other product candidates, which would further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 approval commitments that render the approved drug not commercially viable.</w:t>
      </w:r>
    </w:p>
    <w:p>
      <w:pPr>
        <w:spacing w:after="0" w:line="168"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b w:val="1"/>
          <w:bCs w:val="1"/>
          <w:i w:val="1"/>
          <w:iCs w:val="1"/>
          <w:color w:val="auto"/>
        </w:rPr>
        <w:t>The EMA or comparable foreign regulatory authorities, may disagree with our regulatory plans, including our plans to seek conditional marketing authorization, and we may fail to obtain regulatory approval of DANYELZA,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84"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On April 27, 2021 we submitted a MAA, to the EMA for omburtamab for the treatment of pediatric patients with CNS/LM from NB. In December 2022, the European Committee for Medicinal Products for Human Use, or CHMP, adopted a negative opinion recommending a refusal of the MAA. CHMP determined that it was not possible to conclude on the effectiveness of omburtamab as the main study did not have a randomized comparator. We are assessing the implications of the negative opinion and our plans for the omburtamab program.</w:t>
      </w:r>
    </w:p>
    <w:p>
      <w:pPr>
        <w:spacing w:after="0" w:line="17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1"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8"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4"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4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left="60" w:right="339" w:firstLine="648"/>
        <w:spacing w:after="0" w:line="279"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w:t>
      </w:r>
    </w:p>
    <w:p>
      <w:pPr>
        <w:spacing w:after="0" w:line="171" w:lineRule="exact"/>
        <w:rPr>
          <w:sz w:val="20"/>
          <w:szCs w:val="20"/>
          <w:color w:val="auto"/>
        </w:rPr>
      </w:pPr>
    </w:p>
    <w:p>
      <w:pPr>
        <w:ind w:left="60" w:right="959"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outside of the US would significantly harm our business, results of operations, and prospects.</w:t>
      </w:r>
    </w:p>
    <w:p>
      <w:pPr>
        <w:spacing w:after="0" w:line="17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1" w:lineRule="exact"/>
        <w:rPr>
          <w:sz w:val="20"/>
          <w:szCs w:val="20"/>
          <w:color w:val="auto"/>
        </w:rPr>
      </w:pPr>
    </w:p>
    <w:p>
      <w:pPr>
        <w:ind w:left="60" w:right="99" w:firstLine="648"/>
        <w:spacing w:after="0" w:line="249" w:lineRule="auto"/>
        <w:rPr>
          <w:sz w:val="20"/>
          <w:szCs w:val="20"/>
          <w:color w:val="auto"/>
        </w:rPr>
      </w:pPr>
      <w:r>
        <w:rPr>
          <w:rFonts w:ascii="Arial" w:cs="Arial" w:eastAsia="Arial" w:hAnsi="Arial"/>
          <w:sz w:val="17"/>
          <w:szCs w:val="17"/>
          <w:color w:val="auto"/>
        </w:rPr>
        <w:t xml:space="preserve">In June 2017, </w:t>
      </w:r>
      <w:r>
        <w:rPr>
          <w:rFonts w:ascii="Arial" w:cs="Arial" w:eastAsia="Arial" w:hAnsi="Arial"/>
          <w:sz w:val="25"/>
          <w:szCs w:val="25"/>
          <w:color w:val="auto"/>
          <w:vertAlign w:val="superscript"/>
        </w:rPr>
        <w:t>131</w:t>
      </w:r>
      <w:r>
        <w:rPr>
          <w:rFonts w:ascii="Arial" w:cs="Arial" w:eastAsia="Arial" w:hAnsi="Arial"/>
          <w:sz w:val="17"/>
          <w:szCs w:val="17"/>
          <w:color w:val="auto"/>
        </w:rPr>
        <w:t>I-omburtamab received BTD for the treatment of pediatric patients with R/R NB who have CNS/LM from NB. We may seek BTD for some or all of our other product candidates, but we may never receive another BTD, or, if received, such designation for a product candidate may not result in a faster development or regulatory review or approval process compared to drugs considered for approval under conventional FDA procedures. BTD does not change the standards for product approval nor assure ultimate approval by the FDA.</w:t>
      </w:r>
    </w:p>
    <w:p>
      <w:pPr>
        <w:spacing w:after="0" w:line="196" w:lineRule="exact"/>
        <w:rPr>
          <w:sz w:val="20"/>
          <w:szCs w:val="20"/>
          <w:color w:val="auto"/>
        </w:rPr>
      </w:pPr>
    </w:p>
    <w:p>
      <w:pPr>
        <w:ind w:left="60" w:right="299" w:firstLine="648"/>
        <w:spacing w:after="0" w:line="296"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spacing w:after="0" w:line="161"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product candidates may not be able to obtain or maintain Orphan Drug Designation, or ODD, or Rare Pediatric Disease Designation, or RPDD.</w:t>
      </w:r>
    </w:p>
    <w:p>
      <w:pPr>
        <w:spacing w:after="0" w:line="170"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November 2018, the European Commission granted orphan medicinal product designation, or OMPD, for naxitamab for the treatment of NB. In February 2017,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40" w:lineRule="auto"/>
        <w:rPr>
          <w:sz w:val="20"/>
          <w:szCs w:val="20"/>
          <w:color w:val="auto"/>
        </w:rPr>
      </w:pPr>
      <w:r>
        <w:rPr>
          <w:rFonts w:ascii="Arial" w:cs="Arial" w:eastAsia="Arial" w:hAnsi="Arial"/>
          <w:sz w:val="16"/>
          <w:szCs w:val="16"/>
          <w:color w:val="auto"/>
        </w:rPr>
        <w:t xml:space="preserve">European Commission granted OMPD to omburtamab for the treatment of NB. In August 2016, the FDA granted ODD to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the treatment of NB. In 2013, the FDA granted ODD to DANYELZA for the treatment of NB.</w:t>
      </w:r>
    </w:p>
    <w:p>
      <w:pPr>
        <w:spacing w:after="0" w:line="13"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9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 drug that receives RPDD before September 30, 2024, will continue to be eligible for a PRV if the drug is approved by the FDA before September 30, 2026. If development of omburtamab continues and the BLA for omburtamab is not approved prior to September 30, 2026, regardless of whether it meets the criteria for a rare pediatric disease PRV, it will not be eligible for a PRV.</w:t>
      </w:r>
    </w:p>
    <w:p>
      <w:pPr>
        <w:spacing w:after="0" w:line="187"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candidate,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4"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7"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 up. As of March 31, 2023 we have enrolled 92 patients and we anticipate completing the study no later than by March 31, 2027. Other post-marketing requirements associated with the approval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6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6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1"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49"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DANYELZA and any of our product candidates for which we, or our potential future collaborators, obtain marketing approval in the future, will be subject to continual review by the FDA and other regulatory authorities.</w:t>
      </w:r>
    </w:p>
    <w:p>
      <w:pPr>
        <w:spacing w:after="0" w:line="12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4"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4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7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84"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New laws may result in additional reductions in Medicare and other healthcare funding and otherwise affect the prices we may obtain for any of our product candidates for which we may obtain regulatory approval or the frequency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2"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6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8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spacing w:after="0" w:line="184"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w:t>
      </w:r>
    </w:p>
    <w:p>
      <w:pPr>
        <w:spacing w:after="0" w:line="3" w:lineRule="exact"/>
        <w:rPr>
          <w:sz w:val="20"/>
          <w:szCs w:val="20"/>
          <w:color w:val="auto"/>
        </w:rPr>
      </w:pPr>
    </w:p>
    <w:p>
      <w:pPr>
        <w:ind w:left="60" w:right="99" w:hanging="10"/>
        <w:spacing w:after="0" w:line="268" w:lineRule="auto"/>
        <w:tabs>
          <w:tab w:leader="none" w:pos="3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although they may be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In some international markets, the government controls the pricing, which can affect the profitability of drugs.</w:t>
      </w:r>
    </w:p>
    <w:p>
      <w:pPr>
        <w:spacing w:after="0" w:line="179"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77" w:lineRule="exact"/>
        <w:rPr>
          <w:sz w:val="20"/>
          <w:szCs w:val="20"/>
          <w:color w:val="auto"/>
        </w:rPr>
      </w:pPr>
    </w:p>
    <w:p>
      <w:pPr>
        <w:ind w:left="1040" w:right="79" w:hanging="315"/>
        <w:spacing w:after="0" w:line="279"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259"/>
        <w:spacing w:after="0" w:line="263" w:lineRule="auto"/>
        <w:rPr>
          <w:sz w:val="20"/>
          <w:szCs w:val="20"/>
          <w:color w:val="auto"/>
        </w:rPr>
      </w:pPr>
      <w:r>
        <w:rPr>
          <w:rFonts w:ascii="Arial" w:cs="Arial" w:eastAsia="Arial" w:hAnsi="Arial"/>
          <w:sz w:val="18"/>
          <w:szCs w:val="18"/>
          <w:color w:val="auto"/>
        </w:rPr>
        <w:t>made under federal and state healthcare programs, such as Medicare and Medicaid. A person or entity does not need to have actual knowledge of the statute or specific intent to violate it in order to have committed a violation;</w:t>
      </w:r>
    </w:p>
    <w:p>
      <w:pPr>
        <w:spacing w:after="0" w:line="184" w:lineRule="exact"/>
        <w:rPr>
          <w:sz w:val="20"/>
          <w:szCs w:val="20"/>
          <w:color w:val="auto"/>
        </w:rPr>
      </w:pPr>
    </w:p>
    <w:p>
      <w:pPr>
        <w:ind w:left="1040" w:right="79" w:hanging="315"/>
        <w:spacing w:after="0" w:line="255"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92" w:lineRule="exact"/>
        <w:rPr>
          <w:rFonts w:ascii="Arial" w:cs="Arial" w:eastAsia="Arial" w:hAnsi="Arial"/>
          <w:sz w:val="18"/>
          <w:szCs w:val="18"/>
          <w:color w:val="auto"/>
        </w:rPr>
      </w:pPr>
    </w:p>
    <w:p>
      <w:pPr>
        <w:ind w:left="1040" w:right="119" w:hanging="315"/>
        <w:spacing w:after="0" w:line="273"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7" w:lineRule="exact"/>
        <w:rPr>
          <w:rFonts w:ascii="Arial" w:cs="Arial" w:eastAsia="Arial" w:hAnsi="Arial"/>
          <w:sz w:val="17"/>
          <w:szCs w:val="17"/>
          <w:color w:val="auto"/>
        </w:rPr>
      </w:pPr>
    </w:p>
    <w:p>
      <w:pPr>
        <w:ind w:left="1040" w:right="79" w:hanging="315"/>
        <w:spacing w:after="0" w:line="291"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HIPAA Privacy Provisions—as amended by HITECH and its implementing regulations, HIPAA also imposes obligations on certain covered entity healthcare providers, health plans, and healthcare clearinghouse as well as their business associates and subcontractors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66" w:lineRule="exact"/>
        <w:rPr>
          <w:rFonts w:ascii="Arial" w:cs="Arial" w:eastAsia="Arial" w:hAnsi="Arial"/>
          <w:sz w:val="16"/>
          <w:szCs w:val="16"/>
          <w:color w:val="auto"/>
        </w:rPr>
      </w:pPr>
    </w:p>
    <w:p>
      <w:pPr>
        <w:ind w:left="1040" w:right="199" w:hanging="315"/>
        <w:spacing w:after="0" w:line="289"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(defined to include doctors, dentists, optometrists, podiatrists, and chiropractors), other healthcare providers (such as physician assistants and nurse practitioners), and teaching hospitals, as well as ownership and investment interests held by physicians and their immediate family members;</w:t>
      </w:r>
    </w:p>
    <w:p>
      <w:pPr>
        <w:spacing w:after="0" w:line="166"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FDCA—the FDCA, which prohibits, among other things, the adulteration or misbranding of drugs, biologics and medical devices; and</w:t>
      </w:r>
    </w:p>
    <w:p>
      <w:pPr>
        <w:spacing w:after="0" w:line="170" w:lineRule="exact"/>
        <w:rPr>
          <w:rFonts w:ascii="Arial" w:cs="Arial" w:eastAsia="Arial" w:hAnsi="Arial"/>
          <w:sz w:val="18"/>
          <w:szCs w:val="18"/>
          <w:color w:val="auto"/>
        </w:rPr>
      </w:pPr>
    </w:p>
    <w:p>
      <w:pPr>
        <w:ind w:left="1040" w:right="139" w:hanging="315"/>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w:t>
      </w:r>
    </w:p>
    <w:p>
      <w:pPr>
        <w:spacing w:after="0" w:line="187" w:lineRule="exact"/>
        <w:rPr>
          <w:sz w:val="20"/>
          <w:szCs w:val="20"/>
          <w:color w:val="auto"/>
        </w:rPr>
      </w:pPr>
    </w:p>
    <w:p>
      <w:pPr>
        <w:jc w:val="both"/>
        <w:ind w:left="60" w:right="279" w:firstLine="648"/>
        <w:spacing w:after="0" w:line="301"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our operations are found to be in violation of any of these laws or any other governmental regulations that may apply to us, we may be subject to significant civil, criminal and administrative penalties, damages, fines, disgorgement,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68" w:lineRule="exact"/>
        <w:rPr>
          <w:sz w:val="20"/>
          <w:szCs w:val="20"/>
          <w:color w:val="auto"/>
        </w:rPr>
      </w:pPr>
    </w:p>
    <w:p>
      <w:pPr>
        <w:ind w:left="60" w:right="99"/>
        <w:spacing w:after="0" w:line="327" w:lineRule="auto"/>
        <w:rPr>
          <w:sz w:val="20"/>
          <w:szCs w:val="20"/>
          <w:color w:val="auto"/>
        </w:rPr>
      </w:pPr>
      <w:r>
        <w:rPr>
          <w:rFonts w:ascii="Arial" w:cs="Arial" w:eastAsia="Arial" w:hAnsi="Arial"/>
          <w:sz w:val="15"/>
          <w:szCs w:val="15"/>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40"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In the ordinary course of business, we and our collaborators and third-party providers may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our clinical trials.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laws and regulations, including federal health information privacy laws, state data breach notification laws, state health information privacy laws and federal and state consumer protection laws (e.g., Section 5 of the Federal Trade Commission Act), govern the collection, use, disclosure and protection of health-related and other personal data and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or HITECH, which imposes specific requirements relating to the privacy, security, and transmission of individually identifiable health information. Depending on the facts and circumstances, we could be subject to significant penalties if we violate HIPAA.</w:t>
      </w:r>
    </w:p>
    <w:p>
      <w:pPr>
        <w:spacing w:after="0" w:line="180"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States are also constantly amending existing laws, requiring attention to frequently changing regulatory requirements. For example, the California Consumer Privacy Act of 2018, as amended by the California Privacy Rights Act of 2020, collectively the CCPA, imposes obligations on covered businesses. These obligations include, without limitation, providing specific disclosures in privacy notices and affording California residents certain rights related to their personal data. The CCPA allows for statutory fines for noncompliance (up to $7,500 per violation) and a private right of action for certain data breaches. Although the CCPA exempts some data processed in the context of clinical trials, the CCPA may increase compliance costs and potential liability with respect to other personal data we may maintain about California residents. In addition, in 2020 the CCPA expanded to add a new right for individuals to correct their personal data and establish a new regulatory agency to implement and enforce the law. Other states have also enacted data privacy laws, including Virginia, Colorado, Utah, and Connecticut, all of which differ from the CPRA and become effective in 2023. While these states, like the CCPA, also exempt some data processed in the context of clinical trials, these developments further complicate compliance efforts, and increase legal risk and compliance costs for us and the third parties upon whom we rely.</w:t>
      </w:r>
    </w:p>
    <w:p>
      <w:pPr>
        <w:spacing w:after="0" w:line="186"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Outside the United States, an increasing number of laws, regulations, and industry standards may govern data privacy and security. For example, the European Union’s General Data Protection Regulation, or EU GDPR, the United Kingdom’s GDPR, or UK GDPR, Brazil’s General Data Protection Law (Lei Geral de Proteção de Dados Pessoais, or LGPD) (Law No. 13,709/2018), and China’s Personal Information Protection Law, or PIPL, impose strict requirements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for processing personal data. In particular,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 obligations from the EU and UK GDPR, together referred to as GDPR, may include limiting personal data processing to only what is necessary for specified, explicit, and legitimate purposes; requiring a legal basis for personal data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definitive bans on data processing and other corrective actions; fines of up to 20 million Euros (17.5 million British Pounds under the UK GDPR) or 4% of annual global revenue, whichever is greater; or private litigation related to processing of personal data brought by classes of data subjects or consumer protection organizations authorized at law to represent their interests.</w:t>
      </w:r>
    </w:p>
    <w:p>
      <w:pPr>
        <w:spacing w:after="0" w:line="167"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UK have significantly restricted the transfer of personal data to the United States and other countries whose data privacy and security laws they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GDPR’s cross-border data transfer limitations. In addition to data privacy and security laws,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39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92"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We may at times fail (or be perceived to have failed) in our efforts to comply with our data privacy and security obligations. Moreover, despite our efforts, our personnel or third parties on whom we rely may fail to comply with such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spacing w:after="0" w:line="192"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61" w:lineRule="exact"/>
        <w:rPr>
          <w:sz w:val="20"/>
          <w:szCs w:val="20"/>
          <w:color w:val="auto"/>
        </w:rPr>
      </w:pPr>
    </w:p>
    <w:p>
      <w:pPr>
        <w:ind w:left="60" w:right="119" w:firstLine="45"/>
        <w:spacing w:after="0" w:line="327"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4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In the ordinary course of our business, we and the third parties upon which we process proprietary, confidential, and sensitive data, including personal data (such as health-related data), intellectual property and trade secrets (collectively, sensitive information).</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including our current and future CROs, CMOs, other contractors and consultants.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82"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 particular, severe ransomware attacks are becoming increasingly prevalent – particularly for companies like ours in the medical field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68"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84"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color w:val="auto"/>
        </w:rPr>
        <w:t>during due diligence of such acquired or integrated entities, and it may be difficult to integrate companies into our information technology environment and security program.</w:t>
      </w:r>
    </w:p>
    <w:p>
      <w:pPr>
        <w:spacing w:after="0" w:line="17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rely on third-party service providers and technologies to operate critical business systems to process sensitive information in a variety of contexts, including, without limitation, communication systems,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78"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In addition, supply-chain attacks have increased in frequency and severity, and we cannot guarantee that third parties’ infrastructure in our supply chain or our third-party partners’ supply chains have not been compromised.</w:t>
      </w:r>
    </w:p>
    <w:p>
      <w:pPr>
        <w:spacing w:after="0" w:line="124"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including our research partners or collaborators. We may expend significant resources or modify our business activities (including our clinical trial activities or product development) to try to protect against security incidents.</w:t>
      </w:r>
    </w:p>
    <w:p>
      <w:pPr>
        <w:spacing w:after="0" w:line="161"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Certain data privacy and security obligations may require us to implement and maintain specific security measures or industry-standard or reasonable security measures to protect our information technology systems and sensitive information.</w:t>
      </w:r>
    </w:p>
    <w:p>
      <w:pPr>
        <w:spacing w:after="0" w:line="184"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64"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If we, or a third-party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disclosure of confidential or proprietary information, further development and commercialization of our product candidates could be delayed.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0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9"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third-party providers have established coverage policies and provided reimbursement for DANYELZA, there is no guarantee that third-party providers will establish coverage policies or provided reimbursement for any of our other product candidates, if approved. The reimbursement payment rates for DANYELZA or any other product we commercialize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Third-party payors are increasingly challenging the prices charged, examining the medical necessity, and reviewing the cost-effectiveness of medical products and services, and imposing controls to manage costs. Our rebate payments may increase, or our prices may be adjusted under value-based purchasing arrangements based on evidence-based measures or outcomes-based measures for a patient or beneficiary based on use of DANYELZA or any other product we commercialize.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 Further, coverage policies and third-party payor reimbursement rates may change at any time. Even if favorable coverage and reimbursement status is attained for one or more products for which we receive regulatory approval, less favorable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9" w:lineRule="auto"/>
        <w:rPr>
          <w:sz w:val="20"/>
          <w:szCs w:val="20"/>
          <w:color w:val="auto"/>
        </w:rPr>
      </w:pPr>
      <w:r>
        <w:rPr>
          <w:rFonts w:ascii="Arial" w:cs="Arial" w:eastAsia="Arial" w:hAnsi="Arial"/>
          <w:sz w:val="17"/>
          <w:szCs w:val="17"/>
          <w:color w:val="auto"/>
        </w:rPr>
        <w:t>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71"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To date DANYELZA has been approved for sale in the United States, Israel, and China only, but we intend to seek approval to market our products in both the United States as well as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81"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0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82"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87" w:lineRule="exact"/>
        <w:rPr>
          <w:sz w:val="20"/>
          <w:szCs w:val="20"/>
          <w:color w:val="auto"/>
        </w:rPr>
      </w:pPr>
    </w:p>
    <w:p>
      <w:pPr>
        <w:jc w:val="both"/>
        <w:ind w:left="60" w:right="359"/>
        <w:spacing w:after="0" w:line="263" w:lineRule="auto"/>
        <w:rPr>
          <w:sz w:val="20"/>
          <w:szCs w:val="20"/>
          <w:color w:val="auto"/>
        </w:rPr>
      </w:pPr>
      <w:r>
        <w:rPr>
          <w:rFonts w:ascii="Arial" w:cs="Arial" w:eastAsia="Arial" w:hAnsi="Arial"/>
          <w:sz w:val="18"/>
          <w:szCs w:val="18"/>
          <w:b w:val="1"/>
          <w:bCs w:val="1"/>
          <w:i w:val="1"/>
          <w:iCs w:val="1"/>
          <w:color w:val="auto"/>
        </w:rPr>
        <w:t>Due to the nature of radioactive isotopes in radioimmunotherapy product candidates, the product shelf life is limited and susceptible to spoilage and/or loss, which could adversely affect our business, financial condition and operating results.</w:t>
      </w:r>
    </w:p>
    <w:p>
      <w:pPr>
        <w:spacing w:after="0" w:line="184"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Our radioimmunotherapy product candidates have a very limited shelf life once radiolabeled with radioactive elements. For commercial manufacture and supply these product candidates require reliable transportation and radiolabeling production facilities located in close proximity to our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handling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8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5"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9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7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developing, manufacturing, or selling certain drugs and product candidates outside of the United States, which could limit our growth potential and increase our development costs.</w:t>
      </w:r>
    </w:p>
    <w:p>
      <w:pPr>
        <w:spacing w:after="0" w:line="170"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6"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6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4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9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88"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7" w:lineRule="exact"/>
        <w:rPr>
          <w:sz w:val="20"/>
          <w:szCs w:val="20"/>
          <w:color w:val="auto"/>
        </w:rPr>
      </w:pPr>
    </w:p>
    <w:p>
      <w:pPr>
        <w:jc w:val="both"/>
        <w:ind w:left="60" w:right="199" w:firstLine="648"/>
        <w:spacing w:after="0" w:line="285"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7"/>
          <w:szCs w:val="17"/>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61"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66" w:lineRule="exact"/>
        <w:rPr>
          <w:sz w:val="20"/>
          <w:szCs w:val="20"/>
          <w:color w:val="auto"/>
        </w:rPr>
      </w:pPr>
    </w:p>
    <w:p>
      <w:pPr>
        <w:ind w:left="60" w:right="199"/>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2"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6"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40" w:right="19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products or product candidates but that are not covered by the claims of our patents;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83"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 to any in-licensed patents and patent applications funded by U.S. government grants, leading to the loss of patent rights;</w:t>
      </w:r>
    </w:p>
    <w:p>
      <w:pPr>
        <w:spacing w:after="0" w:line="183"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products or product candidates and proprietary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obtain patent term extensions or supplementary protection certificates covering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1040" w:right="379" w:hanging="315"/>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jc w:val="both"/>
        <w:ind w:left="1040" w:right="679" w:hanging="315"/>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123" w:lineRule="exact"/>
        <w:rPr>
          <w:rFonts w:ascii="Arial" w:cs="Arial" w:eastAsia="Arial" w:hAnsi="Arial"/>
          <w:sz w:val="16"/>
          <w:szCs w:val="16"/>
          <w:color w:val="auto"/>
        </w:rPr>
      </w:pPr>
    </w:p>
    <w:p>
      <w:pPr>
        <w:ind w:left="1040" w:right="25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3" w:lineRule="exact"/>
        <w:rPr>
          <w:rFonts w:ascii="Arial" w:cs="Arial" w:eastAsia="Arial" w:hAnsi="Arial"/>
          <w:sz w:val="18"/>
          <w:szCs w:val="18"/>
          <w:color w:val="auto"/>
        </w:rPr>
      </w:pPr>
    </w:p>
    <w:p>
      <w:pPr>
        <w:ind w:left="1040" w:right="359" w:hanging="315"/>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third-party;</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1040" w:right="63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products, product candidates or diagnostic tests we develop may be covered by third parties’ patents or other proprietary rights; or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third-party, we may be liable for damages, enhanced damages or subjected to an injunction, any of which could have a material adverse effect on our business.</w:t>
      </w:r>
    </w:p>
    <w:p>
      <w:pPr>
        <w:spacing w:after="0" w:line="187"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2024 through 2041,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2031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third-party from using the inventions claimed in our owned or in-licensed patents, that third-party may ask the court to rule that the patents are invalid and/or should not be enforced against that third-party.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There is also a risk that, even if the validity of these patents is upheld, the court will refuse to stop the third-party on the ground that such third-party’s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1"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third-party of our owned or in-licensed patents, we or our licensors, as the case may be, may choose not to pursue litigation against or settlement with the third-party. If we, or our licensors, later sue such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third-party. If another party questions the patentability of any of our claims in our owned or in-licensed U.S. patents, the third-party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6"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Enforcing a claim that a third-party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4" w:lineRule="exact"/>
        <w:rPr>
          <w:sz w:val="20"/>
          <w:szCs w:val="20"/>
          <w:color w:val="auto"/>
        </w:rPr>
      </w:pPr>
    </w:p>
    <w:p>
      <w:pPr>
        <w:ind w:left="60" w:right="599"/>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1"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w:t>
      </w:r>
    </w:p>
    <w:p>
      <w:pPr>
        <w:ind w:left="60" w:right="159"/>
        <w:spacing w:after="0" w:line="290" w:lineRule="auto"/>
        <w:rPr>
          <w:sz w:val="20"/>
          <w:szCs w:val="20"/>
          <w:color w:val="auto"/>
        </w:rPr>
      </w:pPr>
      <w:r>
        <w:rPr>
          <w:rFonts w:ascii="Arial" w:cs="Arial" w:eastAsia="Arial" w:hAnsi="Arial"/>
          <w:sz w:val="17"/>
          <w:szCs w:val="17"/>
          <w:color w:val="auto"/>
        </w:rPr>
        <w:t>18 months after filing, and publications in the scientific literature often lag behind actual discoveries, we cannot be certain that others have not filed patent applications for technology related to our products or product candidates,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6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70" w:lineRule="exact"/>
        <w:rPr>
          <w:sz w:val="20"/>
          <w:szCs w:val="20"/>
          <w:color w:val="auto"/>
        </w:rPr>
      </w:pPr>
    </w:p>
    <w:p>
      <w:pPr>
        <w:ind w:left="1040" w:right="239" w:hanging="315"/>
        <w:spacing w:after="0" w:line="30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1040" w:right="99" w:hanging="315"/>
        <w:spacing w:after="0" w:line="311"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48" w:lineRule="exact"/>
        <w:rPr>
          <w:rFonts w:ascii="Arial" w:cs="Arial" w:eastAsia="Arial" w:hAnsi="Arial"/>
          <w:sz w:val="16"/>
          <w:szCs w:val="16"/>
          <w:color w:val="auto"/>
        </w:rPr>
      </w:pPr>
    </w:p>
    <w:p>
      <w:pPr>
        <w:ind w:left="1040" w:right="259" w:hanging="315"/>
        <w:spacing w:after="0" w:line="263"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third-party licenses its product rights to us, which it is not required to do;</w:t>
      </w:r>
    </w:p>
    <w:p>
      <w:pPr>
        <w:spacing w:after="0" w:line="183"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license is available from a third-party, it may not be offered on reasonable terms and may require that we pay substantial royalties, upfront fees and other amounts, and/or grant cross-licenses to intellectual property rights for our products; and</w:t>
      </w:r>
    </w:p>
    <w:p>
      <w:pPr>
        <w:spacing w:after="0" w:line="183"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redesigning our products or product candidates or processes so they do not infringe, which may not be possible or may require substantial monetary expenditures and time.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8" w:lineRule="exact"/>
        <w:rPr>
          <w:sz w:val="20"/>
          <w:szCs w:val="20"/>
          <w:color w:val="auto"/>
        </w:rPr>
      </w:pPr>
    </w:p>
    <w:p>
      <w:pPr>
        <w:ind w:left="60" w:right="319" w:firstLine="648"/>
        <w:spacing w:after="0" w:line="291" w:lineRule="auto"/>
        <w:rPr>
          <w:sz w:val="20"/>
          <w:szCs w:val="20"/>
          <w:color w:val="auto"/>
        </w:rPr>
      </w:pPr>
      <w:r>
        <w:rPr>
          <w:rFonts w:ascii="Arial" w:cs="Arial" w:eastAsia="Arial" w:hAnsi="Arial"/>
          <w:sz w:val="16"/>
          <w:szCs w:val="16"/>
          <w:color w:val="auto"/>
        </w:rPr>
        <w:t>We may choose to challenge the patentability of claims in a third-party’s U.S. patent by requesting that the USPTO review the patent claims in an ex-parte re-exam, inter partes review or post-grant review proceedings. These proceedings are expensive and may consume our time or other resources. We may choose to challenge a third-party’s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third-party alleging that the patent may be infringed by our product candidates or products or proprietary technologies.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7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6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7"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6"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long-term, if we are unable to establish name recognition based on our trademarks, trade names, service marks and domain names, then we may not be able to compete effectively, resulting in a material adverse effect on our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spacing w:after="0" w:line="184"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w:t>
      </w:r>
    </w:p>
    <w:p>
      <w:pPr>
        <w:spacing w:after="0" w:line="184"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On April 27, 2022, we announced certain management changes, including that our Chief Executive Officer had stepped down, effective immediately, and that our current Chairman, President and Head of Business Development &amp; Strategy had stepped down as Chairman and had assumed the role of Interim Chief Executive Officer. We cannot assure you that we will be able to identify, attract and hire a suitable replacement for our Chief Executive Officer in a timely fashion or that the loss of our Chief Executive Officer and certain additional management changes will not have an adverse impact on our business operations. The loss of the services of our Chief Executive Officer or other members of our executive management team and the failure to find appropriate replacements in a timely fashion could impede the achievement of our research, development and commercialization objectives.</w:t>
      </w:r>
    </w:p>
    <w:p>
      <w:pPr>
        <w:spacing w:after="0" w:line="17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Furthermore, the reduction in workforce that we announced in January 2023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and the risk that we may not achieve the benefits from the restructuring to the extent or as quickly as we anticipate, all of which may have a material adverse effect on our business, results of operations or financial condition. These restructuring initiatives could place substantial demands on our management and employees, which could lead to the diversion of our management’s and employees’ attention from other business priorities. In addition, we may discover that the workforce reduction and other restructuring efforts will make it difficult for us to pursue new opportunities and initiatives and require us to hire qualified replacement personnel, which may require us to incur additional and unanticipated costs and expenses.</w:t>
      </w:r>
    </w:p>
    <w:p>
      <w:pPr>
        <w:spacing w:after="0" w:line="18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remains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2"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6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b w:val="1"/>
          <w:bCs w:val="1"/>
          <w:i w:val="1"/>
          <w:iCs w:val="1"/>
          <w:color w:val="auto"/>
        </w:rPr>
        <w:t>We may need to increase the size of our organization in the future, and we may experience difficulties managing growth. If we are unable to manage the anticipated growth of our business, our future revenue and operating results may be adversely affected.</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may need to expand the size of our organization in the future. The growth we may experience in the future may provide challenges to our organization, requiring us to also rapidly expand other aspects of our business, including our manufacturing operations. Rapid expansion in personnel may result in less experienced people producing and selling our products, which could result in unanticipated costs and disruptions to our operations. If we cannot scale and manage our business appropriately, our potential growth may be impaired and our financial results will suffer.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As of April 13, 2023, our executive officers, directors and our stockholders, which own more than 5% of our outstanding common stock beneficially own shares representing approximately 21.5% of our common stock. As a result, if these stockholders were to choose to act together, they would be able to exert significant influence over all 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1040" w:right="259" w:hanging="315"/>
        <w:spacing w:after="0" w:line="311"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48"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7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ability to utilize our net operating loss carry forwards and certain other tax attributes depends on many factors, including our future income, which cannot be assured, and the impact of any tax reform legislation or proposals. Under current law, U.S. federal net operating loss carryforwards generated in tax years beginning before January 1, 2018 may be carried forward for 20 tax years. U.S. federal net operating loss carryforwards generated in tax years beginning after December 31, 2017 may be carried forward indefinitely, but the deductibility of such net operating loss carryforwards is limited to 80% of taxable income. It is uncertain if and to what extent various states will conform to U.S. federal income tax law.</w:t>
      </w:r>
    </w:p>
    <w:p>
      <w:pPr>
        <w:spacing w:after="0" w:line="195" w:lineRule="exact"/>
        <w:rPr>
          <w:sz w:val="20"/>
          <w:szCs w:val="20"/>
          <w:color w:val="auto"/>
        </w:rPr>
      </w:pPr>
    </w:p>
    <w:p>
      <w:pPr>
        <w:ind w:left="60" w:right="99" w:firstLine="648"/>
        <w:spacing w:after="0" w:line="284" w:lineRule="auto"/>
        <w:rPr>
          <w:sz w:val="20"/>
          <w:szCs w:val="20"/>
          <w:color w:val="auto"/>
        </w:rPr>
      </w:pPr>
      <w:r>
        <w:rPr>
          <w:rFonts w:ascii="Arial" w:cs="Arial" w:eastAsia="Arial" w:hAnsi="Arial"/>
          <w:sz w:val="16"/>
          <w:szCs w:val="16"/>
          <w:color w:val="auto"/>
        </w:rPr>
        <w:t>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three-year period), an annual limitation is imposed on the corporation’s use of its pre change net operating loss carryforwards and certain other pre change tax attributes to offset its post change taxable income or taxes. Based on our analysis of our Section 382 ownership changes through December 31, 2022, we believe that it is more likely than not that none of our net operating loss carryforwards will expire because of existing limitations under Section 382 of the Code, due to the large size of such limitations. We may experience Section</w:t>
      </w:r>
    </w:p>
    <w:p>
      <w:pPr>
        <w:spacing w:after="0" w:line="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382 ownership changes in the future as a result of subsequent shifts in our equity ownership, many of which are outside our control. State net operating loss carryforwards may be similarly limited, and there may be periods during which the use of such net operating loss carryforwards is suspended or otherwise limited, which could accelerate or permanently increase our state taxes owed.</w:t>
      </w:r>
    </w:p>
    <w:p>
      <w:pPr>
        <w:spacing w:after="0" w:line="193"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Changes in tax laws or regulations that are applied adversely to us or our customers may have a material adverse effect on our business, cash flow, financial condition, or results of operations.</w:t>
      </w:r>
    </w:p>
    <w:p>
      <w:pPr>
        <w:spacing w:after="0" w:line="170"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New income, sales and use, or other tax laws or regulations could be enacted at any time, and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interpreted or applied differently also could increase our compliance, operating, and other costs, as well as the costs of our products. Recent legislation in the United States, commonly referred to as the Inflation Reduction Act, enacts a 15% minimum tax on the adjusted financial statement income of certain large U.S. corporations for tax years beginning after December 31, 2022, as well as a 1% excise tax on stock repurchases made by public corporations after December 31, 2022. Further, the Tax Cuts and Jobs Act of 2017, 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the Tax Act, enacted many significant changes to U.S. tax laws, some of which were further modified by the Coronavirus Aid, Relief, and Economic Security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72"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Because we do not anticipate paying any cash dividends on our capital stock for the foreseeable future, capital appreciation, if any, of our common stock will be the source of gain associated with investment in our common stock.</w:t>
      </w:r>
    </w:p>
    <w:p>
      <w:pPr>
        <w:spacing w:after="0" w:line="100"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spacing w:after="0" w:line="17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 43,677,767 shares of common stock outstanding as of May 1, 2023. Of these shares of our common stock, 6,900,000 shares sold in our initial public offering in 2018, 5,134,750 shares sold in our public offering in 2019 and 2,804,878 shares sold in our public offering in February 2021 are freely tradable, without restriction, in the public market. As of May 1, 2023 holders of approximately 2,005,347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14,278,990 shares of our common stock that we may issue under our equity compensation plans and we plan to increase that number further.</w:t>
      </w:r>
    </w:p>
    <w:p>
      <w:pPr>
        <w:spacing w:after="0" w:line="16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7"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185" w:lineRule="exact"/>
        <w:rPr>
          <w:sz w:val="20"/>
          <w:szCs w:val="20"/>
          <w:color w:val="auto"/>
        </w:rPr>
      </w:pPr>
    </w:p>
    <w:p>
      <w:pPr>
        <w:jc w:val="both"/>
        <w:ind w:left="60" w:right="319"/>
        <w:spacing w:after="0" w:line="286" w:lineRule="auto"/>
        <w:rPr>
          <w:sz w:val="20"/>
          <w:szCs w:val="20"/>
          <w:color w:val="auto"/>
        </w:rPr>
      </w:pPr>
      <w:r>
        <w:rPr>
          <w:rFonts w:ascii="Arial" w:cs="Arial" w:eastAsia="Arial" w:hAnsi="Arial"/>
          <w:sz w:val="17"/>
          <w:szCs w:val="17"/>
          <w:b w:val="1"/>
          <w:bCs w:val="1"/>
          <w:i w:val="1"/>
          <w:iCs w:val="1"/>
          <w:color w:val="auto"/>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6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$2.70 per share and as high as $55.22 per share through May 1, 2023.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1040" w:right="5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and investor sentiment in the pharmaceutical and biotechnology sectors;</w:t>
      </w:r>
    </w:p>
    <w:p>
      <w:pPr>
        <w:spacing w:after="0" w:line="225"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an increased rate of inflation, increased cost of goods, supply chain disruptions and uncertain global financial markets, and geopolitical events, such as the conflict between Ukraine and Russia and related sanctions;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price of their common stock. For example, following volatility in the price of our common stock following the ODAC meeting in October, the CRL in November 2022 and our January 2023 announcement of our restructuring plan, one of our stockholders filed suit in the Delaware Chancery Court for alleged breaches of fiduciary duties, unjust enrichment, and waste of corporate assets. Litigation could result in substantial costs and divert our management’s attention and resources, which could have a material and adverse effect on our financial condition, business, and the per share trading price of our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301" w:lineRule="auto"/>
        <w:rPr>
          <w:sz w:val="20"/>
          <w:szCs w:val="20"/>
          <w:color w:val="auto"/>
        </w:rPr>
      </w:pPr>
      <w:r>
        <w:rPr>
          <w:rFonts w:ascii="Arial" w:cs="Arial" w:eastAsia="Arial" w:hAnsi="Arial"/>
          <w:sz w:val="16"/>
          <w:szCs w:val="16"/>
          <w:b w:val="1"/>
          <w:bCs w:val="1"/>
          <w:i w:val="1"/>
          <w:iCs w:val="1"/>
          <w:color w:val="auto"/>
        </w:rPr>
        <w:t>We, our interim Chief Executive Officer and board member Mr. Thomas Gad, our former Chief Executive Officer, Dr. Claus Juan Møller San Pedro and our Chief Medical Officer Dr. Vignesh Rajah, have been named as defendants in a lawsuit that could result in substantial costs and divert management’s attention, and we have also been named in other lawsuits. Any of these lawsuits could result in substantial costs and divert management’s attention.</w:t>
      </w:r>
    </w:p>
    <w:p>
      <w:pPr>
        <w:spacing w:after="0" w:line="15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As described elsewhere in this report in “Part II, Item 1—Legal Proceedings,” we and our interim Chief Executive Officer and board member Mr. Thomas Gad, our former Chief Executive Officer Dr. Claus Juan Møller San Pedro and our Chief Medical Officer Dr. Vignesh Rajah, have been named as defendants in a class action lawsuit that alleges that we and the individuals named in the lawsuit violated Sections 10(b) and/or 20(a) of the Exchange Act and Rule 10b-5 promulgated thereunder. Further, as also described elsewhere in this report in “Part II, Item 1—Legal Proceedings,” on February 8, 2023, Jeffrey Hazelton, a purported Y-mAbs stockholder, filed a putative stockholder derivative action against us. These complaints seek, among other things, unspecified damages, and reasonable costs and expenses, including attorneys’ fees.</w:t>
      </w:r>
    </w:p>
    <w:p>
      <w:pPr>
        <w:spacing w:after="0" w:line="16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b w:val="1"/>
          <w:bCs w:val="1"/>
          <w:i w:val="1"/>
          <w:iCs w:val="1"/>
          <w:color w:val="auto"/>
        </w:rPr>
        <w:t>Our business, financial condition and results of operations have been and may in the future be adversely affected by pandemics or similar health crises, macroeconomic conditions and by geopolitical events, including the global conflict resulting from the invasion of Ukraine by Russia, and sanctions related thereto, which resulted in the suspension of our clinical trial and regulatory activities in Russia.</w:t>
      </w:r>
    </w:p>
    <w:p>
      <w:pPr>
        <w:spacing w:after="0" w:line="17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as well as from international conflicts, terrorism or other geopolitical events, such as the Russian invasion of Ukraine, and related sanctions and other economic disruptions or concerns.</w:t>
      </w:r>
    </w:p>
    <w:p>
      <w:pPr>
        <w:spacing w:after="0" w:line="188"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Sanctions imposed by the United States and other countries in response to such conflicts, may also adversely impact the financial markets and the global 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While it is difficult to anticipate the ultimate impact of any of the foregoing on our company in particular, the conflict and actions taken in response to the conflict has caused us to terminate our clinical trials and suspend our regulatory activities to obtain marketing authorization for DANYELZA in Russia although we may still provide drug to be used on a compassionate use basis. Additional actions that we or others may take in</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response to the conflict could increase our costs, disrupt our supply chain, impair our ability to raise or access additional capital when needed on acceptable terms, if at all, or otherwise adversely affect our business, financial condition, and results of operations. For additional detail regarding this conflict, see the risk factor above “—</w:t>
      </w:r>
      <w:r>
        <w:rPr>
          <w:rFonts w:ascii="Arial" w:cs="Arial" w:eastAsia="Arial" w:hAnsi="Arial"/>
          <w:sz w:val="17"/>
          <w:szCs w:val="17"/>
          <w:i w:val="1"/>
          <w:iCs w:val="1"/>
          <w:color w:val="auto"/>
        </w:rPr>
        <w:t>Russia’s invasion of Ukraine</w:t>
      </w:r>
      <w:r>
        <w:rPr>
          <w:rFonts w:ascii="Arial" w:cs="Arial" w:eastAsia="Arial" w:hAnsi="Arial"/>
          <w:sz w:val="17"/>
          <w:szCs w:val="17"/>
          <w:color w:val="auto"/>
        </w:rPr>
        <w:t xml:space="preserve"> </w:t>
      </w:r>
      <w:r>
        <w:rPr>
          <w:rFonts w:ascii="Arial" w:cs="Arial" w:eastAsia="Arial" w:hAnsi="Arial"/>
          <w:sz w:val="17"/>
          <w:szCs w:val="17"/>
          <w:i w:val="1"/>
          <w:iCs w:val="1"/>
          <w:color w:val="auto"/>
        </w:rPr>
        <w:t>and ancillary developments may have an adverse effect on our business.</w:t>
      </w:r>
      <w:r>
        <w:rPr>
          <w:rFonts w:ascii="Arial" w:cs="Arial" w:eastAsia="Arial" w:hAnsi="Arial"/>
          <w:sz w:val="17"/>
          <w:szCs w:val="17"/>
          <w:color w:val="auto"/>
        </w:rPr>
        <w:t>”</w:t>
      </w:r>
    </w:p>
    <w:p>
      <w:pPr>
        <w:spacing w:after="0" w:line="171"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There can be no assurance that further deterioration in credit and financial markets, global banking stability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79" w:lineRule="exact"/>
        <w:rPr>
          <w:sz w:val="20"/>
          <w:szCs w:val="20"/>
          <w:color w:val="auto"/>
        </w:rPr>
      </w:pPr>
    </w:p>
    <w:p>
      <w:pPr>
        <w:jc w:val="both"/>
        <w:ind w:left="60" w:right="779" w:firstLine="45"/>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spacing w:after="0" w:line="184"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may evaluate various acquisitions, partnerships or other strategic transaction,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146" w:lineRule="exact"/>
        <w:rPr>
          <w:rFonts w:ascii="Arial" w:cs="Arial" w:eastAsia="Arial" w:hAnsi="Arial"/>
          <w:sz w:val="17"/>
          <w:szCs w:val="17"/>
          <w:color w:val="auto"/>
        </w:rPr>
      </w:pPr>
    </w:p>
    <w:p>
      <w:pPr>
        <w:ind w:left="1040" w:right="199" w:hanging="315"/>
        <w:spacing w:after="0" w:line="342" w:lineRule="auto"/>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expect our operating results to fluctuate in future periods, which may adversely affect our stock price.</w:t>
      </w:r>
    </w:p>
    <w:p>
      <w:pPr>
        <w:spacing w:after="0" w:line="237"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188"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70"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have obtained and plan to continue to seek regulatory approval of our product candidates outside of the United States. We also have existing commercialization collaborations in certain territories outside the United States such as with SciClone, Takeda Israel, Swixx Biopharma AG, Adium, and WEP Clinical Ltd. Takeda Israel obtained regulatory approval for DANYELZA in Israel in August 2022 and we obtained regulatory approval for DANYELZA in China in December 2022. Accordingly, we and our existing and potential collaborators in jurisdictions outside the US, are subject to additional risks related to operating in foreign countries, including:</w:t>
      </w:r>
    </w:p>
    <w:p>
      <w:pPr>
        <w:spacing w:after="0" w:line="178" w:lineRule="exact"/>
        <w:rPr>
          <w:sz w:val="20"/>
          <w:szCs w:val="20"/>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foreign taxes, including local transfer pricing regulations and withholding of payroll taxes;</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liability under the FCPA, or OFAC, Anti-Money Laundering Program as required by the Bank Secrecy Act and its implementing regulations, or comparable foreign laws;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These and other risks associated with our current and planned international operations may materially adversely affect our ability to attain or maintain profitable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Our operations, and those of our third-party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cyber security attacks and other natural or man-made disasters or business interruptions, for which we are predominantly self-insured, and other severe hazards or global health crises, such as an outbreak of Ebola or COVID-19,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DANYELZA, and our other product candidates. Our ability to obtain clinical supplies of our product candidates could be disrupted if the operations of these suppliers are affected by a man 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181"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EMA and other similar foreign regulatory bodies; provide true, complete and accurate information to the FDA, the EMA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left="60" w:right="219" w:firstLine="648"/>
        <w:spacing w:after="0" w:line="285"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7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84"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As a public company and large accelerated filer for the year ended December 31, 2021, we were required to provide management’s attestation on internal controls pursuant to Section 404 of the Sarbanes-Oxley Act, and our independent registered public accounting firm was required to attest to the effectiveness of our internal control over financial reporting pursuant to Section 404 of the Sarbanes-Oxley Act. However, as of the last business day of our second fiscal quarter of 2022, we determined that we requalify as a smaller reporting company and as a non-accelerated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filer for the year ended December 31, 2022. We were therefore no longer required to include an attestation report on internal control over financial reporting issued by our independent registered public accounting firm in our Annual Report on Form 10-K for the fiscal year ended December 31, 2022.</w:t>
      </w:r>
    </w:p>
    <w:p>
      <w:pPr>
        <w:spacing w:after="0" w:line="18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Our inability to operate controls effectively could cause material weaknesses in our internal control over financial reporting in the future, could have a material adverse impact on our company and financial statements and we may not be able to accurately or timely report our financial condition or results of operations, which may adversely affect investor confidence in us and, as a result, the value of our common stock. In addition, we may be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financial statements, investor confidence in us and, as a result, the value of our common stock.</w:t>
      </w:r>
    </w:p>
    <w:p>
      <w:pPr>
        <w:spacing w:after="0" w:line="192"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7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70" w:lineRule="exact"/>
        <w:rPr>
          <w:sz w:val="20"/>
          <w:szCs w:val="20"/>
          <w:color w:val="auto"/>
        </w:rPr>
      </w:pPr>
    </w:p>
    <w:p>
      <w:pPr>
        <w:ind w:left="60" w:right="259" w:firstLine="648"/>
        <w:spacing w:after="0" w:line="272" w:lineRule="auto"/>
        <w:rPr>
          <w:sz w:val="20"/>
          <w:szCs w:val="20"/>
          <w:color w:val="auto"/>
        </w:rPr>
      </w:pPr>
      <w:r>
        <w:rPr>
          <w:rFonts w:ascii="Arial" w:cs="Arial" w:eastAsia="Arial" w:hAnsi="Arial"/>
          <w:sz w:val="17"/>
          <w:szCs w:val="17"/>
          <w:color w:val="auto"/>
        </w:rPr>
        <w:t>As a public company, we continue to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may be adversely affected by global climate change or by legal, regulatory or market responses to such change.</w:t>
      </w:r>
    </w:p>
    <w:p>
      <w:pPr>
        <w:spacing w:after="0" w:line="248"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 chain and production continuity, which may impact our ability to achieve our business objectives. Changes in environmental and climate change laws or regulations could lead to additional operational restrictions and compliance requirements upon us or our third-party providers or otherwise could negatively impact our business. Changes in market dynamics, stakeholder expectations, local, national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Exhibit Index is incorporated herein by reference.</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7920" w:type="dxa"/>
            <w:vAlign w:val="bottom"/>
            <w:tcBorders>
              <w:bottom w:val="single" w:sz="8" w:color="0000EE"/>
            </w:tcBorders>
            <w:gridSpan w:val="16"/>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Amended and Restated Certificate of Incorporation of the Registrant (incorporated by reference to Exhibit 3.1</w:t>
              </w:r>
            </w:hyperlink>
          </w:p>
        </w:tc>
      </w:tr>
      <w:tr>
        <w:trPr>
          <w:trHeight w:val="196"/>
        </w:trPr>
        <w:tc>
          <w:tcPr>
            <w:tcW w:w="94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to the Registrant’s Current Report on Form 8-K (File No. 001-38650) filed with the Securities and Exchange</w:t>
              </w:r>
            </w:hyperlink>
          </w:p>
        </w:tc>
      </w:tr>
      <w:tr>
        <w:trPr>
          <w:trHeight w:val="196"/>
        </w:trPr>
        <w:tc>
          <w:tcPr>
            <w:tcW w:w="940" w:type="dxa"/>
            <w:vAlign w:val="bottom"/>
          </w:tcPr>
          <w:p>
            <w:pPr>
              <w:spacing w:after="0"/>
              <w:rPr>
                <w:sz w:val="17"/>
                <w:szCs w:val="17"/>
                <w:color w:val="auto"/>
              </w:rPr>
            </w:pPr>
          </w:p>
        </w:tc>
        <w:tc>
          <w:tcPr>
            <w:tcW w:w="7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Commission on September 26, 2018)</w:t>
              </w:r>
            </w:hyperlink>
          </w:p>
        </w:tc>
        <w:tc>
          <w:tcPr>
            <w:tcW w:w="10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7840" w:type="dxa"/>
            <w:vAlign w:val="bottom"/>
            <w:tcBorders>
              <w:bottom w:val="single" w:sz="8" w:color="0000EE"/>
            </w:tcBorders>
            <w:gridSpan w:val="15"/>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Amended and Restated Bylaws of the Registrant (incorporated by reference to Exhibit 3.4 to the Registrant’s</w:t>
              </w:r>
            </w:hyperlink>
          </w:p>
        </w:tc>
        <w:tc>
          <w:tcPr>
            <w:tcW w:w="8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Current Report on Form 8-K (File No. 001-38650) filed with the Securities and Exchange Commission on</w:t>
              </w:r>
            </w:hyperlink>
          </w:p>
        </w:tc>
      </w:tr>
      <w:tr>
        <w:trPr>
          <w:trHeight w:val="196"/>
        </w:trPr>
        <w:tc>
          <w:tcPr>
            <w:tcW w:w="940" w:type="dxa"/>
            <w:vAlign w:val="bottom"/>
          </w:tcPr>
          <w:p>
            <w:pPr>
              <w:spacing w:after="0"/>
              <w:rPr>
                <w:sz w:val="17"/>
                <w:szCs w:val="17"/>
                <w:color w:val="auto"/>
              </w:rPr>
            </w:pPr>
          </w:p>
        </w:tc>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September 26, 2018)</w:t>
              </w:r>
            </w:hyperlink>
          </w:p>
        </w:tc>
        <w:tc>
          <w:tcPr>
            <w:tcW w:w="28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10.1</w:t>
            </w:r>
            <w:r>
              <w:rPr>
                <w:rFonts w:ascii="Arial" w:cs="Arial" w:eastAsia="Arial" w:hAnsi="Arial"/>
                <w:sz w:val="16"/>
                <w:szCs w:val="16"/>
                <w:color w:val="auto"/>
              </w:rPr>
              <w:t>†</w:t>
            </w:r>
          </w:p>
        </w:tc>
        <w:tc>
          <w:tcPr>
            <w:tcW w:w="7920" w:type="dxa"/>
            <w:vAlign w:val="bottom"/>
            <w:gridSpan w:val="16"/>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Non-Employee Director Compensation Policy, adopted on January 17, 2023 (incorporated by reference to</w:t>
              </w:r>
            </w:hyperlink>
          </w:p>
        </w:tc>
      </w:tr>
      <w:tr>
        <w:trPr>
          <w:trHeight w:val="196"/>
        </w:trPr>
        <w:tc>
          <w:tcPr>
            <w:tcW w:w="94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exhibit 10.41 to the Registrant’s Form 10-K (File No. 001-38650) filed with the Securities and Exchange</w:t>
              </w:r>
            </w:hyperlink>
          </w:p>
        </w:tc>
        <w:tc>
          <w:tcPr>
            <w:tcW w:w="60" w:type="dxa"/>
            <w:vAlign w:val="bottom"/>
            <w:tcBorders>
              <w:top w:val="single" w:sz="8" w:color="0000EE"/>
            </w:tcBorders>
            <w:gridSpan w:val="2"/>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920" w:type="dxa"/>
            <w:vAlign w:val="bottom"/>
            <w:gridSpan w:val="16"/>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Commission on March 30, 2023)</w:t>
              </w:r>
            </w:hyperlink>
          </w:p>
        </w:tc>
      </w:tr>
      <w:tr>
        <w:trPr>
          <w:trHeight w:val="20"/>
        </w:trPr>
        <w:tc>
          <w:tcPr>
            <w:tcW w:w="9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7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Certification of Principal Executive Officer pursuant to Rule 13a-14(a) or Rule 15d-14(a) of the Securities</w:t>
            </w:r>
          </w:p>
        </w:tc>
        <w:tc>
          <w:tcPr>
            <w:tcW w:w="260" w:type="dxa"/>
            <w:vAlign w:val="bottom"/>
            <w:gridSpan w:val="3"/>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67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1140" w:type="dxa"/>
            <w:vAlign w:val="bottom"/>
            <w:gridSpan w:val="10"/>
          </w:tcPr>
          <w:p>
            <w:pPr>
              <w:spacing w:after="0"/>
              <w:rPr>
                <w:sz w:val="17"/>
                <w:szCs w:val="17"/>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31.2*</w:t>
            </w:r>
          </w:p>
        </w:tc>
        <w:tc>
          <w:tcPr>
            <w:tcW w:w="7920" w:type="dxa"/>
            <w:vAlign w:val="bottom"/>
            <w:gridSpan w:val="16"/>
          </w:tcPr>
          <w:p>
            <w:pPr>
              <w:spacing w:after="0"/>
              <w:rPr>
                <w:sz w:val="20"/>
                <w:szCs w:val="20"/>
                <w:color w:val="auto"/>
              </w:rPr>
            </w:pPr>
            <w:r>
              <w:rPr>
                <w:rFonts w:ascii="Arial" w:cs="Arial" w:eastAsia="Arial" w:hAnsi="Arial"/>
                <w:sz w:val="18"/>
                <w:szCs w:val="18"/>
                <w:color w:val="0000EE"/>
                <w:w w:val="95"/>
              </w:rPr>
              <w:t>Certification of Principal Financial Officer pursuant to Rule 13a-14(a) or Rule 15d-14(a) of the Securities</w:t>
            </w:r>
          </w:p>
        </w:tc>
      </w:tr>
      <w:tr>
        <w:trPr>
          <w:trHeight w:val="196"/>
        </w:trPr>
        <w:tc>
          <w:tcPr>
            <w:tcW w:w="9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Exchange Act of 1934, as adopted pursuant to Section 302 of the Sarbanes-Oxley Act of 2002</w:t>
            </w:r>
          </w:p>
        </w:tc>
        <w:tc>
          <w:tcPr>
            <w:tcW w:w="820" w:type="dxa"/>
            <w:vAlign w:val="bottom"/>
            <w:tcBorders>
              <w:top w:val="single" w:sz="8" w:color="0000EE"/>
            </w:tcBorders>
            <w:gridSpan w:val="4"/>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32.1+</w:t>
            </w:r>
          </w:p>
        </w:tc>
        <w:tc>
          <w:tcPr>
            <w:tcW w:w="7920" w:type="dxa"/>
            <w:vAlign w:val="bottom"/>
            <w:gridSpan w:val="16"/>
          </w:tcPr>
          <w:p>
            <w:pPr>
              <w:spacing w:after="0"/>
              <w:rPr>
                <w:sz w:val="20"/>
                <w:szCs w:val="20"/>
                <w:color w:val="auto"/>
              </w:rPr>
            </w:pPr>
            <w:r>
              <w:rPr>
                <w:rFonts w:ascii="Arial" w:cs="Arial" w:eastAsia="Arial" w:hAnsi="Arial"/>
                <w:sz w:val="18"/>
                <w:szCs w:val="18"/>
                <w:color w:val="0000EE"/>
                <w:w w:val="97"/>
              </w:rPr>
              <w:t>Certification of Principal Executive Officer pursuant to 18 U.S.C. Section 1350, as adopted pursuant to</w:t>
            </w:r>
          </w:p>
        </w:tc>
      </w:tr>
      <w:tr>
        <w:trPr>
          <w:trHeight w:val="196"/>
        </w:trPr>
        <w:tc>
          <w:tcPr>
            <w:tcW w:w="9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Section 906 of the Sarbanes-Oxley Act of 2002</w:t>
            </w:r>
          </w:p>
        </w:tc>
        <w:tc>
          <w:tcPr>
            <w:tcW w:w="3980" w:type="dxa"/>
            <w:vAlign w:val="bottom"/>
            <w:tcBorders>
              <w:top w:val="single" w:sz="8" w:color="0000EE"/>
            </w:tcBorders>
            <w:gridSpan w:val="3"/>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412"/>
        </w:trPr>
        <w:tc>
          <w:tcPr>
            <w:tcW w:w="94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73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Principal Financial Officer pursuant to 18 U.S.C. Section 1350, as adopted pursuant to</w:t>
            </w:r>
          </w:p>
        </w:tc>
        <w:tc>
          <w:tcPr>
            <w:tcW w:w="540" w:type="dxa"/>
            <w:vAlign w:val="bottom"/>
            <w:gridSpan w:val="9"/>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4500" w:type="dxa"/>
            <w:vAlign w:val="bottom"/>
            <w:gridSpan w:val="12"/>
          </w:tcPr>
          <w:p>
            <w:pPr>
              <w:spacing w:after="0"/>
              <w:rPr>
                <w:sz w:val="17"/>
                <w:szCs w:val="17"/>
                <w:color w:val="auto"/>
              </w:rPr>
            </w:pPr>
          </w:p>
        </w:tc>
      </w:tr>
      <w:tr>
        <w:trPr>
          <w:trHeight w:val="453"/>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9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000" w:right="119" w:hanging="944"/>
        <w:spacing w:after="0" w:line="277"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9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-304165</wp:posOffset>
            </wp:positionV>
            <wp:extent cx="14141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6" w:lineRule="exact"/>
        <w:rPr>
          <w:sz w:val="20"/>
          <w:szCs w:val="20"/>
          <w:color w:val="auto"/>
        </w:rPr>
      </w:pPr>
    </w:p>
    <w:p>
      <w:pPr>
        <w:ind w:left="300" w:hanging="250"/>
        <w:spacing w:after="0"/>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96" w:lineRule="exact"/>
        <w:rPr>
          <w:sz w:val="20"/>
          <w:szCs w:val="20"/>
          <w:color w:val="auto"/>
        </w:rPr>
      </w:pPr>
    </w:p>
    <w:p>
      <w:pPr>
        <w:ind w:left="300" w:hanging="250"/>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Founder, President, Interim Chief Executive</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w w:val="99"/>
              </w:rPr>
              <w:t>Officer and Head of Business Development and</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rPr>
              <w:t>Strategy</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2960" w:type="dxa"/>
            <w:vAlign w:val="bottom"/>
          </w:tcPr>
          <w:p>
            <w:pPr>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46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Gad certify that:</w:t>
      </w:r>
    </w:p>
    <w:p>
      <w:pPr>
        <w:spacing w:after="0" w:line="198" w:lineRule="exact"/>
        <w:rPr>
          <w:sz w:val="20"/>
          <w:szCs w:val="20"/>
          <w:color w:val="auto"/>
        </w:rPr>
      </w:pPr>
    </w:p>
    <w:p>
      <w:pPr>
        <w:ind w:left="700" w:hanging="32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11"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1440" w:right="119" w:hanging="377"/>
        <w:spacing w:after="0" w:line="259" w:lineRule="auto"/>
        <w:tabs>
          <w:tab w:leader="none" w:pos="1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440" w:right="99" w:hanging="377"/>
        <w:spacing w:after="0" w:line="259" w:lineRule="auto"/>
        <w:tabs>
          <w:tab w:leader="none" w:pos="1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440" w:right="79" w:hanging="377"/>
        <w:spacing w:after="0" w:line="263" w:lineRule="auto"/>
        <w:tabs>
          <w:tab w:leader="none" w:pos="1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440" w:right="359" w:hanging="377"/>
        <w:spacing w:after="0" w:line="279" w:lineRule="auto"/>
        <w:tabs>
          <w:tab w:leader="none" w:pos="14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7"/>
          <w:szCs w:val="17"/>
          <w:color w:val="auto"/>
        </w:rPr>
      </w:pPr>
    </w:p>
    <w:p>
      <w:pPr>
        <w:jc w:val="both"/>
        <w:ind w:left="700" w:right="339" w:hanging="326"/>
        <w:spacing w:after="0" w:line="263"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560" w:right="99" w:hanging="497"/>
        <w:spacing w:after="0" w:line="263" w:lineRule="auto"/>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560" w:right="679" w:hanging="497"/>
        <w:spacing w:after="0" w:line="277" w:lineRule="auto"/>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Title:  Title: Founder, President, Interim Chief Executive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w w:val="94"/>
              </w:rPr>
              <w:t>Officer and Head of Business Development and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Strategy</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63"/>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7" w:name="page118"/>
    <w:bookmarkEnd w:id="11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Bo Kruse, certify that:</w:t>
      </w:r>
    </w:p>
    <w:p>
      <w:pPr>
        <w:spacing w:after="0" w:line="225" w:lineRule="exact"/>
        <w:rPr>
          <w:sz w:val="20"/>
          <w:szCs w:val="20"/>
          <w:color w:val="auto"/>
        </w:rPr>
      </w:pPr>
    </w:p>
    <w:p>
      <w:pPr>
        <w:ind w:left="700" w:hanging="32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Y-mAbs Therapeutics, Inc.;</w:t>
      </w:r>
    </w:p>
    <w:p>
      <w:pPr>
        <w:spacing w:after="0" w:line="225"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379" w:hanging="326"/>
        <w:spacing w:after="0" w:line="311"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460" w:right="99" w:hanging="330"/>
        <w:spacing w:after="0" w:line="259"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60" w:right="79" w:hanging="330"/>
        <w:spacing w:after="0" w:line="259"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right="219" w:hanging="330"/>
        <w:spacing w:after="0" w:line="286" w:lineRule="auto"/>
        <w:tabs>
          <w:tab w:leader="none" w:pos="14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460" w:right="359" w:hanging="330"/>
        <w:spacing w:after="0" w:line="279" w:lineRule="auto"/>
        <w:tabs>
          <w:tab w:leader="none" w:pos="14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jc w:val="both"/>
        <w:ind w:left="700" w:right="339" w:hanging="326"/>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60" w:right="219" w:hanging="330"/>
        <w:spacing w:after="0" w:line="263"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right="799" w:hanging="330"/>
        <w:spacing w:after="0" w:line="277" w:lineRule="auto"/>
        <w:tabs>
          <w:tab w:leader="none" w:pos="14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8" w:name="page119"/>
    <w:bookmarkEnd w:id="11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219" w:hanging="377"/>
        <w:spacing w:after="0" w:line="263" w:lineRule="auto"/>
        <w:tabs>
          <w:tab w:leader="none" w:pos="1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2023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39" w:hanging="377"/>
        <w:spacing w:after="0" w:line="277" w:lineRule="auto"/>
        <w:tabs>
          <w:tab w:leader="none" w:pos="1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Thomas Gad</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Gad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Title:  Title: Founder, President, Interim Chief Executive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w w:val="94"/>
              </w:rPr>
              <w:t>Officer and Head of Business Development and</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Strategy</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19" w:name="page120"/>
    <w:bookmarkEnd w:id="11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0" w:lineRule="exact"/>
        <w:rPr>
          <w:sz w:val="20"/>
          <w:szCs w:val="20"/>
          <w:color w:val="auto"/>
        </w:rPr>
      </w:pPr>
    </w:p>
    <w:p>
      <w:pPr>
        <w:ind w:left="1440" w:right="219" w:hanging="377"/>
        <w:spacing w:after="0" w:line="263" w:lineRule="auto"/>
        <w:tabs>
          <w:tab w:leader="none" w:pos="1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fiscal quarter ended March 31, 2023 (the “Report”)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left="1440" w:right="239" w:hanging="377"/>
        <w:spacing w:after="0" w:line="277" w:lineRule="auto"/>
        <w:tabs>
          <w:tab w:leader="none" w:pos="1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Dated: May 8, 2023</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By:/s/ Bo Kruse</w:t>
            </w:r>
          </w:p>
        </w:tc>
      </w:tr>
      <w:tr>
        <w:trPr>
          <w:trHeight w:val="195"/>
        </w:trPr>
        <w:tc>
          <w:tcPr>
            <w:tcW w:w="2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Bo Kruse</w:t>
            </w:r>
          </w:p>
        </w:tc>
      </w:tr>
      <w:tr>
        <w:trPr>
          <w:trHeight w:val="216"/>
        </w:trPr>
        <w:tc>
          <w:tcPr>
            <w:tcW w:w="2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Title:  EVP, Chief Financial Officer</w:t>
            </w:r>
          </w:p>
        </w:tc>
      </w:tr>
      <w:tr>
        <w:trPr>
          <w:trHeight w:val="230"/>
        </w:trPr>
        <w:tc>
          <w:tcPr>
            <w:tcW w:w="2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color w:val="auto"/>
              </w:rPr>
              <w:t>(Principal Financial Officer)</w:t>
            </w:r>
          </w:p>
        </w:tc>
      </w:tr>
      <w:tr>
        <w:trPr>
          <w:trHeight w:val="776"/>
        </w:trPr>
        <w:tc>
          <w:tcPr>
            <w:tcW w:w="29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lowerRoman"/>
      <w:start w:val="2"/>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lvl w:ilvl="1">
      <w:lvlJc w:val="left"/>
      <w:lvlText w:val="%2"/>
      <w:numFmt w:val="decimal"/>
      <w:start w:val="104"/>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1" Type="http://schemas.openxmlformats.org/officeDocument/2006/relationships/hyperlink" Target="http://www.sec.gov/Archives/edgar/data/1722964/000110465918058483/a18-5676_14ex3d1.htm" TargetMode="External"/><Relationship Id="rId132" Type="http://schemas.openxmlformats.org/officeDocument/2006/relationships/hyperlink" Target="http://www.sec.gov/Archives/edgar/data/1722964/000104746918005786/a2236551zex-3_4.htm" TargetMode="External"/><Relationship Id="rId133" Type="http://schemas.openxmlformats.org/officeDocument/2006/relationships/hyperlink" Target="https://www.sec.gov/Archives/edgar/data/1722964/000155837023005073/ymab-20221231xex10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2023-05-08T15:18:53Z</dcterms:created>
  <dcterms:modified xsi:type="dcterms:W3CDTF">2023-05-08T15:18:53Z</dcterms:modified>
</cp:coreProperties>
</file>