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500380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CURRENT REPORT</w:t>
      </w:r>
    </w:p>
    <w:p>
      <w:pPr>
        <w:spacing w:after="0" w:line="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Pursuant to Section 13 or 15(d) of</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the Securities Exchange Act of 1934</w:t>
      </w:r>
    </w:p>
    <w:p>
      <w:pPr>
        <w:spacing w:after="0" w:line="1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September 11, 2024</w:t>
      </w:r>
    </w:p>
    <w:p>
      <w:pPr>
        <w:spacing w:after="0" w:line="2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Y-MABS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26670</wp:posOffset>
            </wp:positionV>
            <wp:extent cx="56578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8890"/>
                    </a:xfrm>
                    <a:prstGeom prst="rect">
                      <a:avLst/>
                    </a:prstGeom>
                    <a:noFill/>
                  </pic:spPr>
                </pic:pic>
              </a:graphicData>
            </a:graphic>
          </wp:anchor>
        </w:drawing>
      </w:r>
    </w:p>
    <w:p>
      <w:pPr>
        <w:spacing w:after="0" w:line="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198" w:lineRule="exact"/>
        <w:rPr>
          <w:sz w:val="24"/>
          <w:szCs w:val="24"/>
          <w:color w:val="auto"/>
        </w:rPr>
      </w:pPr>
    </w:p>
    <w:tbl>
      <w:tblPr>
        <w:tblLayout w:type="fixed"/>
        <w:tblInd w:w="420" w:type="dxa"/>
        <w:tblCellMar>
          <w:top w:w="0" w:type="dxa"/>
          <w:left w:w="0" w:type="dxa"/>
          <w:bottom w:w="0" w:type="dxa"/>
          <w:right w:w="0" w:type="dxa"/>
        </w:tblCellMar>
      </w:tblPr>
      <w:tr>
        <w:trPr>
          <w:trHeight w:val="203"/>
        </w:trPr>
        <w:tc>
          <w:tcPr>
            <w:tcW w:w="222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94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001-38650</w:t>
            </w:r>
          </w:p>
        </w:tc>
        <w:tc>
          <w:tcPr>
            <w:tcW w:w="1580" w:type="dxa"/>
            <w:vAlign w:val="bottom"/>
          </w:tcPr>
          <w:p>
            <w:pPr>
              <w:jc w:val="center"/>
              <w:ind w:left="239"/>
              <w:spacing w:after="0"/>
              <w:rPr>
                <w:sz w:val="20"/>
                <w:szCs w:val="20"/>
                <w:color w:val="auto"/>
              </w:rPr>
            </w:pPr>
            <w:r>
              <w:rPr>
                <w:rFonts w:ascii="Times New Roman" w:cs="Times New Roman" w:eastAsia="Times New Roman" w:hAnsi="Times New Roman"/>
                <w:sz w:val="16"/>
                <w:szCs w:val="16"/>
                <w:b w:val="1"/>
                <w:bCs w:val="1"/>
                <w:color w:val="auto"/>
              </w:rPr>
              <w:t>47-4619612</w:t>
            </w:r>
          </w:p>
        </w:tc>
      </w:tr>
      <w:tr>
        <w:trPr>
          <w:trHeight w:val="203"/>
        </w:trPr>
        <w:tc>
          <w:tcPr>
            <w:tcW w:w="222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(State or other jurisdiction of</w:t>
            </w:r>
          </w:p>
        </w:tc>
        <w:tc>
          <w:tcPr>
            <w:tcW w:w="394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(Commission</w:t>
            </w:r>
          </w:p>
        </w:tc>
        <w:tc>
          <w:tcPr>
            <w:tcW w:w="1580" w:type="dxa"/>
            <w:vAlign w:val="bottom"/>
          </w:tcPr>
          <w:p>
            <w:pPr>
              <w:jc w:val="center"/>
              <w:ind w:left="219"/>
              <w:spacing w:after="0"/>
              <w:rPr>
                <w:sz w:val="20"/>
                <w:szCs w:val="20"/>
                <w:color w:val="auto"/>
              </w:rPr>
            </w:pPr>
            <w:r>
              <w:rPr>
                <w:rFonts w:ascii="Times New Roman" w:cs="Times New Roman" w:eastAsia="Times New Roman" w:hAnsi="Times New Roman"/>
                <w:sz w:val="16"/>
                <w:szCs w:val="16"/>
                <w:b w:val="1"/>
                <w:bCs w:val="1"/>
                <w:color w:val="auto"/>
              </w:rPr>
              <w:t>(I.R.S. Employer</w:t>
            </w:r>
          </w:p>
        </w:tc>
      </w:tr>
      <w:tr>
        <w:trPr>
          <w:trHeight w:val="212"/>
        </w:trPr>
        <w:tc>
          <w:tcPr>
            <w:tcW w:w="222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incorporation or organization)</w:t>
            </w:r>
          </w:p>
        </w:tc>
        <w:tc>
          <w:tcPr>
            <w:tcW w:w="394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9"/>
              </w:rPr>
              <w:t>File Number)</w:t>
            </w:r>
          </w:p>
        </w:tc>
        <w:tc>
          <w:tcPr>
            <w:tcW w:w="1580" w:type="dxa"/>
            <w:vAlign w:val="bottom"/>
          </w:tcPr>
          <w:p>
            <w:pPr>
              <w:jc w:val="center"/>
              <w:ind w:left="219"/>
              <w:spacing w:after="0"/>
              <w:rPr>
                <w:sz w:val="20"/>
                <w:szCs w:val="20"/>
                <w:color w:val="auto"/>
              </w:rPr>
            </w:pPr>
            <w:r>
              <w:rPr>
                <w:rFonts w:ascii="Times New Roman" w:cs="Times New Roman" w:eastAsia="Times New Roman" w:hAnsi="Times New Roman"/>
                <w:sz w:val="16"/>
                <w:szCs w:val="16"/>
                <w:b w:val="1"/>
                <w:bCs w:val="1"/>
                <w:color w:val="auto"/>
              </w:rPr>
              <w:t>Identification No.)</w:t>
            </w:r>
          </w:p>
        </w:tc>
      </w:tr>
      <w:tr>
        <w:trPr>
          <w:trHeight w:val="409"/>
        </w:trPr>
        <w:tc>
          <w:tcPr>
            <w:tcW w:w="2220" w:type="dxa"/>
            <w:vAlign w:val="bottom"/>
          </w:tcPr>
          <w:p>
            <w:pPr>
              <w:spacing w:after="0"/>
              <w:rPr>
                <w:sz w:val="24"/>
                <w:szCs w:val="24"/>
                <w:color w:val="auto"/>
              </w:rPr>
            </w:pPr>
          </w:p>
        </w:tc>
        <w:tc>
          <w:tcPr>
            <w:tcW w:w="394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230 Park Avenue</w:t>
            </w:r>
          </w:p>
        </w:tc>
        <w:tc>
          <w:tcPr>
            <w:tcW w:w="1580" w:type="dxa"/>
            <w:vAlign w:val="bottom"/>
          </w:tcPr>
          <w:p>
            <w:pPr>
              <w:spacing w:after="0"/>
              <w:rPr>
                <w:sz w:val="24"/>
                <w:szCs w:val="24"/>
                <w:color w:val="auto"/>
              </w:rPr>
            </w:pPr>
          </w:p>
        </w:tc>
      </w:tr>
      <w:tr>
        <w:trPr>
          <w:trHeight w:val="203"/>
        </w:trPr>
        <w:tc>
          <w:tcPr>
            <w:tcW w:w="2220" w:type="dxa"/>
            <w:vAlign w:val="bottom"/>
          </w:tcPr>
          <w:p>
            <w:pPr>
              <w:spacing w:after="0"/>
              <w:rPr>
                <w:sz w:val="17"/>
                <w:szCs w:val="17"/>
                <w:color w:val="auto"/>
              </w:rPr>
            </w:pPr>
          </w:p>
        </w:tc>
        <w:tc>
          <w:tcPr>
            <w:tcW w:w="394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Suite 3350</w:t>
            </w:r>
          </w:p>
        </w:tc>
        <w:tc>
          <w:tcPr>
            <w:tcW w:w="1580" w:type="dxa"/>
            <w:vAlign w:val="bottom"/>
          </w:tcPr>
          <w:p>
            <w:pPr>
              <w:spacing w:after="0"/>
              <w:rPr>
                <w:sz w:val="17"/>
                <w:szCs w:val="17"/>
                <w:color w:val="auto"/>
              </w:rPr>
            </w:pPr>
          </w:p>
        </w:tc>
      </w:tr>
      <w:tr>
        <w:trPr>
          <w:trHeight w:val="203"/>
        </w:trPr>
        <w:tc>
          <w:tcPr>
            <w:tcW w:w="2220" w:type="dxa"/>
            <w:vAlign w:val="bottom"/>
          </w:tcPr>
          <w:p>
            <w:pPr>
              <w:spacing w:after="0"/>
              <w:rPr>
                <w:sz w:val="17"/>
                <w:szCs w:val="17"/>
                <w:color w:val="auto"/>
              </w:rPr>
            </w:pPr>
          </w:p>
        </w:tc>
        <w:tc>
          <w:tcPr>
            <w:tcW w:w="394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9"/>
              </w:rPr>
              <w:t>New York, New York 10169</w:t>
            </w:r>
          </w:p>
        </w:tc>
        <w:tc>
          <w:tcPr>
            <w:tcW w:w="1580" w:type="dxa"/>
            <w:vAlign w:val="bottom"/>
          </w:tcPr>
          <w:p>
            <w:pPr>
              <w:spacing w:after="0"/>
              <w:rPr>
                <w:sz w:val="17"/>
                <w:szCs w:val="17"/>
                <w:color w:val="auto"/>
              </w:rPr>
            </w:pPr>
          </w:p>
        </w:tc>
      </w:tr>
      <w:tr>
        <w:trPr>
          <w:trHeight w:val="212"/>
        </w:trPr>
        <w:tc>
          <w:tcPr>
            <w:tcW w:w="2220" w:type="dxa"/>
            <w:vAlign w:val="bottom"/>
          </w:tcPr>
          <w:p>
            <w:pPr>
              <w:spacing w:after="0"/>
              <w:rPr>
                <w:sz w:val="18"/>
                <w:szCs w:val="18"/>
                <w:color w:val="auto"/>
              </w:rPr>
            </w:pPr>
          </w:p>
        </w:tc>
        <w:tc>
          <w:tcPr>
            <w:tcW w:w="394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 (Zip Code)</w:t>
            </w:r>
          </w:p>
        </w:tc>
        <w:tc>
          <w:tcPr>
            <w:tcW w:w="1580" w:type="dxa"/>
            <w:vAlign w:val="bottom"/>
          </w:tcPr>
          <w:p>
            <w:pPr>
              <w:spacing w:after="0"/>
              <w:rPr>
                <w:sz w:val="18"/>
                <w:szCs w:val="18"/>
                <w:color w:val="auto"/>
              </w:rPr>
            </w:pPr>
          </w:p>
        </w:tc>
      </w:tr>
      <w:tr>
        <w:trPr>
          <w:trHeight w:val="395"/>
        </w:trPr>
        <w:tc>
          <w:tcPr>
            <w:tcW w:w="2220" w:type="dxa"/>
            <w:vAlign w:val="bottom"/>
          </w:tcPr>
          <w:p>
            <w:pPr>
              <w:spacing w:after="0"/>
              <w:rPr>
                <w:sz w:val="24"/>
                <w:szCs w:val="24"/>
                <w:color w:val="auto"/>
              </w:rPr>
            </w:pPr>
          </w:p>
        </w:tc>
        <w:tc>
          <w:tcPr>
            <w:tcW w:w="394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(646) 885-8505</w:t>
            </w:r>
          </w:p>
        </w:tc>
        <w:tc>
          <w:tcPr>
            <w:tcW w:w="1580" w:type="dxa"/>
            <w:vAlign w:val="bottom"/>
          </w:tcPr>
          <w:p>
            <w:pPr>
              <w:spacing w:after="0"/>
              <w:rPr>
                <w:sz w:val="24"/>
                <w:szCs w:val="24"/>
                <w:color w:val="auto"/>
              </w:rPr>
            </w:pPr>
          </w:p>
        </w:tc>
      </w:tr>
      <w:tr>
        <w:trPr>
          <w:trHeight w:val="212"/>
        </w:trPr>
        <w:tc>
          <w:tcPr>
            <w:tcW w:w="2220" w:type="dxa"/>
            <w:vAlign w:val="bottom"/>
          </w:tcPr>
          <w:p>
            <w:pPr>
              <w:spacing w:after="0"/>
              <w:rPr>
                <w:sz w:val="18"/>
                <w:szCs w:val="18"/>
                <w:color w:val="auto"/>
              </w:rPr>
            </w:pPr>
          </w:p>
        </w:tc>
        <w:tc>
          <w:tcPr>
            <w:tcW w:w="394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(Registrant’s telephone number, include area code)</w:t>
            </w:r>
          </w:p>
        </w:tc>
        <w:tc>
          <w:tcPr>
            <w:tcW w:w="1580" w:type="dxa"/>
            <w:vAlign w:val="bottom"/>
          </w:tcPr>
          <w:p>
            <w:pPr>
              <w:spacing w:after="0"/>
              <w:rPr>
                <w:sz w:val="18"/>
                <w:szCs w:val="18"/>
                <w:color w:val="auto"/>
              </w:rPr>
            </w:pPr>
          </w:p>
        </w:tc>
      </w:tr>
    </w:tbl>
    <w:p>
      <w:pPr>
        <w:spacing w:after="0" w:line="1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N/A</w:t>
      </w:r>
    </w:p>
    <w:p>
      <w:pPr>
        <w:spacing w:after="0" w:line="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(Former name or former address, if changed since last report)</w:t>
      </w:r>
    </w:p>
    <w:p>
      <w:pPr>
        <w:spacing w:after="0" w:line="227" w:lineRule="exact"/>
        <w:rPr>
          <w:sz w:val="24"/>
          <w:szCs w:val="24"/>
          <w:color w:val="auto"/>
        </w:rPr>
      </w:pPr>
    </w:p>
    <w:p>
      <w:pPr>
        <w:ind w:left="60" w:right="159"/>
        <w:spacing w:after="0" w:line="298" w:lineRule="auto"/>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164" w:lineRule="exact"/>
        <w:rPr>
          <w:sz w:val="24"/>
          <w:szCs w:val="24"/>
          <w:color w:val="auto"/>
        </w:rPr>
      </w:pPr>
    </w:p>
    <w:p>
      <w:pPr>
        <w:ind w:left="380" w:hanging="330"/>
        <w:spacing w:after="0"/>
        <w:tabs>
          <w:tab w:leader="none" w:pos="3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234" w:lineRule="exact"/>
        <w:rPr>
          <w:rFonts w:ascii="MS PGothic" w:cs="MS PGothic" w:eastAsia="MS PGothic" w:hAnsi="MS PGothic"/>
          <w:sz w:val="16"/>
          <w:szCs w:val="16"/>
          <w:color w:val="auto"/>
        </w:rPr>
      </w:pPr>
    </w:p>
    <w:p>
      <w:pPr>
        <w:ind w:left="380" w:hanging="330"/>
        <w:spacing w:after="0"/>
        <w:tabs>
          <w:tab w:leader="none" w:pos="3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234" w:lineRule="exact"/>
        <w:rPr>
          <w:rFonts w:ascii="MS PGothic" w:cs="MS PGothic" w:eastAsia="MS PGothic" w:hAnsi="MS PGothic"/>
          <w:sz w:val="16"/>
          <w:szCs w:val="16"/>
          <w:color w:val="auto"/>
        </w:rPr>
      </w:pPr>
    </w:p>
    <w:p>
      <w:pPr>
        <w:ind w:left="380" w:hanging="330"/>
        <w:spacing w:after="0"/>
        <w:tabs>
          <w:tab w:leader="none" w:pos="3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234" w:lineRule="exact"/>
        <w:rPr>
          <w:rFonts w:ascii="MS PGothic" w:cs="MS PGothic" w:eastAsia="MS PGothic" w:hAnsi="MS PGothic"/>
          <w:sz w:val="16"/>
          <w:szCs w:val="16"/>
          <w:color w:val="auto"/>
        </w:rPr>
      </w:pPr>
    </w:p>
    <w:p>
      <w:pPr>
        <w:ind w:left="60" w:right="1399" w:hanging="10"/>
        <w:spacing w:after="0" w:line="553" w:lineRule="auto"/>
        <w:tabs>
          <w:tab w:leader="none" w:pos="398"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40" w:type="dxa"/>
        <w:tblCellMar>
          <w:top w:w="0" w:type="dxa"/>
          <w:left w:w="0" w:type="dxa"/>
          <w:bottom w:w="0" w:type="dxa"/>
          <w:right w:w="0" w:type="dxa"/>
        </w:tblCellMar>
      </w:tblPr>
      <w:tr>
        <w:trPr>
          <w:trHeight w:val="203"/>
        </w:trPr>
        <w:tc>
          <w:tcPr>
            <w:tcW w:w="2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w:t>
            </w:r>
          </w:p>
        </w:tc>
      </w:tr>
      <w:tr>
        <w:trPr>
          <w:trHeight w:val="212"/>
        </w:trPr>
        <w:tc>
          <w:tcPr>
            <w:tcW w:w="304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9"/>
              </w:rPr>
              <w:t>Title of each class</w:t>
            </w:r>
          </w:p>
        </w:tc>
        <w:tc>
          <w:tcPr>
            <w:tcW w:w="30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2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registered</w:t>
            </w:r>
          </w:p>
        </w:tc>
      </w:tr>
      <w:tr>
        <w:trPr>
          <w:trHeight w:val="210"/>
        </w:trPr>
        <w:tc>
          <w:tcPr>
            <w:tcW w:w="2860" w:type="dxa"/>
            <w:vAlign w:val="bottom"/>
            <w:tcBorders>
              <w:top w:val="single" w:sz="8" w:color="auto"/>
            </w:tcBorders>
          </w:tcPr>
          <w:p>
            <w:pPr>
              <w:jc w:val="center"/>
              <w:ind w:left="59"/>
              <w:spacing w:after="0"/>
              <w:rPr>
                <w:sz w:val="20"/>
                <w:szCs w:val="20"/>
                <w:color w:val="auto"/>
              </w:rPr>
            </w:pPr>
            <w:r>
              <w:rPr>
                <w:rFonts w:ascii="Times New Roman" w:cs="Times New Roman" w:eastAsia="Times New Roman" w:hAnsi="Times New Roman"/>
                <w:sz w:val="16"/>
                <w:szCs w:val="16"/>
                <w:color w:val="auto"/>
              </w:rPr>
              <w:t>Common Stock, $0.0001 par value</w:t>
            </w:r>
          </w:p>
        </w:tc>
        <w:tc>
          <w:tcPr>
            <w:tcW w:w="180" w:type="dxa"/>
            <w:vAlign w:val="bottom"/>
          </w:tcPr>
          <w:p>
            <w:pPr>
              <w:spacing w:after="0"/>
              <w:rPr>
                <w:sz w:val="18"/>
                <w:szCs w:val="18"/>
                <w:color w:val="auto"/>
              </w:rPr>
            </w:pPr>
          </w:p>
        </w:tc>
        <w:tc>
          <w:tcPr>
            <w:tcW w:w="2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YMAB</w:t>
            </w:r>
          </w:p>
        </w:tc>
        <w:tc>
          <w:tcPr>
            <w:tcW w:w="180" w:type="dxa"/>
            <w:vAlign w:val="bottom"/>
          </w:tcPr>
          <w:p>
            <w:pPr>
              <w:spacing w:after="0"/>
              <w:rPr>
                <w:sz w:val="18"/>
                <w:szCs w:val="18"/>
                <w:color w:val="auto"/>
              </w:rPr>
            </w:pPr>
          </w:p>
        </w:tc>
        <w:tc>
          <w:tcPr>
            <w:tcW w:w="2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Nasdaq Global Select Market</w:t>
            </w:r>
          </w:p>
        </w:tc>
      </w:tr>
    </w:tbl>
    <w:p>
      <w:pPr>
        <w:spacing w:after="0" w:line="194" w:lineRule="exact"/>
        <w:rPr>
          <w:sz w:val="24"/>
          <w:szCs w:val="24"/>
          <w:color w:val="auto"/>
        </w:rPr>
      </w:pPr>
    </w:p>
    <w:p>
      <w:pPr>
        <w:ind w:left="60" w:right="459"/>
        <w:spacing w:after="0" w:line="298"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8" w:lineRule="exact"/>
        <w:rPr>
          <w:sz w:val="24"/>
          <w:szCs w:val="24"/>
          <w:color w:val="auto"/>
        </w:rPr>
      </w:pPr>
    </w:p>
    <w:p>
      <w:pPr>
        <w:ind w:left="60"/>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271" w:lineRule="exact"/>
        <w:rPr>
          <w:sz w:val="24"/>
          <w:szCs w:val="24"/>
          <w:color w:val="auto"/>
        </w:rPr>
      </w:pPr>
    </w:p>
    <w:p>
      <w:pPr>
        <w:ind w:left="60" w:right="659"/>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570230</wp:posOffset>
            </wp:positionV>
            <wp:extent cx="565785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260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21590</wp:posOffset>
            </wp:positionV>
            <wp:extent cx="56578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64770</wp:posOffset>
            </wp:positionV>
            <wp:extent cx="565785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817" w:right="1440" w:bottom="1440" w:gutter="0" w:footer="0" w:header="0"/>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On September 11, 2024, Y-mAbs Therapeutics, Inc. (the “Company”) entered into a lease agreement (the “Lease”) with Princeton 202 Associates Limited Partnership (the “Lessor”) for approximately 10,817 square feet located at 202 Carnegie Center, Princeton, New Jersey (the “Premises”). The Company intends to use the Premises as its corporate headquarters once it transfers to the Premises, which it expects to do in the first half of 2025. The term of the Lease will commence once the fitout of the Premises is complete and the Company takes possession of the space and will expire 10 years and nine months after such date. The Company has two options to extend the Lease, each for an additional five-year term. The Lease provides for approximately 5,040 square feet of office space in the same location as the Premises that is available for immediate occupancy and until the fitout of the Premises is complete. The aggregate estimated base rent payment due over the initial term of the Lease is approximately $3.9 million.</w:t>
      </w:r>
    </w:p>
    <w:p>
      <w:pPr>
        <w:spacing w:after="0" w:line="188" w:lineRule="exact"/>
        <w:rPr>
          <w:sz w:val="20"/>
          <w:szCs w:val="20"/>
          <w:color w:val="auto"/>
        </w:rPr>
      </w:pPr>
    </w:p>
    <w:p>
      <w:pPr>
        <w:ind w:left="60" w:right="99"/>
        <w:spacing w:after="0" w:line="266" w:lineRule="auto"/>
        <w:rPr>
          <w:sz w:val="20"/>
          <w:szCs w:val="20"/>
          <w:color w:val="auto"/>
        </w:rPr>
      </w:pPr>
      <w:r>
        <w:rPr>
          <w:rFonts w:ascii="Times New Roman" w:cs="Times New Roman" w:eastAsia="Times New Roman" w:hAnsi="Times New Roman"/>
          <w:sz w:val="18"/>
          <w:szCs w:val="18"/>
          <w:color w:val="auto"/>
        </w:rPr>
        <w:t>The Lease contains customary provisions requiring the Company to pay its pro rata share of operating expenses and certain taxes and fees related to the Premises and provisions allowing the Lessor to terminate the Lease upon the occurrence of certain customary Company events of default.</w:t>
      </w:r>
    </w:p>
    <w:p>
      <w:pPr>
        <w:spacing w:after="0" w:line="176"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Lease is qualified in its entirety by reference to the Lease, a copy of which will be filed as an exhibit to the Company’s Quarterly Report on Form 10-Q for the quarter ending September 30, 2024.</w:t>
      </w:r>
    </w:p>
    <w:p>
      <w:pPr>
        <w:spacing w:after="0" w:line="158" w:lineRule="exact"/>
        <w:rPr>
          <w:sz w:val="20"/>
          <w:szCs w:val="20"/>
          <w:color w:val="auto"/>
        </w:rPr>
      </w:pPr>
    </w:p>
    <w:p>
      <w:pPr>
        <w:ind w:left="60" w:right="139"/>
        <w:spacing w:after="0" w:line="286" w:lineRule="auto"/>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a Registrant.</w:t>
      </w:r>
    </w:p>
    <w:p>
      <w:pPr>
        <w:spacing w:after="0" w:line="159" w:lineRule="exact"/>
        <w:rPr>
          <w:sz w:val="20"/>
          <w:szCs w:val="20"/>
          <w:color w:val="auto"/>
        </w:rPr>
      </w:pPr>
    </w:p>
    <w:p>
      <w:pPr>
        <w:ind w:left="60" w:right="239"/>
        <w:spacing w:after="0" w:line="282" w:lineRule="auto"/>
        <w:rPr>
          <w:sz w:val="20"/>
          <w:szCs w:val="20"/>
          <w:color w:val="auto"/>
        </w:rPr>
      </w:pPr>
      <w:r>
        <w:rPr>
          <w:rFonts w:ascii="Times New Roman" w:cs="Times New Roman" w:eastAsia="Times New Roman" w:hAnsi="Times New Roman"/>
          <w:sz w:val="18"/>
          <w:szCs w:val="18"/>
          <w:color w:val="auto"/>
        </w:rPr>
        <w:t>The information set forth above in Item 1.01 of this Current Report on Form 8-K regarding the Lease is incorporated into this Item 2.03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765810</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319"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p>
        </w:tc>
        <w:tc>
          <w:tcPr>
            <w:tcW w:w="5840" w:type="dxa"/>
            <w:vAlign w:val="bottom"/>
            <w:gridSpan w:val="3"/>
          </w:tcPr>
          <w:p>
            <w:pPr>
              <w:ind w:left="1220"/>
              <w:spacing w:after="0"/>
              <w:rPr>
                <w:sz w:val="20"/>
                <w:szCs w:val="20"/>
                <w:color w:val="auto"/>
              </w:rPr>
            </w:pPr>
            <w:r>
              <w:rPr>
                <w:rFonts w:ascii="Times New Roman" w:cs="Times New Roman" w:eastAsia="Times New Roman" w:hAnsi="Times New Roman"/>
                <w:sz w:val="18"/>
                <w:szCs w:val="18"/>
                <w:color w:val="auto"/>
              </w:rPr>
              <w:t>Y-MABS THERAPEUTICS, INC.</w:t>
            </w:r>
          </w:p>
        </w:tc>
      </w:tr>
      <w:tr>
        <w:trPr>
          <w:trHeight w:val="432"/>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September 17, 2024</w:t>
            </w:r>
          </w:p>
        </w:tc>
        <w:tc>
          <w:tcPr>
            <w:tcW w:w="5840" w:type="dxa"/>
            <w:vAlign w:val="bottom"/>
            <w:gridSpan w:val="3"/>
          </w:tcPr>
          <w:p>
            <w:pPr>
              <w:ind w:left="1220"/>
              <w:spacing w:after="0"/>
              <w:rPr>
                <w:sz w:val="20"/>
                <w:szCs w:val="20"/>
                <w:color w:val="auto"/>
              </w:rPr>
            </w:pPr>
            <w:r>
              <w:rPr>
                <w:rFonts w:ascii="Times New Roman" w:cs="Times New Roman" w:eastAsia="Times New Roman" w:hAnsi="Times New Roman"/>
                <w:sz w:val="18"/>
                <w:szCs w:val="18"/>
                <w:color w:val="auto"/>
              </w:rPr>
              <w:t>By:  /s/ Peter Pfreundschuh</w:t>
            </w:r>
          </w:p>
        </w:tc>
      </w:tr>
      <w:tr>
        <w:trPr>
          <w:trHeight w:val="191"/>
        </w:trPr>
        <w:tc>
          <w:tcPr>
            <w:tcW w:w="30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42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Peter Pfreundschuh</w:t>
            </w:r>
          </w:p>
        </w:tc>
        <w:tc>
          <w:tcPr>
            <w:tcW w:w="20" w:type="dxa"/>
            <w:vAlign w:val="bottom"/>
          </w:tcPr>
          <w:p>
            <w:pPr>
              <w:spacing w:after="0"/>
              <w:rPr>
                <w:sz w:val="16"/>
                <w:szCs w:val="16"/>
                <w:color w:val="auto"/>
              </w:rPr>
            </w:pPr>
          </w:p>
        </w:tc>
      </w:tr>
      <w:tr>
        <w:trPr>
          <w:trHeight w:val="234"/>
        </w:trPr>
        <w:tc>
          <w:tcPr>
            <w:tcW w:w="30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1100"/>
        </w:trPr>
        <w:tc>
          <w:tcPr>
            <w:tcW w:w="30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2024-09-17T16:30:33Z</dcterms:created>
  <dcterms:modified xsi:type="dcterms:W3CDTF">2024-09-17T16:30:33Z</dcterms:modified>
</cp:coreProperties>
</file>