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December 28, 2020 (December 24, 2020)</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Delaware</w:t>
            </w: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001-38650</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(State or other jurisdiction of</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87"/>
              </w:rPr>
              <w:t>(Commission</w:t>
            </w:r>
          </w:p>
        </w:tc>
        <w:tc>
          <w:tcPr>
            <w:tcW w:w="1900" w:type="dxa"/>
            <w:vAlign w:val="bottom"/>
          </w:tcPr>
          <w:p>
            <w:pPr>
              <w:jc w:val="center"/>
              <w:ind w:left="39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incorporation or organization)</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94"/>
              </w:rPr>
              <w:t>File Number)</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New York, New York 10169</w:t>
            </w:r>
          </w:p>
        </w:tc>
        <w:tc>
          <w:tcPr>
            <w:tcW w:w="1900" w:type="dxa"/>
            <w:vAlign w:val="bottom"/>
          </w:tcPr>
          <w:p>
            <w:pPr>
              <w:spacing w:after="0"/>
              <w:rPr>
                <w:sz w:val="18"/>
                <w:szCs w:val="18"/>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00" w:type="dxa"/>
            <w:vAlign w:val="bottom"/>
          </w:tcPr>
          <w:p>
            <w:pPr>
              <w:spacing w:after="0"/>
              <w:rPr>
                <w:sz w:val="20"/>
                <w:szCs w:val="20"/>
                <w:color w:val="auto"/>
              </w:rPr>
            </w:pP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(646) 885-8505</w:t>
            </w:r>
          </w:p>
        </w:tc>
        <w:tc>
          <w:tcPr>
            <w:tcW w:w="1900" w:type="dxa"/>
            <w:vAlign w:val="bottom"/>
          </w:tcPr>
          <w:p>
            <w:pPr>
              <w:spacing w:after="0"/>
              <w:rPr>
                <w:sz w:val="24"/>
                <w:szCs w:val="24"/>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0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4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Title of each class:</w:t>
            </w:r>
          </w:p>
        </w:tc>
        <w:tc>
          <w:tcPr>
            <w:tcW w:w="25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Material Agreement</w:t>
      </w:r>
    </w:p>
    <w:p>
      <w:pPr>
        <w:spacing w:after="0" w:line="229" w:lineRule="exact"/>
        <w:rPr>
          <w:sz w:val="20"/>
          <w:szCs w:val="20"/>
          <w:color w:val="auto"/>
        </w:rPr>
      </w:pPr>
    </w:p>
    <w:p>
      <w:pPr>
        <w:jc w:val="both"/>
        <w:ind w:firstLine="441"/>
        <w:spacing w:after="0" w:line="259" w:lineRule="auto"/>
        <w:rPr>
          <w:sz w:val="20"/>
          <w:szCs w:val="20"/>
          <w:color w:val="auto"/>
        </w:rPr>
      </w:pPr>
      <w:r>
        <w:rPr>
          <w:rFonts w:ascii="Arial" w:cs="Arial" w:eastAsia="Arial" w:hAnsi="Arial"/>
          <w:sz w:val="18"/>
          <w:szCs w:val="18"/>
          <w:color w:val="auto"/>
        </w:rPr>
        <w:t>On December 24, 2020, Y-mAbs Therapeutics, Inc., (the “Company”) entered into a definitive agreement (the “Agreement”) to sell its Priority Review Voucher (“PRV”) to United Therapeutics Corporation (Nasdaq: UTHR), based on an agreed valuation of $105 million. The transaction remains subject to customary closing conditions, including anti-trust review. A copy of the Company’s press release announcing the Agreement is attached hereto as Exhibit 99.1.</w:t>
      </w:r>
    </w:p>
    <w:p>
      <w:pPr>
        <w:spacing w:after="0" w:line="187" w:lineRule="exact"/>
        <w:rPr>
          <w:sz w:val="20"/>
          <w:szCs w:val="20"/>
          <w:color w:val="auto"/>
        </w:rPr>
      </w:pPr>
    </w:p>
    <w:p>
      <w:pPr>
        <w:jc w:val="both"/>
        <w:ind w:firstLine="441"/>
        <w:spacing w:after="0" w:line="259" w:lineRule="auto"/>
        <w:rPr>
          <w:sz w:val="20"/>
          <w:szCs w:val="20"/>
          <w:color w:val="auto"/>
        </w:rPr>
      </w:pPr>
      <w:r>
        <w:rPr>
          <w:rFonts w:ascii="Arial" w:cs="Arial" w:eastAsia="Arial" w:hAnsi="Arial"/>
          <w:sz w:val="18"/>
          <w:szCs w:val="18"/>
          <w:color w:val="auto"/>
        </w:rPr>
        <w:t>The information furnished pursuant to Item 1.01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7" w:lineRule="exact"/>
        <w:rPr>
          <w:sz w:val="20"/>
          <w:szCs w:val="20"/>
          <w:color w:val="auto"/>
        </w:rPr>
      </w:pPr>
    </w:p>
    <w:p>
      <w:pPr>
        <w:jc w:val="both"/>
        <w:ind w:firstLine="441"/>
        <w:spacing w:after="0" w:line="263" w:lineRule="auto"/>
        <w:rPr>
          <w:sz w:val="20"/>
          <w:szCs w:val="20"/>
          <w:color w:val="auto"/>
        </w:rPr>
      </w:pPr>
      <w:r>
        <w:rPr>
          <w:rFonts w:ascii="Arial" w:cs="Arial" w:eastAsia="Arial" w:hAnsi="Arial"/>
          <w:sz w:val="18"/>
          <w:szCs w:val="18"/>
          <w:color w:val="auto"/>
        </w:rPr>
        <w:t>The foregoing summary of the Agreement is qualified in its entirety by the full text of the Agreement, a copy of which will be filed as an exhibit, with certain portions subject to confidential treatment, to the Company's Annual Report on Form 10-K for the year ended December 31, 2020, and incorporated 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880" w:type="dxa"/>
            <w:vAlign w:val="bottom"/>
          </w:tcPr>
          <w:p>
            <w:pPr>
              <w:spacing w:after="0"/>
              <w:rPr>
                <w:sz w:val="20"/>
                <w:szCs w:val="20"/>
                <w:color w:val="auto"/>
              </w:rPr>
            </w:pPr>
            <w:r>
              <w:rPr>
                <w:rFonts w:ascii="Arial" w:cs="Arial" w:eastAsia="Arial" w:hAnsi="Arial"/>
                <w:sz w:val="18"/>
                <w:szCs w:val="18"/>
                <w:color w:val="auto"/>
              </w:rPr>
              <w:t>(d) Exhibits</w:t>
            </w:r>
          </w:p>
        </w:tc>
      </w:tr>
      <w:tr>
        <w:trPr>
          <w:trHeight w:val="439"/>
        </w:trPr>
        <w:tc>
          <w:tcPr>
            <w:tcW w:w="1360" w:type="dxa"/>
            <w:vAlign w:val="bottom"/>
            <w:gridSpan w:val="2"/>
          </w:tcPr>
          <w:p>
            <w:pPr>
              <w:spacing w:after="0"/>
              <w:rPr>
                <w:sz w:val="20"/>
                <w:szCs w:val="20"/>
                <w:color w:val="auto"/>
              </w:rPr>
            </w:pPr>
            <w:r>
              <w:rPr>
                <w:rFonts w:ascii="Arial" w:cs="Arial" w:eastAsia="Arial" w:hAnsi="Arial"/>
                <w:sz w:val="18"/>
                <w:szCs w:val="18"/>
                <w:b w:val="1"/>
                <w:bCs w:val="1"/>
                <w:color w:val="auto"/>
              </w:rPr>
              <w:t>Exhibit No.</w:t>
            </w:r>
          </w:p>
        </w:tc>
        <w:tc>
          <w:tcPr>
            <w:tcW w:w="9880" w:type="dxa"/>
            <w:vAlign w:val="bottom"/>
          </w:tcPr>
          <w:p>
            <w:pPr>
              <w:spacing w:after="0"/>
              <w:rPr>
                <w:sz w:val="20"/>
                <w:szCs w:val="20"/>
                <w:color w:val="auto"/>
              </w:rPr>
            </w:pPr>
            <w:r>
              <w:rPr>
                <w:rFonts w:ascii="Arial" w:cs="Arial" w:eastAsia="Arial" w:hAnsi="Arial"/>
                <w:sz w:val="18"/>
                <w:szCs w:val="18"/>
                <w:b w:val="1"/>
                <w:bCs w:val="1"/>
                <w:color w:val="auto"/>
              </w:rPr>
              <w:t>Description</w:t>
            </w:r>
          </w:p>
        </w:tc>
      </w:tr>
      <w:tr>
        <w:trPr>
          <w:trHeight w:val="432"/>
        </w:trPr>
        <w:tc>
          <w:tcPr>
            <w:tcW w:w="920" w:type="dxa"/>
            <w:vAlign w:val="bottom"/>
            <w:tcBorders>
              <w:top w:val="single" w:sz="8" w:color="auto"/>
            </w:tcBorders>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99.1</w:t>
              </w:r>
            </w:hyperlink>
          </w:p>
        </w:tc>
        <w:tc>
          <w:tcPr>
            <w:tcW w:w="440" w:type="dxa"/>
            <w:vAlign w:val="bottom"/>
          </w:tcPr>
          <w:p>
            <w:pPr>
              <w:spacing w:after="0"/>
              <w:rPr>
                <w:sz w:val="24"/>
                <w:szCs w:val="24"/>
                <w:color w:val="auto"/>
              </w:rPr>
            </w:pPr>
          </w:p>
        </w:tc>
        <w:tc>
          <w:tcPr>
            <w:tcW w:w="9880" w:type="dxa"/>
            <w:vAlign w:val="bottom"/>
            <w:tcBorders>
              <w:top w:val="single" w:sz="8" w:color="auto"/>
            </w:tcBorders>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Press Release, dated December 28, 2020 issued by Y-mAbs Therapeutics, Inc.</w:t>
              </w:r>
            </w:hyperlink>
          </w:p>
        </w:tc>
      </w:tr>
      <w:tr>
        <w:trPr>
          <w:trHeight w:val="432"/>
        </w:trPr>
        <w:tc>
          <w:tcPr>
            <w:tcW w:w="920" w:type="dxa"/>
            <w:vAlign w:val="bottom"/>
          </w:tcPr>
          <w:p>
            <w:pPr>
              <w:spacing w:after="0"/>
              <w:rPr>
                <w:sz w:val="20"/>
                <w:szCs w:val="20"/>
                <w:color w:val="auto"/>
              </w:rPr>
            </w:pPr>
            <w:r>
              <w:rPr>
                <w:rFonts w:ascii="Arial" w:cs="Arial" w:eastAsia="Arial" w:hAnsi="Arial"/>
                <w:sz w:val="18"/>
                <w:szCs w:val="18"/>
                <w:color w:val="auto"/>
              </w:rPr>
              <w:t>104</w:t>
            </w:r>
          </w:p>
        </w:tc>
        <w:tc>
          <w:tcPr>
            <w:tcW w:w="440" w:type="dxa"/>
            <w:vAlign w:val="bottom"/>
          </w:tcPr>
          <w:p>
            <w:pPr>
              <w:spacing w:after="0"/>
              <w:rPr>
                <w:sz w:val="24"/>
                <w:szCs w:val="24"/>
                <w:color w:val="auto"/>
              </w:rPr>
            </w:pPr>
          </w:p>
        </w:tc>
        <w:tc>
          <w:tcPr>
            <w:tcW w:w="9880" w:type="dxa"/>
            <w:vAlign w:val="bottom"/>
          </w:tcPr>
          <w:p>
            <w:pPr>
              <w:spacing w:after="0"/>
              <w:rPr>
                <w:sz w:val="20"/>
                <w:szCs w:val="20"/>
                <w:color w:val="auto"/>
              </w:rPr>
            </w:pPr>
            <w:r>
              <w:rPr>
                <w:rFonts w:ascii="Arial" w:cs="Arial" w:eastAsia="Arial" w:hAnsi="Arial"/>
                <w:sz w:val="18"/>
                <w:szCs w:val="18"/>
                <w:color w:val="auto"/>
              </w:rPr>
              <w:t>Interactive Data File (embedded within the Inline XBRL document).</w:t>
            </w:r>
          </w:p>
        </w:tc>
      </w:tr>
      <w:tr>
        <w:trPr>
          <w:trHeight w:val="675"/>
        </w:trPr>
        <w:tc>
          <w:tcPr>
            <w:tcW w:w="9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98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40" w:type="dxa"/>
            <w:vAlign w:val="bottom"/>
          </w:tcPr>
          <w:p>
            <w:pPr>
              <w:spacing w:after="0"/>
              <w:rPr>
                <w:sz w:val="20"/>
                <w:szCs w:val="20"/>
                <w:color w:val="auto"/>
              </w:rPr>
            </w:pPr>
          </w:p>
        </w:tc>
        <w:tc>
          <w:tcPr>
            <w:tcW w:w="7500" w:type="dxa"/>
            <w:vAlign w:val="bottom"/>
            <w:gridSpan w:val="2"/>
          </w:tcPr>
          <w:p>
            <w:pPr>
              <w:ind w:left="1900"/>
              <w:spacing w:after="0"/>
              <w:rPr>
                <w:sz w:val="20"/>
                <w:szCs w:val="20"/>
                <w:color w:val="auto"/>
              </w:rPr>
            </w:pPr>
            <w:r>
              <w:rPr>
                <w:rFonts w:ascii="Arial" w:cs="Arial" w:eastAsia="Arial" w:hAnsi="Arial"/>
                <w:sz w:val="18"/>
                <w:szCs w:val="18"/>
                <w:color w:val="auto"/>
              </w:rPr>
              <w:t>Y-MABS THERAPEUTICS, INC.</w:t>
            </w:r>
          </w:p>
        </w:tc>
      </w:tr>
      <w:tr>
        <w:trPr>
          <w:trHeight w:val="432"/>
        </w:trPr>
        <w:tc>
          <w:tcPr>
            <w:tcW w:w="3740" w:type="dxa"/>
            <w:vAlign w:val="bottom"/>
          </w:tcPr>
          <w:p>
            <w:pPr>
              <w:spacing w:after="0"/>
              <w:rPr>
                <w:sz w:val="20"/>
                <w:szCs w:val="20"/>
                <w:color w:val="auto"/>
              </w:rPr>
            </w:pPr>
            <w:r>
              <w:rPr>
                <w:rFonts w:ascii="Arial" w:cs="Arial" w:eastAsia="Arial" w:hAnsi="Arial"/>
                <w:sz w:val="18"/>
                <w:szCs w:val="18"/>
                <w:color w:val="auto"/>
              </w:rPr>
              <w:t>Date: December 28, 2020</w:t>
            </w:r>
          </w:p>
        </w:tc>
        <w:tc>
          <w:tcPr>
            <w:tcW w:w="7500" w:type="dxa"/>
            <w:vAlign w:val="bottom"/>
            <w:gridSpan w:val="2"/>
          </w:tcPr>
          <w:p>
            <w:pPr>
              <w:ind w:left="1900"/>
              <w:spacing w:after="0"/>
              <w:rPr>
                <w:sz w:val="20"/>
                <w:szCs w:val="20"/>
                <w:color w:val="auto"/>
              </w:rPr>
            </w:pPr>
            <w:r>
              <w:rPr>
                <w:rFonts w:ascii="Arial" w:cs="Arial" w:eastAsia="Arial" w:hAnsi="Arial"/>
                <w:sz w:val="18"/>
                <w:szCs w:val="18"/>
                <w:color w:val="auto"/>
              </w:rPr>
              <w:t>By:  /s/ Thomas Gad</w:t>
            </w:r>
          </w:p>
        </w:tc>
      </w:tr>
      <w:tr>
        <w:trPr>
          <w:trHeight w:val="195"/>
        </w:trPr>
        <w:tc>
          <w:tcPr>
            <w:tcW w:w="374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5260" w:type="dxa"/>
            <w:vAlign w:val="bottom"/>
            <w:tcBorders>
              <w:top w:val="single" w:sz="8" w:color="auto"/>
            </w:tcBorders>
          </w:tcPr>
          <w:p>
            <w:pPr>
              <w:ind w:left="100"/>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74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5260" w:type="dxa"/>
            <w:vAlign w:val="bottom"/>
          </w:tcPr>
          <w:p>
            <w:pPr>
              <w:ind w:left="100"/>
              <w:spacing w:after="0"/>
              <w:rPr>
                <w:sz w:val="20"/>
                <w:szCs w:val="20"/>
                <w:color w:val="auto"/>
              </w:rPr>
            </w:pPr>
            <w:r>
              <w:rPr>
                <w:rFonts w:ascii="Arial" w:cs="Arial" w:eastAsia="Arial" w:hAnsi="Arial"/>
                <w:sz w:val="18"/>
                <w:szCs w:val="18"/>
                <w:color w:val="auto"/>
                <w:w w:val="93"/>
              </w:rPr>
              <w:t>Founder, Chairman, President and Head of Business Development &amp;</w:t>
            </w:r>
          </w:p>
        </w:tc>
      </w:tr>
      <w:tr>
        <w:trPr>
          <w:trHeight w:val="230"/>
        </w:trPr>
        <w:tc>
          <w:tcPr>
            <w:tcW w:w="374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5260" w:type="dxa"/>
            <w:vAlign w:val="bottom"/>
          </w:tcPr>
          <w:p>
            <w:pPr>
              <w:ind w:left="100"/>
              <w:spacing w:after="0"/>
              <w:rPr>
                <w:sz w:val="20"/>
                <w:szCs w:val="20"/>
                <w:color w:val="auto"/>
              </w:rPr>
            </w:pPr>
            <w:r>
              <w:rPr>
                <w:rFonts w:ascii="Arial" w:cs="Arial" w:eastAsia="Arial" w:hAnsi="Arial"/>
                <w:sz w:val="18"/>
                <w:szCs w:val="18"/>
                <w:color w:val="auto"/>
              </w:rPr>
              <w:t>Strategy</w:t>
            </w:r>
          </w:p>
        </w:tc>
      </w:tr>
      <w:tr>
        <w:trPr>
          <w:trHeight w:val="675"/>
        </w:trPr>
        <w:tc>
          <w:tcPr>
            <w:tcW w:w="374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c>
          <w:tcPr>
            <w:tcW w:w="52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333333"/>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4685665</wp:posOffset>
            </wp:positionH>
            <wp:positionV relativeFrom="paragraph">
              <wp:posOffset>154305</wp:posOffset>
            </wp:positionV>
            <wp:extent cx="2451735" cy="4114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451735" cy="411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333333"/>
        </w:rPr>
        <w:t>Y-mAbs Announces Sale of Priority Review Voucher</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New York, NY, December 28, 2020 (GLOBE NEWSWIRE) – Y-mAbs Therapeutics, Inc. (the “Company” or “Y-mAbs”) (Nasdaq: YMAB) a commercial-stage biopharmaceutical company focused on the development and commercialization of novel, antibody-based therapeutic products for the treatment of cancer, today announced that it has entered into a definitive agreement to sell its Priority Review Voucher (“PRV”) to United Therapeutics Corporation (Nasdaq: UTHR), based on an agreed valuation of $105 million.</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PRV was granted in conjunction with the approval by the U.S. Food and Drug Administration (“FDA”) of DANYELZA®, for the treatment of refractory/relapsed high-risk neuroblastoma.</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Under the terms of the Company’s license agreement with Memorial Sloan Kettering Cancer Center (“MSK”), Y-mAbs is entitled to retain 60% of the net proceeds from monetization of the PRV, and the remaining 40% will be paid to MSK. The transaction remains subject to customary closing conditions, including anti-trust review.</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pleased to announce the sale of the PRV, which will provide an important source of non-dilutive capital to fund additional investment in our pipeline. These efforts will be critical to our growth over the coming year, and we are committed to our mission of becoming a world leader in developing better and safer antibody-based oncology products addressing unmet pediatric and adult medical needs,” said Thomas Gad, founder, Chairman and President.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Jefferies LLC acted as exclusive financial advisor to Y-mAbs on this transaction.</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Researchers at MSK developed DANYELZA, which is exclusively licensed by MSK to Y-mAbs. As a result of this licensing arrangement, MSK has institutional financial interests related to the compound and Y-mAbs.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DANYELZA® (naxitamab-gqgk)</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DANYELZA (naxitamab-gqgk)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This indication was approved under accelerated approval based on overall response rate and duration of response. Continued approval for this indication may be contingent upon verification and description of clinical benefits in a confirmatory trial. DANYELZA includes a Boxed Warning for serious infusion-related reactions, such as cardiac arrest and anaphylaxis, and neurotoxicity, such as severe neuropathic pain and transverse myelitis. See full Prescribing Information for complete Boxed Warning and other important safety information.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Y-mAbs is a commercial-stage biopharmaceutical company focused on the development and commercialization of novel, antibody-based therapeutic products for the treatment of cancer. The Company has a broad and advanced product pipeline, including one FDA approved product, DANYELZA® (naxitamab-gqgk), which targets tumors that express GD2, and one pivotal-stage product candidate, omburtamab, which targets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394970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4" w:name="page5"/>
    <w:bookmarkEnd w:id="4"/>
    <w:p>
      <w:pPr>
        <w:spacing w:after="0" w:line="3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4888865</wp:posOffset>
            </wp:positionH>
            <wp:positionV relativeFrom="page">
              <wp:posOffset>586105</wp:posOffset>
            </wp:positionV>
            <wp:extent cx="2451735" cy="4114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451735" cy="41148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the risk that we may not close the transaction for the sale of our PRV voucher and would not have the additional funds provided by such sale to reinvest into our research and development programs;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pandemic caused by the novel coronavirus known as COVID-19 and other risks and uncertainties affecting the Company including those described in the "Risk Factors" section included in our Annual Report on Form 10-K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“DANYELZA” and “Y-mAbs” are registered trademarks of Y-mAbs Therapeutics,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43" w:lineRule="exact"/>
        <w:rPr>
          <w:sz w:val="20"/>
          <w:szCs w:val="20"/>
          <w:color w:val="auto"/>
        </w:rPr>
      </w:pPr>
    </w:p>
    <w:p>
      <w:pPr>
        <w:ind w:left="20"/>
        <w:spacing w:after="0"/>
        <w:rPr>
          <w:sz w:val="20"/>
          <w:szCs w:val="20"/>
          <w:color w:val="auto"/>
        </w:rPr>
      </w:pPr>
      <w:r>
        <w:rPr>
          <w:rFonts w:ascii="Arial" w:cs="Arial" w:eastAsia="Arial" w:hAnsi="Arial"/>
          <w:sz w:val="18"/>
          <w:szCs w:val="18"/>
          <w:color w:val="auto"/>
        </w:rPr>
        <w:t>Y-mAbs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1962785" cy="11144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962785" cy="1114425"/>
                    </a:xfrm>
                    <a:prstGeom prst="rect">
                      <a:avLst/>
                    </a:prstGeom>
                    <a:noFill/>
                  </pic:spPr>
                </pic:pic>
              </a:graphicData>
            </a:graphic>
          </wp:anchor>
        </w:drawing>
      </w:r>
    </w:p>
    <w:p>
      <w:pPr>
        <w:spacing w:after="0" w:line="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ind w:left="20"/>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ind w:left="20"/>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452120</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2020-12-28T12:22:49Z</dcterms:created>
  <dcterms:modified xsi:type="dcterms:W3CDTF">2020-12-28T12:22:49Z</dcterms:modified>
</cp:coreProperties>
</file>