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Caligan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2,342,609.00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2,342,609.00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2,342,609.00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2,342,609.00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2,342,609.00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2,342,609.00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202 Carnegie Center, Suite 301,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This statement is filed by: (i) Caligan Partners LP, a Delaware limited partnership ("Caligan"), which serves indirectly as the investment manager to Caligan Partners Master Fund LP, a Cayman Islands limited partnership (the "Caligan</w:t>
      </w:r>
    </w:p>
    <w:p>
      <w:pPr>
        <w:spacing w:after="0" w:line="1" w:lineRule="exact"/>
        <w:rPr>
          <w:sz w:val="20"/>
          <w:szCs w:val="20"/>
          <w:color w:val="auto"/>
        </w:rPr>
      </w:pPr>
    </w:p>
    <w:p>
      <w:pPr>
        <w:ind w:left="920" w:right="14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Fund") and a managed account (the "Caligan Account"), with respect to the shares of common stock, $0.0001 par value per share ("Common Stock") of Y-mAbs Therapeutics, Inc., a Delaware corporation (the "Company"), held by the Caligan Fund and Caligan Account; and (ii) David Johnson, the Managing Partner of Caligan and Managing Member of Caligan Partners GP LLC, the general partner of Caligan ("Mr. Johnson"), with respect to the shares of Common Stock held by the Caligan Fund and Caligan Account. Each of the foregoing is referred to as a "Reporting Person" and collectively as the "Reporting Persons."</w:t>
      </w:r>
    </w:p>
    <w:p>
      <w:pPr>
        <w:sectPr>
          <w:pgSz w:w="11900" w:h="16838" w:orient="portrait"/>
          <w:cols w:equalWidth="0" w:num="1">
            <w:col w:w="11140"/>
          </w:cols>
          <w:pgMar w:left="360" w:top="111" w:right="39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780 Third Avenue, 30th Floor, New York, NY 10017.</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Caligan is a Delaware limited partnership. Mr. Johnson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984241109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percentages set forth in this Schedule 13G are calculated based upon an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80"/>
        <w:spacing w:after="0" w:line="244" w:lineRule="auto"/>
        <w:rPr>
          <w:sz w:val="20"/>
          <w:szCs w:val="20"/>
          <w:color w:val="auto"/>
        </w:rPr>
      </w:pPr>
      <w:r>
        <w:rPr>
          <w:rFonts w:ascii="Times New Roman" w:cs="Times New Roman" w:eastAsia="Times New Roman" w:hAnsi="Times New Roman"/>
          <w:sz w:val="22"/>
          <w:szCs w:val="22"/>
          <w:color w:val="auto"/>
        </w:rPr>
        <w:t>aggregate of 45,218,177 shares of Common Stock outstanding as of February 25, 2025, as reported in the Company's Annual Report on Form 10-K for the fiscal year ended December 31, 2024, filed with the Securities and Exchange Commission on March 4, 2025.</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Caligan Partners LP</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Johnson</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David Johnson, Managing Partner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1480"/>
        <w:spacing w:after="0"/>
        <w:rPr>
          <w:sz w:val="20"/>
          <w:szCs w:val="20"/>
          <w:color w:val="auto"/>
        </w:rPr>
      </w:pPr>
      <w:r>
        <w:rPr>
          <w:rFonts w:ascii="Times New Roman" w:cs="Times New Roman" w:eastAsia="Times New Roman" w:hAnsi="Times New Roman"/>
          <w:sz w:val="22"/>
          <w:szCs w:val="22"/>
          <w:color w:val="auto"/>
        </w:rPr>
        <w:t>David Johnson</w:t>
      </w:r>
    </w:p>
    <w:p>
      <w:pPr>
        <w:spacing w:after="0" w:line="153"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Johnson</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Name/Title: David Johnson, Individually</w:t>
      </w:r>
    </w:p>
    <w:p>
      <w:pPr>
        <w:spacing w:after="0" w:line="56"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14, 2025</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CALIGAN PARTNERS LP</w:t>
      </w:r>
    </w:p>
    <w:p>
      <w:pPr>
        <w:spacing w:after="0" w:line="200" w:lineRule="exact"/>
        <w:rPr>
          <w:sz w:val="20"/>
          <w:szCs w:val="20"/>
          <w:color w:val="auto"/>
        </w:rPr>
      </w:pPr>
    </w:p>
    <w:p>
      <w:pPr>
        <w:spacing w:after="0" w:line="262"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/s/ David Johnson</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44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David Johnson</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13970</wp:posOffset>
            </wp:positionV>
            <wp:extent cx="34201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DAVID JOHNSON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2025-05-14T07:47:28Z</dcterms:created>
  <dcterms:modified xsi:type="dcterms:W3CDTF">2025-05-14T07:47:28Z</dcterms:modified>
</cp:coreProperties>
</file>