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Pursuant to Section 13 or 15(d) of</w:t>
      </w:r>
    </w:p>
    <w:p>
      <w:pPr>
        <w:jc w:val="center"/>
        <w:ind w:right="40"/>
        <w:spacing w:after="0"/>
        <w:rPr>
          <w:sz w:val="20"/>
          <w:szCs w:val="20"/>
          <w:color w:val="auto"/>
        </w:rPr>
      </w:pPr>
      <w:r>
        <w:rPr>
          <w:rFonts w:ascii="Arial" w:cs="Arial" w:eastAsia="Arial" w:hAnsi="Arial"/>
          <w:sz w:val="22"/>
          <w:szCs w:val="22"/>
          <w:b w:val="1"/>
          <w:bCs w:val="1"/>
          <w:color w:val="auto"/>
        </w:rPr>
        <w:t>the Securities Exchange Act of 1934</w:t>
      </w:r>
    </w:p>
    <w:p>
      <w:pPr>
        <w:spacing w:after="0" w:line="191"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November 1, 2019 (October 31, 2019)</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Y-MABS THERAPEUTICS, INC.</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760" w:type="dxa"/>
        <w:tblCellMar>
          <w:top w:w="0" w:type="dxa"/>
          <w:left w:w="0" w:type="dxa"/>
          <w:bottom w:w="0" w:type="dxa"/>
          <w:right w:w="0" w:type="dxa"/>
        </w:tblCellMar>
      </w:tblPr>
      <w:tr>
        <w:trPr>
          <w:trHeight w:val="220"/>
        </w:trPr>
        <w:tc>
          <w:tcPr>
            <w:tcW w:w="2380" w:type="dxa"/>
            <w:vAlign w:val="bottom"/>
          </w:tcPr>
          <w:p>
            <w:pPr>
              <w:jc w:val="center"/>
              <w:ind w:right="130"/>
              <w:spacing w:after="0"/>
              <w:rPr>
                <w:sz w:val="20"/>
                <w:szCs w:val="20"/>
                <w:color w:val="auto"/>
              </w:rPr>
            </w:pPr>
            <w:r>
              <w:rPr>
                <w:rFonts w:ascii="Arial" w:cs="Arial" w:eastAsia="Arial" w:hAnsi="Arial"/>
                <w:sz w:val="18"/>
                <w:szCs w:val="18"/>
                <w:b w:val="1"/>
                <w:bCs w:val="1"/>
                <w:color w:val="auto"/>
                <w:w w:val="91"/>
              </w:rPr>
              <w:t>Delaware</w:t>
            </w:r>
          </w:p>
        </w:tc>
        <w:tc>
          <w:tcPr>
            <w:tcW w:w="536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001-38650</w:t>
            </w:r>
          </w:p>
        </w:tc>
        <w:tc>
          <w:tcPr>
            <w:tcW w:w="1760" w:type="dxa"/>
            <w:vAlign w:val="bottom"/>
          </w:tcPr>
          <w:p>
            <w:pPr>
              <w:jc w:val="center"/>
              <w:ind w:left="35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380" w:type="dxa"/>
            <w:vAlign w:val="bottom"/>
          </w:tcPr>
          <w:p>
            <w:pPr>
              <w:jc w:val="center"/>
              <w:ind w:right="130"/>
              <w:spacing w:after="0"/>
              <w:rPr>
                <w:sz w:val="20"/>
                <w:szCs w:val="20"/>
                <w:color w:val="auto"/>
              </w:rPr>
            </w:pPr>
            <w:r>
              <w:rPr>
                <w:rFonts w:ascii="Arial" w:cs="Arial" w:eastAsia="Arial" w:hAnsi="Arial"/>
                <w:sz w:val="18"/>
                <w:szCs w:val="18"/>
                <w:color w:val="auto"/>
                <w:w w:val="92"/>
              </w:rPr>
              <w:t>(State or other jurisdiction of</w:t>
            </w:r>
          </w:p>
        </w:tc>
        <w:tc>
          <w:tcPr>
            <w:tcW w:w="5360" w:type="dxa"/>
            <w:vAlign w:val="bottom"/>
          </w:tcPr>
          <w:p>
            <w:pPr>
              <w:jc w:val="center"/>
              <w:ind w:right="90"/>
              <w:spacing w:after="0"/>
              <w:rPr>
                <w:sz w:val="20"/>
                <w:szCs w:val="20"/>
                <w:color w:val="auto"/>
              </w:rPr>
            </w:pPr>
            <w:r>
              <w:rPr>
                <w:rFonts w:ascii="Arial" w:cs="Arial" w:eastAsia="Arial" w:hAnsi="Arial"/>
                <w:sz w:val="18"/>
                <w:szCs w:val="18"/>
                <w:color w:val="auto"/>
                <w:w w:val="93"/>
              </w:rPr>
              <w:t>(Commission</w:t>
            </w:r>
          </w:p>
        </w:tc>
        <w:tc>
          <w:tcPr>
            <w:tcW w:w="1760" w:type="dxa"/>
            <w:vAlign w:val="bottom"/>
          </w:tcPr>
          <w:p>
            <w:pPr>
              <w:jc w:val="center"/>
              <w:ind w:left="350"/>
              <w:spacing w:after="0"/>
              <w:rPr>
                <w:sz w:val="20"/>
                <w:szCs w:val="20"/>
                <w:color w:val="auto"/>
              </w:rPr>
            </w:pPr>
            <w:r>
              <w:rPr>
                <w:rFonts w:ascii="Arial" w:cs="Arial" w:eastAsia="Arial" w:hAnsi="Arial"/>
                <w:sz w:val="18"/>
                <w:szCs w:val="18"/>
                <w:color w:val="auto"/>
                <w:w w:val="93"/>
              </w:rPr>
              <w:t>(I.R.S. Employer</w:t>
            </w:r>
          </w:p>
        </w:tc>
      </w:tr>
      <w:tr>
        <w:trPr>
          <w:trHeight w:val="230"/>
        </w:trPr>
        <w:tc>
          <w:tcPr>
            <w:tcW w:w="2380" w:type="dxa"/>
            <w:vAlign w:val="bottom"/>
          </w:tcPr>
          <w:p>
            <w:pPr>
              <w:jc w:val="center"/>
              <w:ind w:right="130"/>
              <w:spacing w:after="0"/>
              <w:rPr>
                <w:sz w:val="20"/>
                <w:szCs w:val="20"/>
                <w:color w:val="auto"/>
              </w:rPr>
            </w:pPr>
            <w:r>
              <w:rPr>
                <w:rFonts w:ascii="Arial" w:cs="Arial" w:eastAsia="Arial" w:hAnsi="Arial"/>
                <w:sz w:val="18"/>
                <w:szCs w:val="18"/>
                <w:color w:val="auto"/>
                <w:w w:val="92"/>
              </w:rPr>
              <w:t>incorporation or organization)</w:t>
            </w:r>
          </w:p>
        </w:tc>
        <w:tc>
          <w:tcPr>
            <w:tcW w:w="5360" w:type="dxa"/>
            <w:vAlign w:val="bottom"/>
          </w:tcPr>
          <w:p>
            <w:pPr>
              <w:jc w:val="center"/>
              <w:ind w:right="90"/>
              <w:spacing w:after="0"/>
              <w:rPr>
                <w:sz w:val="20"/>
                <w:szCs w:val="20"/>
                <w:color w:val="auto"/>
              </w:rPr>
            </w:pPr>
            <w:r>
              <w:rPr>
                <w:rFonts w:ascii="Arial" w:cs="Arial" w:eastAsia="Arial" w:hAnsi="Arial"/>
                <w:sz w:val="18"/>
                <w:szCs w:val="18"/>
                <w:color w:val="auto"/>
                <w:w w:val="94"/>
              </w:rPr>
              <w:t>File Number)</w:t>
            </w:r>
          </w:p>
        </w:tc>
        <w:tc>
          <w:tcPr>
            <w:tcW w:w="1760" w:type="dxa"/>
            <w:vAlign w:val="bottom"/>
          </w:tcPr>
          <w:p>
            <w:pPr>
              <w:jc w:val="center"/>
              <w:ind w:left="330"/>
              <w:spacing w:after="0"/>
              <w:rPr>
                <w:sz w:val="20"/>
                <w:szCs w:val="20"/>
                <w:color w:val="auto"/>
              </w:rPr>
            </w:pPr>
            <w:r>
              <w:rPr>
                <w:rFonts w:ascii="Arial" w:cs="Arial" w:eastAsia="Arial" w:hAnsi="Arial"/>
                <w:sz w:val="18"/>
                <w:szCs w:val="18"/>
                <w:color w:val="auto"/>
                <w:w w:val="95"/>
              </w:rPr>
              <w:t>Identification No.)</w:t>
            </w:r>
          </w:p>
        </w:tc>
      </w:tr>
      <w:tr>
        <w:trPr>
          <w:trHeight w:val="414"/>
        </w:trPr>
        <w:tc>
          <w:tcPr>
            <w:tcW w:w="2380" w:type="dxa"/>
            <w:vAlign w:val="bottom"/>
          </w:tcPr>
          <w:p>
            <w:pPr>
              <w:spacing w:after="0"/>
              <w:rPr>
                <w:sz w:val="24"/>
                <w:szCs w:val="24"/>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230 Park Avenue</w:t>
            </w:r>
          </w:p>
        </w:tc>
        <w:tc>
          <w:tcPr>
            <w:tcW w:w="1760" w:type="dxa"/>
            <w:vAlign w:val="bottom"/>
          </w:tcPr>
          <w:p>
            <w:pPr>
              <w:spacing w:after="0"/>
              <w:rPr>
                <w:sz w:val="24"/>
                <w:szCs w:val="24"/>
                <w:color w:val="auto"/>
              </w:rPr>
            </w:pPr>
          </w:p>
        </w:tc>
      </w:tr>
      <w:tr>
        <w:trPr>
          <w:trHeight w:val="216"/>
        </w:trPr>
        <w:tc>
          <w:tcPr>
            <w:tcW w:w="2380" w:type="dxa"/>
            <w:vAlign w:val="bottom"/>
          </w:tcPr>
          <w:p>
            <w:pPr>
              <w:spacing w:after="0"/>
              <w:rPr>
                <w:sz w:val="18"/>
                <w:szCs w:val="18"/>
                <w:color w:val="auto"/>
              </w:rPr>
            </w:pPr>
          </w:p>
        </w:tc>
        <w:tc>
          <w:tcPr>
            <w:tcW w:w="5360" w:type="dxa"/>
            <w:vAlign w:val="bottom"/>
          </w:tcPr>
          <w:p>
            <w:pPr>
              <w:jc w:val="center"/>
              <w:ind w:right="110"/>
              <w:spacing w:after="0"/>
              <w:rPr>
                <w:sz w:val="20"/>
                <w:szCs w:val="20"/>
                <w:color w:val="auto"/>
              </w:rPr>
            </w:pPr>
            <w:r>
              <w:rPr>
                <w:rFonts w:ascii="Arial" w:cs="Arial" w:eastAsia="Arial" w:hAnsi="Arial"/>
                <w:sz w:val="18"/>
                <w:szCs w:val="18"/>
                <w:b w:val="1"/>
                <w:bCs w:val="1"/>
                <w:color w:val="auto"/>
                <w:w w:val="89"/>
              </w:rPr>
              <w:t>Suite 3350</w:t>
            </w:r>
          </w:p>
        </w:tc>
        <w:tc>
          <w:tcPr>
            <w:tcW w:w="1760" w:type="dxa"/>
            <w:vAlign w:val="bottom"/>
          </w:tcPr>
          <w:p>
            <w:pPr>
              <w:spacing w:after="0"/>
              <w:rPr>
                <w:sz w:val="18"/>
                <w:szCs w:val="18"/>
                <w:color w:val="auto"/>
              </w:rPr>
            </w:pPr>
          </w:p>
        </w:tc>
      </w:tr>
      <w:tr>
        <w:trPr>
          <w:trHeight w:val="220"/>
        </w:trPr>
        <w:tc>
          <w:tcPr>
            <w:tcW w:w="2380" w:type="dxa"/>
            <w:vAlign w:val="bottom"/>
          </w:tcPr>
          <w:p>
            <w:pPr>
              <w:spacing w:after="0"/>
              <w:rPr>
                <w:sz w:val="19"/>
                <w:szCs w:val="19"/>
                <w:color w:val="auto"/>
              </w:rPr>
            </w:pPr>
          </w:p>
        </w:tc>
        <w:tc>
          <w:tcPr>
            <w:tcW w:w="5360" w:type="dxa"/>
            <w:vAlign w:val="bottom"/>
          </w:tcPr>
          <w:p>
            <w:pPr>
              <w:jc w:val="center"/>
              <w:ind w:right="110"/>
              <w:spacing w:after="0"/>
              <w:rPr>
                <w:sz w:val="20"/>
                <w:szCs w:val="20"/>
                <w:color w:val="auto"/>
              </w:rPr>
            </w:pPr>
            <w:r>
              <w:rPr>
                <w:rFonts w:ascii="Arial" w:cs="Arial" w:eastAsia="Arial" w:hAnsi="Arial"/>
                <w:sz w:val="18"/>
                <w:szCs w:val="18"/>
                <w:b w:val="1"/>
                <w:bCs w:val="1"/>
                <w:color w:val="auto"/>
                <w:w w:val="92"/>
              </w:rPr>
              <w:t>New York, New York 10169</w:t>
            </w:r>
          </w:p>
        </w:tc>
        <w:tc>
          <w:tcPr>
            <w:tcW w:w="1760" w:type="dxa"/>
            <w:vAlign w:val="bottom"/>
          </w:tcPr>
          <w:p>
            <w:pPr>
              <w:spacing w:after="0"/>
              <w:rPr>
                <w:sz w:val="19"/>
                <w:szCs w:val="19"/>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92"/>
              </w:rPr>
              <w:t>(Address of principal executive offices) (Zip Code)</w:t>
            </w:r>
          </w:p>
        </w:tc>
        <w:tc>
          <w:tcPr>
            <w:tcW w:w="1760" w:type="dxa"/>
            <w:vAlign w:val="bottom"/>
          </w:tcPr>
          <w:p>
            <w:pPr>
              <w:spacing w:after="0"/>
              <w:rPr>
                <w:sz w:val="20"/>
                <w:szCs w:val="20"/>
                <w:color w:val="auto"/>
              </w:rPr>
            </w:pPr>
          </w:p>
        </w:tc>
      </w:tr>
      <w:tr>
        <w:trPr>
          <w:trHeight w:val="418"/>
        </w:trPr>
        <w:tc>
          <w:tcPr>
            <w:tcW w:w="2380" w:type="dxa"/>
            <w:vAlign w:val="bottom"/>
          </w:tcPr>
          <w:p>
            <w:pPr>
              <w:spacing w:after="0"/>
              <w:rPr>
                <w:sz w:val="24"/>
                <w:szCs w:val="24"/>
                <w:color w:val="auto"/>
              </w:rPr>
            </w:pPr>
          </w:p>
        </w:tc>
        <w:tc>
          <w:tcPr>
            <w:tcW w:w="536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(646) 885-8505</w:t>
            </w:r>
          </w:p>
        </w:tc>
        <w:tc>
          <w:tcPr>
            <w:tcW w:w="1760" w:type="dxa"/>
            <w:vAlign w:val="bottom"/>
          </w:tcPr>
          <w:p>
            <w:pPr>
              <w:spacing w:after="0"/>
              <w:rPr>
                <w:sz w:val="24"/>
                <w:szCs w:val="24"/>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89"/>
              </w:rPr>
              <w:t>(Registrant’s telephone number, include area code)</w:t>
            </w:r>
          </w:p>
        </w:tc>
        <w:tc>
          <w:tcPr>
            <w:tcW w:w="1760" w:type="dxa"/>
            <w:vAlign w:val="bottom"/>
          </w:tcPr>
          <w:p>
            <w:pPr>
              <w:spacing w:after="0"/>
              <w:rPr>
                <w:sz w:val="20"/>
                <w:szCs w:val="20"/>
                <w:color w:val="auto"/>
              </w:rPr>
            </w:pPr>
          </w:p>
        </w:tc>
      </w:tr>
      <w:tr>
        <w:trPr>
          <w:trHeight w:val="418"/>
        </w:trPr>
        <w:tc>
          <w:tcPr>
            <w:tcW w:w="2380" w:type="dxa"/>
            <w:vAlign w:val="bottom"/>
          </w:tcPr>
          <w:p>
            <w:pPr>
              <w:spacing w:after="0"/>
              <w:rPr>
                <w:sz w:val="24"/>
                <w:szCs w:val="24"/>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b w:val="1"/>
                <w:bCs w:val="1"/>
                <w:color w:val="auto"/>
                <w:w w:val="96"/>
              </w:rPr>
              <w:t>N/A</w:t>
            </w:r>
          </w:p>
        </w:tc>
        <w:tc>
          <w:tcPr>
            <w:tcW w:w="1760" w:type="dxa"/>
            <w:vAlign w:val="bottom"/>
          </w:tcPr>
          <w:p>
            <w:pPr>
              <w:spacing w:after="0"/>
              <w:rPr>
                <w:sz w:val="24"/>
                <w:szCs w:val="24"/>
                <w:color w:val="auto"/>
              </w:rPr>
            </w:pPr>
          </w:p>
        </w:tc>
      </w:tr>
      <w:tr>
        <w:trPr>
          <w:trHeight w:val="230"/>
        </w:trPr>
        <w:tc>
          <w:tcPr>
            <w:tcW w:w="2380" w:type="dxa"/>
            <w:vAlign w:val="bottom"/>
          </w:tcPr>
          <w:p>
            <w:pPr>
              <w:spacing w:after="0"/>
              <w:rPr>
                <w:sz w:val="20"/>
                <w:szCs w:val="20"/>
                <w:color w:val="auto"/>
              </w:rPr>
            </w:pPr>
          </w:p>
        </w:tc>
        <w:tc>
          <w:tcPr>
            <w:tcW w:w="5360" w:type="dxa"/>
            <w:vAlign w:val="bottom"/>
          </w:tcPr>
          <w:p>
            <w:pPr>
              <w:jc w:val="center"/>
              <w:ind w:right="130"/>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1760" w:type="dxa"/>
            <w:vAlign w:val="bottom"/>
          </w:tcPr>
          <w:p>
            <w:pPr>
              <w:spacing w:after="0"/>
              <w:rPr>
                <w:sz w:val="20"/>
                <w:szCs w:val="20"/>
                <w:color w:val="auto"/>
              </w:rPr>
            </w:pPr>
          </w:p>
        </w:tc>
      </w:tr>
    </w:tbl>
    <w:p>
      <w:pPr>
        <w:spacing w:after="0" w:line="202" w:lineRule="exact"/>
        <w:rPr>
          <w:sz w:val="24"/>
          <w:szCs w:val="24"/>
          <w:color w:val="auto"/>
        </w:rPr>
      </w:pPr>
    </w:p>
    <w:p>
      <w:pPr>
        <w:ind w:right="1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640" w:hanging="632"/>
        <w:spacing w:after="0"/>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640" w:hanging="632"/>
        <w:spacing w:after="0"/>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640" w:hanging="632"/>
        <w:spacing w:after="0"/>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640" w:hanging="632"/>
        <w:spacing w:after="0"/>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1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x</w:t>
      </w:r>
    </w:p>
    <w:p>
      <w:pPr>
        <w:spacing w:after="0" w:line="225" w:lineRule="exact"/>
        <w:rPr>
          <w:sz w:val="24"/>
          <w:szCs w:val="24"/>
          <w:color w:val="auto"/>
        </w:rPr>
      </w:pPr>
    </w:p>
    <w:p>
      <w:pPr>
        <w:ind w:right="18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x</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17" w:lineRule="exact"/>
        <w:rPr>
          <w:sz w:val="24"/>
          <w:szCs w:val="24"/>
          <w:color w:val="auto"/>
        </w:rPr>
      </w:pPr>
    </w:p>
    <w:tbl>
      <w:tblPr>
        <w:tblLayout w:type="fixed"/>
        <w:tblInd w:w="0" w:type="dxa"/>
        <w:tblCellMar>
          <w:top w:w="0" w:type="dxa"/>
          <w:left w:w="0" w:type="dxa"/>
          <w:bottom w:w="0" w:type="dxa"/>
          <w:right w:w="0" w:type="dxa"/>
        </w:tblCellMar>
      </w:tblPr>
      <w:tr>
        <w:trPr>
          <w:trHeight w:val="171"/>
        </w:trPr>
        <w:tc>
          <w:tcPr>
            <w:tcW w:w="3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Title of each class:</w:t>
            </w:r>
          </w:p>
        </w:tc>
        <w:tc>
          <w:tcPr>
            <w:tcW w:w="3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Trading Symbol</w:t>
            </w:r>
          </w:p>
        </w:tc>
        <w:tc>
          <w:tcPr>
            <w:tcW w:w="3640" w:type="dxa"/>
            <w:vAlign w:val="bottom"/>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40" w:type="dxa"/>
            <w:vAlign w:val="bottom"/>
          </w:tcPr>
          <w:p>
            <w:pPr>
              <w:spacing w:after="0"/>
              <w:rPr>
                <w:sz w:val="14"/>
                <w:szCs w:val="14"/>
                <w:color w:val="auto"/>
              </w:rPr>
            </w:pPr>
          </w:p>
        </w:tc>
      </w:tr>
      <w:tr>
        <w:trPr>
          <w:trHeight w:val="224"/>
        </w:trPr>
        <w:tc>
          <w:tcPr>
            <w:tcW w:w="36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240" w:type="dxa"/>
            <w:vAlign w:val="bottom"/>
          </w:tcPr>
          <w:p>
            <w:pPr>
              <w:spacing w:after="0"/>
              <w:rPr>
                <w:sz w:val="19"/>
                <w:szCs w:val="19"/>
                <w:color w:val="auto"/>
              </w:rPr>
            </w:pPr>
          </w:p>
        </w:tc>
        <w:tc>
          <w:tcPr>
            <w:tcW w:w="36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220" w:type="dxa"/>
            <w:vAlign w:val="bottom"/>
          </w:tcPr>
          <w:p>
            <w:pPr>
              <w:spacing w:after="0"/>
              <w:rPr>
                <w:sz w:val="19"/>
                <w:szCs w:val="19"/>
                <w:color w:val="auto"/>
              </w:rPr>
            </w:pPr>
          </w:p>
        </w:tc>
        <w:tc>
          <w:tcPr>
            <w:tcW w:w="36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c>
          <w:tcPr>
            <w:tcW w:w="40" w:type="dxa"/>
            <w:vAlign w:val="bottom"/>
          </w:tcPr>
          <w:p>
            <w:pPr>
              <w:spacing w:after="0"/>
              <w:rPr>
                <w:sz w:val="19"/>
                <w:szCs w:val="19"/>
                <w:color w:val="auto"/>
              </w:rPr>
            </w:pPr>
          </w:p>
        </w:tc>
      </w:tr>
      <w:tr>
        <w:trPr>
          <w:trHeight w:val="202"/>
        </w:trPr>
        <w:tc>
          <w:tcPr>
            <w:tcW w:w="366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36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3640" w:type="dxa"/>
            <w:vAlign w:val="bottom"/>
            <w:tcBorders>
              <w:bottom w:val="single" w:sz="8" w:color="auto"/>
            </w:tcBorders>
          </w:tcPr>
          <w:p>
            <w:pPr>
              <w:spacing w:after="0"/>
              <w:rPr>
                <w:sz w:val="17"/>
                <w:szCs w:val="17"/>
                <w:color w:val="auto"/>
              </w:rPr>
            </w:pPr>
          </w:p>
        </w:tc>
        <w:tc>
          <w:tcPr>
            <w:tcW w:w="40" w:type="dxa"/>
            <w:vAlign w:val="bottom"/>
          </w:tcPr>
          <w:p>
            <w:pPr>
              <w:spacing w:after="0"/>
              <w:rPr>
                <w:sz w:val="17"/>
                <w:szCs w:val="17"/>
                <w:color w:val="auto"/>
              </w:rPr>
            </w:pPr>
          </w:p>
        </w:tc>
      </w:tr>
      <w:tr>
        <w:trPr>
          <w:trHeight w:val="82"/>
        </w:trPr>
        <w:tc>
          <w:tcPr>
            <w:tcW w:w="3660" w:type="dxa"/>
            <w:vAlign w:val="bottom"/>
            <w:tcBorders>
              <w:bottom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366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3640" w:type="dxa"/>
            <w:vAlign w:val="bottom"/>
            <w:tcBorders>
              <w:bottom w:val="single" w:sz="8" w:color="auto"/>
            </w:tcBorders>
          </w:tcPr>
          <w:p>
            <w:pPr>
              <w:spacing w:after="0"/>
              <w:rPr>
                <w:sz w:val="7"/>
                <w:szCs w:val="7"/>
                <w:color w:val="auto"/>
              </w:rPr>
            </w:pPr>
          </w:p>
        </w:tc>
        <w:tc>
          <w:tcPr>
            <w:tcW w:w="40" w:type="dxa"/>
            <w:vAlign w:val="bottom"/>
          </w:tcPr>
          <w:p>
            <w:pPr>
              <w:spacing w:after="0"/>
              <w:rPr>
                <w:sz w:val="7"/>
                <w:szCs w:val="7"/>
                <w:color w:val="auto"/>
              </w:rPr>
            </w:pPr>
          </w:p>
        </w:tc>
      </w:tr>
      <w:tr>
        <w:trPr>
          <w:trHeight w:val="348"/>
        </w:trPr>
        <w:tc>
          <w:tcPr>
            <w:tcW w:w="3660" w:type="dxa"/>
            <w:vAlign w:val="bottom"/>
            <w:tcBorders>
              <w:bottom w:val="single" w:sz="8" w:color="808080"/>
            </w:tcBorders>
          </w:tcPr>
          <w:p>
            <w:pPr>
              <w:spacing w:after="0"/>
              <w:rPr>
                <w:sz w:val="24"/>
                <w:szCs w:val="24"/>
                <w:color w:val="auto"/>
              </w:rPr>
            </w:pPr>
          </w:p>
        </w:tc>
        <w:tc>
          <w:tcPr>
            <w:tcW w:w="240" w:type="dxa"/>
            <w:vAlign w:val="bottom"/>
            <w:tcBorders>
              <w:bottom w:val="single" w:sz="8" w:color="808080"/>
            </w:tcBorders>
          </w:tcPr>
          <w:p>
            <w:pPr>
              <w:spacing w:after="0"/>
              <w:rPr>
                <w:sz w:val="24"/>
                <w:szCs w:val="24"/>
                <w:color w:val="auto"/>
              </w:rPr>
            </w:pPr>
          </w:p>
        </w:tc>
        <w:tc>
          <w:tcPr>
            <w:tcW w:w="3660" w:type="dxa"/>
            <w:vAlign w:val="bottom"/>
            <w:tcBorders>
              <w:bottom w:val="single" w:sz="8" w:color="808080"/>
            </w:tcBorders>
          </w:tcPr>
          <w:p>
            <w:pPr>
              <w:spacing w:after="0"/>
              <w:rPr>
                <w:sz w:val="24"/>
                <w:szCs w:val="24"/>
                <w:color w:val="auto"/>
              </w:rPr>
            </w:pPr>
          </w:p>
        </w:tc>
        <w:tc>
          <w:tcPr>
            <w:tcW w:w="220" w:type="dxa"/>
            <w:vAlign w:val="bottom"/>
            <w:tcBorders>
              <w:bottom w:val="single" w:sz="8" w:color="808080"/>
            </w:tcBorders>
          </w:tcPr>
          <w:p>
            <w:pPr>
              <w:spacing w:after="0"/>
              <w:rPr>
                <w:sz w:val="24"/>
                <w:szCs w:val="24"/>
                <w:color w:val="auto"/>
              </w:rPr>
            </w:pPr>
          </w:p>
        </w:tc>
        <w:tc>
          <w:tcPr>
            <w:tcW w:w="364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440" w:gutter="0" w:footer="0" w:header="0"/>
        </w:sectPr>
      </w:pPr>
    </w:p>
    <w:bookmarkStart w:id="1" w:name="page2"/>
    <w:bookmarkEnd w:id="1"/>
    <w:p>
      <w:pPr>
        <w:ind w:left="60"/>
        <w:spacing w:after="0"/>
        <w:tabs>
          <w:tab w:leader="none" w:pos="134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229"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In the afternoon on October 31, 2019, we received an e-mail notification from the U.S. Food and Drug Administration, or FDA, that, upon their review of our omburtamab pre-Biologics License Application, or pre-BLA, meeting submission, our pre-BLA meeting with the FDA, which was originally scheduled for November 2019, has now been converted to a general guidance meeting. The FDA did not indicate a reason for this change or provide any additional information, although we are currently seeking additional information. As a result, we now expect that our rolling BLA submission for omburtamab, which we intended to commence in December 2019, will not begin until after a new pre-BLA meeting has been scheduled. Our pre-BLA meeting could still take place in 2019, or may be rescheduled for the first quarter of 2020.</w:t>
      </w:r>
    </w:p>
    <w:p>
      <w:pPr>
        <w:spacing w:after="0" w:line="193"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We remain confident in the contents of our pre-BLA meeting submission and do not believe that this change in the timing of the pre-BLA meeting with the FDA will impact our previously disclosed and anticipated timing for our complete omburtamab BLA submission, which we still expect to complete by the end of the first quarter of 2020. As previously disclosed, we expect to have completed all required components of our anticipated BLA filing by the end of the first quarter of 2020, and expect to have the flexibility to file our BLA either via a rolling submission or via a single submission ahead of our expected completion date at the end of the first quarter of 2020. In addition, we believe that the overall commercialization timeline will not be affected.</w:t>
      </w:r>
    </w:p>
    <w:p>
      <w:pPr>
        <w:spacing w:after="0" w:line="173" w:lineRule="exact"/>
        <w:rPr>
          <w:sz w:val="20"/>
          <w:szCs w:val="20"/>
          <w:color w:val="auto"/>
        </w:rPr>
      </w:pPr>
    </w:p>
    <w:p>
      <w:pPr>
        <w:jc w:val="both"/>
        <w:ind w:right="200"/>
        <w:spacing w:after="0" w:line="264" w:lineRule="auto"/>
        <w:rPr>
          <w:sz w:val="20"/>
          <w:szCs w:val="20"/>
          <w:color w:val="auto"/>
        </w:rPr>
      </w:pPr>
      <w:r>
        <w:rPr>
          <w:rFonts w:ascii="Arial" w:cs="Arial" w:eastAsia="Arial" w:hAnsi="Arial"/>
          <w:sz w:val="18"/>
          <w:szCs w:val="18"/>
          <w:color w:val="auto"/>
        </w:rPr>
        <w:t>As previously announced, in a pre-BLA meeting for naxitamab we reached alignment with the FDA on an accelerated approval pathway for naxitamab and intend to begin submission of a rolling BLA for naxitamab in November 2019. We still expect to begin submission of the rolling BLA for naxitamamab in November 2019 and complete it in the first quarter of 2020.</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2" w:name="page3"/>
    <w:bookmarkEnd w:id="2"/>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6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20" w:type="dxa"/>
            <w:vAlign w:val="bottom"/>
          </w:tcPr>
          <w:p>
            <w:pPr>
              <w:spacing w:after="0"/>
              <w:rPr>
                <w:sz w:val="20"/>
                <w:szCs w:val="20"/>
                <w:color w:val="auto"/>
              </w:rPr>
            </w:pPr>
          </w:p>
        </w:tc>
        <w:tc>
          <w:tcPr>
            <w:tcW w:w="7700" w:type="dxa"/>
            <w:vAlign w:val="bottom"/>
            <w:gridSpan w:val="2"/>
          </w:tcPr>
          <w:p>
            <w:pPr>
              <w:ind w:left="2020"/>
              <w:spacing w:after="0"/>
              <w:rPr>
                <w:sz w:val="20"/>
                <w:szCs w:val="20"/>
                <w:color w:val="auto"/>
              </w:rPr>
            </w:pPr>
            <w:r>
              <w:rPr>
                <w:rFonts w:ascii="Arial" w:cs="Arial" w:eastAsia="Arial" w:hAnsi="Arial"/>
                <w:sz w:val="18"/>
                <w:szCs w:val="18"/>
                <w:b w:val="1"/>
                <w:bCs w:val="1"/>
                <w:color w:val="auto"/>
              </w:rPr>
              <w:t>Y-MABS THERAPEUTICS, INC.</w:t>
            </w:r>
          </w:p>
        </w:tc>
        <w:tc>
          <w:tcPr>
            <w:tcW w:w="40" w:type="dxa"/>
            <w:vAlign w:val="bottom"/>
          </w:tcPr>
          <w:p>
            <w:pPr>
              <w:spacing w:after="0"/>
              <w:rPr>
                <w:sz w:val="20"/>
                <w:szCs w:val="20"/>
                <w:color w:val="auto"/>
              </w:rPr>
            </w:pPr>
          </w:p>
        </w:tc>
      </w:tr>
      <w:tr>
        <w:trPr>
          <w:trHeight w:val="432"/>
        </w:trPr>
        <w:tc>
          <w:tcPr>
            <w:tcW w:w="3720" w:type="dxa"/>
            <w:vAlign w:val="bottom"/>
          </w:tcPr>
          <w:p>
            <w:pPr>
              <w:spacing w:after="0"/>
              <w:rPr>
                <w:sz w:val="20"/>
                <w:szCs w:val="20"/>
                <w:color w:val="auto"/>
              </w:rPr>
            </w:pPr>
            <w:r>
              <w:rPr>
                <w:rFonts w:ascii="Arial" w:cs="Arial" w:eastAsia="Arial" w:hAnsi="Arial"/>
                <w:sz w:val="18"/>
                <w:szCs w:val="18"/>
                <w:color w:val="auto"/>
              </w:rPr>
              <w:t>Date: November 1, 2019</w:t>
            </w:r>
          </w:p>
        </w:tc>
        <w:tc>
          <w:tcPr>
            <w:tcW w:w="7700" w:type="dxa"/>
            <w:vAlign w:val="bottom"/>
            <w:gridSpan w:val="2"/>
          </w:tcPr>
          <w:p>
            <w:pPr>
              <w:ind w:left="2020"/>
              <w:spacing w:after="0"/>
              <w:rPr>
                <w:sz w:val="20"/>
                <w:szCs w:val="20"/>
                <w:color w:val="auto"/>
              </w:rPr>
            </w:pPr>
            <w:r>
              <w:rPr>
                <w:rFonts w:ascii="Arial" w:cs="Arial" w:eastAsia="Arial" w:hAnsi="Arial"/>
                <w:sz w:val="18"/>
                <w:szCs w:val="18"/>
                <w:color w:val="auto"/>
              </w:rPr>
              <w:t>By:    /s/ Thomas Gad</w:t>
            </w:r>
          </w:p>
        </w:tc>
        <w:tc>
          <w:tcPr>
            <w:tcW w:w="40" w:type="dxa"/>
            <w:vAlign w:val="bottom"/>
          </w:tcPr>
          <w:p>
            <w:pPr>
              <w:spacing w:after="0"/>
              <w:rPr>
                <w:sz w:val="24"/>
                <w:szCs w:val="24"/>
                <w:color w:val="auto"/>
              </w:rPr>
            </w:pPr>
          </w:p>
        </w:tc>
      </w:tr>
      <w:tr>
        <w:trPr>
          <w:trHeight w:val="195"/>
        </w:trPr>
        <w:tc>
          <w:tcPr>
            <w:tcW w:w="3720" w:type="dxa"/>
            <w:vAlign w:val="bottom"/>
          </w:tcPr>
          <w:p>
            <w:pPr>
              <w:spacing w:after="0"/>
              <w:rPr>
                <w:sz w:val="16"/>
                <w:szCs w:val="16"/>
                <w:color w:val="auto"/>
              </w:rPr>
            </w:pPr>
          </w:p>
        </w:tc>
        <w:tc>
          <w:tcPr>
            <w:tcW w:w="2600" w:type="dxa"/>
            <w:vAlign w:val="bottom"/>
          </w:tcPr>
          <w:p>
            <w:pPr>
              <w:spacing w:after="0"/>
              <w:rPr>
                <w:sz w:val="16"/>
                <w:szCs w:val="16"/>
                <w:color w:val="auto"/>
              </w:rPr>
            </w:pPr>
          </w:p>
        </w:tc>
        <w:tc>
          <w:tcPr>
            <w:tcW w:w="51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c>
          <w:tcPr>
            <w:tcW w:w="40" w:type="dxa"/>
            <w:vAlign w:val="bottom"/>
          </w:tcPr>
          <w:p>
            <w:pPr>
              <w:spacing w:after="0"/>
              <w:rPr>
                <w:sz w:val="16"/>
                <w:szCs w:val="16"/>
                <w:color w:val="auto"/>
              </w:rPr>
            </w:pPr>
          </w:p>
        </w:tc>
      </w:tr>
      <w:tr>
        <w:trPr>
          <w:trHeight w:val="230"/>
        </w:trPr>
        <w:tc>
          <w:tcPr>
            <w:tcW w:w="372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5100" w:type="dxa"/>
            <w:vAlign w:val="bottom"/>
          </w:tcPr>
          <w:p>
            <w:pPr>
              <w:spacing w:after="0"/>
              <w:rPr>
                <w:sz w:val="20"/>
                <w:szCs w:val="20"/>
                <w:color w:val="auto"/>
              </w:rPr>
            </w:pPr>
            <w:r>
              <w:rPr>
                <w:rFonts w:ascii="Arial" w:cs="Arial" w:eastAsia="Arial" w:hAnsi="Arial"/>
                <w:sz w:val="18"/>
                <w:szCs w:val="18"/>
                <w:color w:val="auto"/>
                <w:w w:val="95"/>
              </w:rPr>
              <w:t>Founder, Chairman, President and Head of Business Development</w:t>
            </w:r>
          </w:p>
        </w:tc>
        <w:tc>
          <w:tcPr>
            <w:tcW w:w="40" w:type="dxa"/>
            <w:vAlign w:val="bottom"/>
          </w:tcPr>
          <w:p>
            <w:pPr>
              <w:spacing w:after="0"/>
              <w:rPr>
                <w:sz w:val="20"/>
                <w:szCs w:val="20"/>
                <w:color w:val="auto"/>
              </w:rPr>
            </w:pPr>
          </w:p>
        </w:tc>
      </w:tr>
      <w:tr>
        <w:trPr>
          <w:trHeight w:val="432"/>
        </w:trPr>
        <w:tc>
          <w:tcPr>
            <w:tcW w:w="3720" w:type="dxa"/>
            <w:vAlign w:val="bottom"/>
          </w:tcPr>
          <w:p>
            <w:pPr>
              <w:spacing w:after="0"/>
              <w:rPr>
                <w:sz w:val="24"/>
                <w:szCs w:val="24"/>
                <w:color w:val="auto"/>
              </w:rPr>
            </w:pPr>
          </w:p>
        </w:tc>
        <w:tc>
          <w:tcPr>
            <w:tcW w:w="2600" w:type="dxa"/>
            <w:vAlign w:val="bottom"/>
          </w:tcPr>
          <w:p>
            <w:pPr>
              <w:jc w:val="right"/>
              <w:ind w:right="470"/>
              <w:spacing w:after="0"/>
              <w:rPr>
                <w:sz w:val="20"/>
                <w:szCs w:val="20"/>
                <w:color w:val="auto"/>
              </w:rPr>
            </w:pPr>
            <w:r>
              <w:rPr>
                <w:rFonts w:ascii="Arial" w:cs="Arial" w:eastAsia="Arial" w:hAnsi="Arial"/>
                <w:sz w:val="18"/>
                <w:szCs w:val="18"/>
                <w:color w:val="auto"/>
              </w:rPr>
              <w:t>3</w:t>
            </w:r>
          </w:p>
        </w:tc>
        <w:tc>
          <w:tcPr>
            <w:tcW w:w="51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720" w:type="dxa"/>
            <w:vAlign w:val="bottom"/>
            <w:tcBorders>
              <w:bottom w:val="single" w:sz="8" w:color="808080"/>
            </w:tcBorders>
          </w:tcPr>
          <w:p>
            <w:pPr>
              <w:spacing w:after="0"/>
              <w:rPr>
                <w:sz w:val="11"/>
                <w:szCs w:val="11"/>
                <w:color w:val="auto"/>
              </w:rPr>
            </w:pPr>
          </w:p>
        </w:tc>
        <w:tc>
          <w:tcPr>
            <w:tcW w:w="2600" w:type="dxa"/>
            <w:vAlign w:val="bottom"/>
            <w:tcBorders>
              <w:bottom w:val="single" w:sz="8" w:color="808080"/>
            </w:tcBorders>
          </w:tcPr>
          <w:p>
            <w:pPr>
              <w:spacing w:after="0"/>
              <w:rPr>
                <w:sz w:val="11"/>
                <w:szCs w:val="11"/>
                <w:color w:val="auto"/>
              </w:rPr>
            </w:pPr>
          </w:p>
        </w:tc>
        <w:tc>
          <w:tcPr>
            <w:tcW w:w="5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337"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2019-12-04T22:52:07Z</dcterms:created>
  <dcterms:modified xsi:type="dcterms:W3CDTF">2019-12-04T22:52:07Z</dcterms:modified>
</cp:coreProperties>
</file>