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174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1747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Gad Thomas</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40" w:type="dxa"/>
            <w:vAlign w:val="bottom"/>
          </w:tcPr>
          <w:p>
            <w:pPr>
              <w:ind w:left="16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Y-MABS THERAPEUTICS, INC.</w:t>
            </w:r>
          </w:p>
        </w:tc>
      </w:tr>
      <w:tr>
        <w:trPr>
          <w:trHeight w:val="258"/>
        </w:trPr>
        <w:tc>
          <w:tcPr>
            <w:tcW w:w="20" w:type="dxa"/>
            <w:vAlign w:val="bottom"/>
          </w:tcPr>
          <w:p>
            <w:pPr>
              <w:spacing w:after="0"/>
              <w:rPr>
                <w:sz w:val="22"/>
                <w:szCs w:val="22"/>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230 PARK AVENUE, SUITE 3350</w:t>
            </w:r>
          </w:p>
        </w:tc>
        <w:tc>
          <w:tcPr>
            <w:tcW w:w="124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10169</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40" w:type="dxa"/>
            <w:vAlign w:val="bottom"/>
          </w:tcPr>
          <w:p>
            <w:pPr>
              <w:ind w:left="16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Y-mAbs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YMAB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12/21/2023</w:t>
            </w:r>
          </w:p>
        </w:tc>
        <w:tc>
          <w:tcPr>
            <w:tcW w:w="1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300" w:type="dxa"/>
            <w:vAlign w:val="bottom"/>
            <w:gridSpan w:val="3"/>
            <w:vMerge w:val="continue"/>
          </w:tcPr>
          <w:p>
            <w:pPr>
              <w:spacing w:after="0"/>
              <w:rPr>
                <w:sz w:val="10"/>
                <w:szCs w:val="10"/>
                <w:color w:val="auto"/>
              </w:rPr>
            </w:pPr>
          </w:p>
        </w:tc>
        <w:tc>
          <w:tcPr>
            <w:tcW w:w="1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Chief Business Officer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4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12/21/2023</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50,000</w:t>
            </w:r>
          </w:p>
        </w:tc>
        <w:tc>
          <w:tcPr>
            <w:tcW w:w="660" w:type="dxa"/>
            <w:vAlign w:val="bottom"/>
            <w:tcBorders>
              <w:bottom w:val="single" w:sz="8" w:color="2C2C2C"/>
            </w:tcBorders>
          </w:tcPr>
          <w:p>
            <w:pPr>
              <w:jc w:val="right"/>
              <w:ind w:right="158"/>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120"/>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2</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140,500</w:t>
            </w:r>
            <w:r>
              <w:rPr>
                <w:rFonts w:ascii="Times New Roman" w:cs="Times New Roman" w:eastAsia="Times New Roman" w:hAnsi="Times New Roman"/>
                <w:sz w:val="21"/>
                <w:szCs w:val="21"/>
                <w:color w:val="008000"/>
                <w:w w:val="94"/>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GAD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265,032</w:t>
            </w:r>
          </w:p>
        </w:tc>
        <w:tc>
          <w:tcPr>
            <w:tcW w:w="34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Enterprises</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gridSpan w:val="4"/>
          </w:tcPr>
          <w:p>
            <w:pPr>
              <w:ind w:left="60"/>
              <w:spacing w:after="0" w:line="271" w:lineRule="exact"/>
              <w:rPr>
                <w:sz w:val="20"/>
                <w:szCs w:val="20"/>
                <w:color w:val="auto"/>
              </w:rPr>
            </w:pPr>
            <w:r>
              <w:rPr>
                <w:rFonts w:ascii="Times New Roman" w:cs="Times New Roman" w:eastAsia="Times New Roman" w:hAnsi="Times New Roman"/>
                <w:sz w:val="31"/>
                <w:szCs w:val="31"/>
                <w:color w:val="0000FF"/>
                <w:vertAlign w:val="subscript"/>
              </w:rPr>
              <w:t>LLC</w:t>
            </w:r>
            <w:r>
              <w:rPr>
                <w:rFonts w:ascii="Times New Roman" w:cs="Times New Roman" w:eastAsia="Times New Roman" w:hAnsi="Times New Roman"/>
                <w:sz w:val="10"/>
                <w:szCs w:val="10"/>
                <w:color w:val="008000"/>
              </w:rPr>
              <w:t>(3)</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jc w:val="center"/>
              <w:ind w:right="21"/>
              <w:spacing w:after="0"/>
              <w:rPr>
                <w:sz w:val="20"/>
                <w:szCs w:val="20"/>
                <w:color w:val="auto"/>
              </w:rPr>
            </w:pPr>
            <w:r>
              <w:rPr>
                <w:rFonts w:ascii="Times New Roman" w:cs="Times New Roman" w:eastAsia="Times New Roman" w:hAnsi="Times New Roman"/>
                <w:sz w:val="17"/>
                <w:szCs w:val="17"/>
                <w:color w:val="0000FF"/>
                <w:w w:val="98"/>
              </w:rPr>
              <w:t>60,000</w:t>
            </w: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28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Children</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3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12/21/2023</w:t>
            </w:r>
          </w:p>
        </w:tc>
        <w:tc>
          <w:tcPr>
            <w:tcW w:w="1140" w:type="dxa"/>
            <w:vAlign w:val="bottom"/>
          </w:tcPr>
          <w:p>
            <w:pPr>
              <w:spacing w:after="0"/>
              <w:rPr>
                <w:sz w:val="11"/>
                <w:szCs w:val="11"/>
                <w:color w:val="auto"/>
              </w:rPr>
            </w:pPr>
          </w:p>
        </w:tc>
        <w:tc>
          <w:tcPr>
            <w:tcW w:w="62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6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50,000</w:t>
            </w:r>
          </w:p>
        </w:tc>
        <w:tc>
          <w:tcPr>
            <w:tcW w:w="780" w:type="dxa"/>
            <w:vAlign w:val="bottom"/>
            <w:gridSpan w:val="2"/>
            <w:vMerge w:val="continue"/>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0000FF"/>
              </w:rPr>
              <w:t>06/10/2025</w:t>
            </w: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0000FF"/>
              </w:rPr>
              <w:t>103,000</w:t>
            </w:r>
          </w:p>
        </w:tc>
        <w:tc>
          <w:tcPr>
            <w:tcW w:w="54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right"/>
              <w:ind w:right="158"/>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acquired through the exercise of Employee Stock Options.</w:t>
      </w:r>
    </w:p>
    <w:p>
      <w:pPr>
        <w:spacing w:after="0" w:line="43"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100,000 shares of Common Stock owned by Reporting Person as well as 40,500 restricted stock units ("RSUs") granted to the Reporting Person on January 17, 2023 pursuant to the 2018 Equity Incentive Plan of Y-mAbs Therapeutics, Inc. Each RSU represents a contingent right to receive one share of Common Stock on the vesting dates of the RSU. The RSUs vest by 1/3 on each of January 17, 2024, January 17, 2025 and January 17, 2026 subject to the continuing employment of the Reporting Person on each vesting date.</w:t>
      </w:r>
    </w:p>
    <w:p>
      <w:pPr>
        <w:spacing w:after="0" w:line="26" w:lineRule="exact"/>
        <w:rPr>
          <w:rFonts w:ascii="Times New Roman" w:cs="Times New Roman" w:eastAsia="Times New Roman" w:hAnsi="Times New Roman"/>
          <w:sz w:val="13"/>
          <w:szCs w:val="13"/>
          <w:color w:val="008000"/>
        </w:rPr>
      </w:pPr>
    </w:p>
    <w:p>
      <w:pPr>
        <w:ind w:left="40" w:right="4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owned by Reporting Person's children who are deemed to share Reporting Person's household.</w:t>
      </w:r>
    </w:p>
    <w:p>
      <w:pPr>
        <w:spacing w:after="0" w:line="43"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vested and became exercisable as to 25% of the shares subject to the option on June 10, 2016, and thereafter vested as to 1/48th of the shares in equal monthly installments, until such time as the option was 100% vested on June 10, 2019.</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Thomas Gad</w:t>
            </w:r>
          </w:p>
        </w:tc>
        <w:tc>
          <w:tcPr>
            <w:tcW w:w="11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12/26/2023</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3224"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2023-12-26T15:19:27Z</dcterms:created>
  <dcterms:modified xsi:type="dcterms:W3CDTF">2023-12-26T15:19:27Z</dcterms:modified>
</cp:coreProperties>
</file>