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Kruse Bo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EVP, CFO, Secy &amp; Treas.</w:t>
      </w:r>
    </w:p>
    <w:p>
      <w:pPr>
        <w:spacing w:after="0" w:line="40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60" w:type="dxa"/>
            <w:vAlign w:val="bottom"/>
            <w:gridSpan w:val="8"/>
          </w:tcPr>
          <w:p>
            <w:pPr>
              <w:ind w:left="1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Line)</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440" w:type="dxa"/>
            <w:vAlign w:val="bottom"/>
          </w:tcPr>
          <w:p>
            <w:pPr>
              <w:spacing w:after="0"/>
              <w:rPr>
                <w:sz w:val="11"/>
                <w:szCs w:val="11"/>
                <w:color w:val="auto"/>
              </w:rPr>
            </w:pPr>
          </w:p>
        </w:tc>
        <w:tc>
          <w:tcPr>
            <w:tcW w:w="1380" w:type="dxa"/>
            <w:vAlign w:val="bottom"/>
            <w:gridSpan w:val="2"/>
            <w:vMerge w:val="restart"/>
          </w:tcPr>
          <w:p>
            <w:pPr>
              <w:ind w:left="520"/>
              <w:spacing w:after="0"/>
              <w:rPr>
                <w:sz w:val="20"/>
                <w:szCs w:val="20"/>
                <w:color w:val="auto"/>
              </w:rPr>
            </w:pPr>
            <w:r>
              <w:rPr>
                <w:rFonts w:ascii="Arial" w:cs="Arial" w:eastAsia="Arial" w:hAnsi="Arial"/>
                <w:sz w:val="17"/>
                <w:szCs w:val="17"/>
                <w:color w:val="0000FF"/>
              </w:rPr>
              <w:t>10169</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8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880" w:type="dxa"/>
            <w:vAlign w:val="bottom"/>
            <w:tcBorders>
              <w:bottom w:val="single" w:sz="8" w:color="2C2C2C"/>
            </w:tcBorders>
            <w:gridSpan w:val="7"/>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00" w:type="dxa"/>
            <w:vAlign w:val="bottom"/>
            <w:gridSpan w:val="3"/>
          </w:tcPr>
          <w:p>
            <w:pPr>
              <w:jc w:val="center"/>
              <w:ind w:right="231"/>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5"/>
          </w:tcPr>
          <w:p>
            <w:pPr>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1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16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4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jc w:val="center"/>
              <w:ind w:right="148"/>
              <w:spacing w:after="0" w:line="133" w:lineRule="exact"/>
              <w:rPr>
                <w:sz w:val="20"/>
                <w:szCs w:val="20"/>
                <w:color w:val="auto"/>
              </w:rPr>
            </w:pPr>
            <w:r>
              <w:rPr>
                <w:rFonts w:ascii="Arial" w:cs="Arial" w:eastAsia="Arial" w:hAnsi="Arial"/>
                <w:sz w:val="12"/>
                <w:szCs w:val="12"/>
                <w:b w:val="1"/>
                <w:bCs w:val="1"/>
                <w:color w:val="auto"/>
                <w:w w:val="95"/>
              </w:rPr>
              <w:t>(A)</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V</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ind w:right="188"/>
              <w:spacing w:after="0" w:line="133" w:lineRule="exact"/>
              <w:rPr>
                <w:sz w:val="20"/>
                <w:szCs w:val="20"/>
                <w:color w:val="auto"/>
              </w:rPr>
            </w:pPr>
            <w:r>
              <w:rPr>
                <w:rFonts w:ascii="Arial" w:cs="Arial" w:eastAsia="Arial" w:hAnsi="Arial"/>
                <w:sz w:val="12"/>
                <w:szCs w:val="12"/>
                <w:b w:val="1"/>
                <w:bCs w:val="1"/>
                <w:color w:val="auto"/>
                <w:w w:val="99"/>
              </w:rPr>
              <w:t>or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jc w:val="center"/>
              <w:ind w:right="148"/>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05/13/2020</w:t>
            </w: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14,724</w:t>
            </w:r>
          </w:p>
        </w:tc>
        <w:tc>
          <w:tcPr>
            <w:tcW w:w="4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37.8645</w:t>
            </w:r>
            <w:r>
              <w:rPr>
                <w:rFonts w:ascii="Arial" w:cs="Arial" w:eastAsia="Arial" w:hAnsi="Arial"/>
                <w:sz w:val="22"/>
                <w:szCs w:val="22"/>
                <w:color w:val="008000"/>
                <w:w w:val="87"/>
                <w:vertAlign w:val="superscript"/>
              </w:rPr>
              <w:t>(1)</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14"/>
              <w:spacing w:after="0"/>
              <w:rPr>
                <w:sz w:val="20"/>
                <w:szCs w:val="20"/>
                <w:color w:val="auto"/>
              </w:rPr>
            </w:pPr>
            <w:r>
              <w:rPr>
                <w:rFonts w:ascii="Arial" w:cs="Arial" w:eastAsia="Arial" w:hAnsi="Arial"/>
                <w:sz w:val="17"/>
                <w:szCs w:val="17"/>
                <w:color w:val="0000FF"/>
                <w:w w:val="94"/>
              </w:rPr>
              <w:t>285,276</w:t>
            </w:r>
          </w:p>
        </w:tc>
        <w:tc>
          <w:tcPr>
            <w:tcW w:w="88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Arial" w:cs="Arial" w:eastAsia="Arial" w:hAnsi="Arial"/>
                <w:sz w:val="17"/>
                <w:szCs w:val="17"/>
                <w:color w:val="0000FF"/>
              </w:rPr>
              <w:t>05/13/2020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0000FF"/>
              </w:rPr>
              <w:t>S</w:t>
            </w:r>
          </w:p>
        </w:tc>
        <w:tc>
          <w:tcPr>
            <w:tcW w:w="3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7"/>
                <w:szCs w:val="17"/>
                <w:color w:val="0000FF"/>
              </w:rPr>
              <w:t>19,230</w:t>
            </w:r>
          </w:p>
        </w:tc>
        <w:tc>
          <w:tcPr>
            <w:tcW w:w="420" w:type="dxa"/>
            <w:vAlign w:val="bottom"/>
          </w:tcPr>
          <w:p>
            <w:pPr>
              <w:ind w:left="100"/>
              <w:spacing w:after="0"/>
              <w:rPr>
                <w:sz w:val="20"/>
                <w:szCs w:val="20"/>
                <w:color w:val="auto"/>
              </w:rPr>
            </w:pPr>
            <w:r>
              <w:rPr>
                <w:rFonts w:ascii="Arial" w:cs="Arial" w:eastAsia="Arial" w:hAnsi="Arial"/>
                <w:sz w:val="17"/>
                <w:szCs w:val="17"/>
                <w:color w:val="0000FF"/>
              </w:rPr>
              <w:t>D</w:t>
            </w:r>
          </w:p>
        </w:tc>
        <w:tc>
          <w:tcPr>
            <w:tcW w:w="820" w:type="dxa"/>
            <w:vAlign w:val="bottom"/>
          </w:tcPr>
          <w:p>
            <w:pPr>
              <w:ind w:left="20"/>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37.8783</w:t>
            </w:r>
            <w:r>
              <w:rPr>
                <w:rFonts w:ascii="Arial" w:cs="Arial" w:eastAsia="Arial" w:hAnsi="Arial"/>
                <w:sz w:val="22"/>
                <w:szCs w:val="22"/>
                <w:color w:val="008000"/>
                <w:w w:val="87"/>
                <w:vertAlign w:val="superscript"/>
              </w:rPr>
              <w:t>(2)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ind w:right="214"/>
              <w:spacing w:after="0"/>
              <w:rPr>
                <w:sz w:val="20"/>
                <w:szCs w:val="20"/>
                <w:color w:val="auto"/>
              </w:rPr>
            </w:pPr>
            <w:r>
              <w:rPr>
                <w:rFonts w:ascii="Arial" w:cs="Arial" w:eastAsia="Arial" w:hAnsi="Arial"/>
                <w:sz w:val="17"/>
                <w:szCs w:val="17"/>
                <w:color w:val="0000FF"/>
                <w:w w:val="88"/>
              </w:rPr>
              <w:t>37,847</w:t>
            </w:r>
          </w:p>
        </w:tc>
        <w:tc>
          <w:tcPr>
            <w:tcW w:w="880" w:type="dxa"/>
            <w:vAlign w:val="bottom"/>
          </w:tcPr>
          <w:p>
            <w:pPr>
              <w:jc w:val="center"/>
              <w:ind w:right="34"/>
              <w:spacing w:after="0"/>
              <w:rPr>
                <w:sz w:val="20"/>
                <w:szCs w:val="20"/>
                <w:color w:val="auto"/>
              </w:rPr>
            </w:pPr>
            <w:r>
              <w:rPr>
                <w:rFonts w:ascii="Arial" w:cs="Arial" w:eastAsia="Arial" w:hAnsi="Arial"/>
                <w:sz w:val="17"/>
                <w:szCs w:val="17"/>
                <w:color w:val="0000FF"/>
              </w:rPr>
              <w:t>I</w:t>
            </w:r>
          </w:p>
        </w:tc>
        <w:tc>
          <w:tcPr>
            <w:tcW w:w="1680" w:type="dxa"/>
            <w:vAlign w:val="bottom"/>
            <w:gridSpan w:val="5"/>
          </w:tcPr>
          <w:p>
            <w:pPr>
              <w:spacing w:after="0"/>
              <w:rPr>
                <w:sz w:val="20"/>
                <w:szCs w:val="20"/>
                <w:color w:val="auto"/>
              </w:rPr>
            </w:pPr>
            <w:r>
              <w:rPr>
                <w:rFonts w:ascii="Arial" w:cs="Arial" w:eastAsia="Arial" w:hAnsi="Arial"/>
                <w:sz w:val="17"/>
                <w:szCs w:val="17"/>
                <w:color w:val="0000FF"/>
              </w:rPr>
              <w:t>Investeringsselskabet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w w:val="98"/>
              </w:rPr>
              <w:t>G.H. ApS</w:t>
            </w:r>
            <w:r>
              <w:rPr>
                <w:rFonts w:ascii="Arial" w:cs="Arial" w:eastAsia="Arial" w:hAnsi="Arial"/>
                <w:sz w:val="22"/>
                <w:szCs w:val="22"/>
                <w:color w:val="008000"/>
                <w:w w:val="98"/>
                <w:vertAlign w:val="superscript"/>
              </w:rPr>
              <w:t>(3)</w:t>
            </w: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05/14/2020</w:t>
            </w: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28,199</w:t>
            </w:r>
          </w:p>
        </w:tc>
        <w:tc>
          <w:tcPr>
            <w:tcW w:w="4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36.0251</w:t>
            </w:r>
            <w:r>
              <w:rPr>
                <w:rFonts w:ascii="Arial" w:cs="Arial" w:eastAsia="Arial" w:hAnsi="Arial"/>
                <w:sz w:val="22"/>
                <w:szCs w:val="22"/>
                <w:color w:val="008000"/>
                <w:w w:val="87"/>
                <w:vertAlign w:val="superscript"/>
              </w:rPr>
              <w:t>(4)</w:t>
            </w: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14"/>
              <w:spacing w:after="0"/>
              <w:rPr>
                <w:sz w:val="20"/>
                <w:szCs w:val="20"/>
                <w:color w:val="auto"/>
              </w:rPr>
            </w:pPr>
            <w:r>
              <w:rPr>
                <w:rFonts w:ascii="Arial" w:cs="Arial" w:eastAsia="Arial" w:hAnsi="Arial"/>
                <w:sz w:val="17"/>
                <w:szCs w:val="17"/>
                <w:color w:val="0000FF"/>
                <w:w w:val="94"/>
              </w:rPr>
              <w:t>257,077</w:t>
            </w:r>
          </w:p>
        </w:tc>
        <w:tc>
          <w:tcPr>
            <w:tcW w:w="880" w:type="dxa"/>
            <w:vAlign w:val="bottom"/>
            <w:tcBorders>
              <w:bottom w:val="single" w:sz="8" w:color="2C2C2C"/>
            </w:tcBorders>
          </w:tcPr>
          <w:p>
            <w:pPr>
              <w:jc w:val="center"/>
              <w:ind w:right="54"/>
              <w:spacing w:after="0"/>
              <w:rPr>
                <w:sz w:val="20"/>
                <w:szCs w:val="20"/>
                <w:color w:val="auto"/>
              </w:rPr>
            </w:pPr>
            <w:r>
              <w:rPr>
                <w:rFonts w:ascii="Arial" w:cs="Arial" w:eastAsia="Arial" w:hAnsi="Arial"/>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Arial" w:cs="Arial" w:eastAsia="Arial" w:hAnsi="Arial"/>
                <w:sz w:val="17"/>
                <w:szCs w:val="17"/>
                <w:color w:val="0000FF"/>
              </w:rPr>
              <w:t>05/14/2020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3"/>
                <w:szCs w:val="13"/>
                <w:color w:val="0000FF"/>
              </w:rPr>
              <w:t>S</w:t>
            </w:r>
          </w:p>
        </w:tc>
        <w:tc>
          <w:tcPr>
            <w:tcW w:w="3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7"/>
                <w:szCs w:val="17"/>
                <w:color w:val="0000FF"/>
              </w:rPr>
              <w:t>37,847</w:t>
            </w:r>
          </w:p>
        </w:tc>
        <w:tc>
          <w:tcPr>
            <w:tcW w:w="420" w:type="dxa"/>
            <w:vAlign w:val="bottom"/>
          </w:tcPr>
          <w:p>
            <w:pPr>
              <w:ind w:left="100"/>
              <w:spacing w:after="0"/>
              <w:rPr>
                <w:sz w:val="20"/>
                <w:szCs w:val="20"/>
                <w:color w:val="auto"/>
              </w:rPr>
            </w:pPr>
            <w:r>
              <w:rPr>
                <w:rFonts w:ascii="Arial" w:cs="Arial" w:eastAsia="Arial" w:hAnsi="Arial"/>
                <w:sz w:val="17"/>
                <w:szCs w:val="17"/>
                <w:color w:val="0000FF"/>
              </w:rPr>
              <w:t>D</w:t>
            </w:r>
          </w:p>
        </w:tc>
        <w:tc>
          <w:tcPr>
            <w:tcW w:w="820" w:type="dxa"/>
            <w:vAlign w:val="bottom"/>
          </w:tcPr>
          <w:p>
            <w:pPr>
              <w:ind w:left="20"/>
              <w:spacing w:after="0" w:line="213"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36.0275</w:t>
            </w:r>
            <w:r>
              <w:rPr>
                <w:rFonts w:ascii="Arial" w:cs="Arial" w:eastAsia="Arial" w:hAnsi="Arial"/>
                <w:sz w:val="22"/>
                <w:szCs w:val="22"/>
                <w:color w:val="008000"/>
                <w:w w:val="87"/>
                <w:vertAlign w:val="superscript"/>
              </w:rPr>
              <w:t>(5)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ind w:right="214"/>
              <w:spacing w:after="0"/>
              <w:rPr>
                <w:sz w:val="20"/>
                <w:szCs w:val="20"/>
                <w:color w:val="auto"/>
              </w:rPr>
            </w:pPr>
            <w:r>
              <w:rPr>
                <w:rFonts w:ascii="Arial" w:cs="Arial" w:eastAsia="Arial" w:hAnsi="Arial"/>
                <w:sz w:val="17"/>
                <w:szCs w:val="17"/>
                <w:color w:val="0000FF"/>
              </w:rPr>
              <w:t>0</w:t>
            </w:r>
          </w:p>
        </w:tc>
        <w:tc>
          <w:tcPr>
            <w:tcW w:w="880" w:type="dxa"/>
            <w:vAlign w:val="bottom"/>
          </w:tcPr>
          <w:p>
            <w:pPr>
              <w:jc w:val="center"/>
              <w:ind w:right="34"/>
              <w:spacing w:after="0"/>
              <w:rPr>
                <w:sz w:val="20"/>
                <w:szCs w:val="20"/>
                <w:color w:val="auto"/>
              </w:rPr>
            </w:pPr>
            <w:r>
              <w:rPr>
                <w:rFonts w:ascii="Arial" w:cs="Arial" w:eastAsia="Arial" w:hAnsi="Arial"/>
                <w:sz w:val="17"/>
                <w:szCs w:val="17"/>
                <w:color w:val="0000FF"/>
              </w:rPr>
              <w:t>I</w:t>
            </w:r>
          </w:p>
        </w:tc>
        <w:tc>
          <w:tcPr>
            <w:tcW w:w="1680" w:type="dxa"/>
            <w:vAlign w:val="bottom"/>
            <w:gridSpan w:val="5"/>
          </w:tcPr>
          <w:p>
            <w:pPr>
              <w:spacing w:after="0"/>
              <w:rPr>
                <w:sz w:val="20"/>
                <w:szCs w:val="20"/>
                <w:color w:val="auto"/>
              </w:rPr>
            </w:pPr>
            <w:r>
              <w:rPr>
                <w:rFonts w:ascii="Arial" w:cs="Arial" w:eastAsia="Arial" w:hAnsi="Arial"/>
                <w:sz w:val="17"/>
                <w:szCs w:val="17"/>
                <w:color w:val="0000FF"/>
              </w:rPr>
              <w:t>Investeringsselskabet</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w w:val="98"/>
              </w:rPr>
              <w:t>G.H. ApS</w:t>
            </w:r>
            <w:r>
              <w:rPr>
                <w:rFonts w:ascii="Arial" w:cs="Arial" w:eastAsia="Arial" w:hAnsi="Arial"/>
                <w:sz w:val="22"/>
                <w:szCs w:val="22"/>
                <w:color w:val="008000"/>
                <w:w w:val="98"/>
                <w:vertAlign w:val="superscript"/>
              </w:rPr>
              <w:t>(3)</w:t>
            </w: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60" w:type="dxa"/>
            <w:vAlign w:val="bottom"/>
            <w:gridSpan w:val="14"/>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3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3A.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230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   7. Title and</w:t>
            </w:r>
          </w:p>
        </w:tc>
        <w:tc>
          <w:tcPr>
            <w:tcW w:w="2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gridSpan w:val="5"/>
          </w:tcPr>
          <w:p>
            <w:pPr>
              <w:ind w:left="440"/>
              <w:spacing w:after="0" w:line="133" w:lineRule="exact"/>
              <w:rPr>
                <w:sz w:val="20"/>
                <w:szCs w:val="20"/>
                <w:color w:val="auto"/>
              </w:rPr>
            </w:pPr>
            <w:r>
              <w:rPr>
                <w:rFonts w:ascii="Arial" w:cs="Arial" w:eastAsia="Arial" w:hAnsi="Arial"/>
                <w:sz w:val="12"/>
                <w:szCs w:val="12"/>
                <w:b w:val="1"/>
                <w:bCs w:val="1"/>
                <w:color w:val="auto"/>
              </w:rPr>
              <w:t>Security (Instr.</w:t>
            </w: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820" w:type="dxa"/>
            <w:vAlign w:val="bottom"/>
          </w:tcPr>
          <w:p>
            <w:pPr>
              <w:ind w:left="440"/>
              <w:spacing w:after="0"/>
              <w:rPr>
                <w:sz w:val="20"/>
                <w:szCs w:val="20"/>
                <w:color w:val="auto"/>
              </w:rPr>
            </w:pPr>
            <w:r>
              <w:rPr>
                <w:rFonts w:ascii="Arial" w:cs="Arial" w:eastAsia="Arial" w:hAnsi="Arial"/>
                <w:sz w:val="12"/>
                <w:szCs w:val="12"/>
                <w:b w:val="1"/>
                <w:bCs w:val="1"/>
                <w:color w:val="auto"/>
              </w:rPr>
              <w:t>Title</w:t>
            </w: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-4159885</wp:posOffset>
            </wp:positionV>
            <wp:extent cx="7031355" cy="4205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0560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$39.13 to $37.50.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$39.13 to $37.50.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Investeringsselskabet G.H. ApS is Reporting Person's personal holding company of which Reporting Person is the sole owner and as such has the sole voting and dispositive power with respect to such shares.</w:t>
      </w:r>
    </w:p>
    <w:p>
      <w:pPr>
        <w:spacing w:after="0" w:line="15"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$36.10 to $36.02.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18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$36.34 to $36.02.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Bo Kruse</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05/15/2020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2940" TargetMode="External"/><Relationship Id="rId14"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2020-05-15T15:22:29Z</dcterms:created>
  <dcterms:modified xsi:type="dcterms:W3CDTF">2020-05-15T15:22:29Z</dcterms:modified>
</cp:coreProperties>
</file>