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57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80" w:hanging="57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80" w:hanging="575"/>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1" w:name="page2"/>
    <w:bookmarkEnd w:id="1"/>
    <w:p>
      <w:pPr>
        <w:ind w:left="100"/>
        <w:spacing w:after="0"/>
        <w:rPr>
          <w:sz w:val="20"/>
          <w:szCs w:val="20"/>
          <w:color w:val="auto"/>
        </w:rPr>
      </w:pPr>
      <w:r>
        <w:rPr>
          <w:rFonts w:ascii="Times New Roman" w:cs="Times New Roman" w:eastAsia="Times New Roman" w:hAnsi="Times New Roman"/>
          <w:sz w:val="18"/>
          <w:szCs w:val="18"/>
          <w:color w:val="auto"/>
        </w:rPr>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780" w:right="8400" w:hanging="571"/>
        <w:spacing w:after="0" w:line="281"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WG Biotech ApS</w:t>
      </w:r>
    </w:p>
    <w:p>
      <w:pPr>
        <w:spacing w:after="0" w:line="14" w:lineRule="exact"/>
        <w:rPr>
          <w:rFonts w:ascii="Times New Roman" w:cs="Times New Roman" w:eastAsia="Times New Roman" w:hAnsi="Times New Roman"/>
          <w:sz w:val="18"/>
          <w:szCs w:val="18"/>
          <w:color w:val="auto"/>
        </w:rPr>
      </w:pPr>
    </w:p>
    <w:p>
      <w:pPr>
        <w:ind w:left="780" w:hanging="571"/>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340" w:hanging="560"/>
        <w:spacing w:after="0" w:line="207" w:lineRule="exact"/>
        <w:tabs>
          <w:tab w:leader="none" w:pos="134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4" w:lineRule="exact"/>
        <w:rPr>
          <w:rFonts w:ascii="Times New Roman" w:cs="Times New Roman" w:eastAsia="Times New Roman" w:hAnsi="Times New Roman"/>
          <w:sz w:val="18"/>
          <w:szCs w:val="18"/>
          <w:color w:val="auto"/>
        </w:rPr>
      </w:pPr>
    </w:p>
    <w:p>
      <w:pPr>
        <w:ind w:left="1340" w:hanging="560"/>
        <w:spacing w:after="0" w:line="207" w:lineRule="exact"/>
        <w:tabs>
          <w:tab w:leader="none" w:pos="134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43" w:lineRule="exact"/>
        <w:rPr>
          <w:rFonts w:ascii="Times New Roman" w:cs="Times New Roman" w:eastAsia="Times New Roman" w:hAnsi="Times New Roman"/>
          <w:sz w:val="18"/>
          <w:szCs w:val="18"/>
          <w:color w:val="auto"/>
        </w:rPr>
      </w:pPr>
    </w:p>
    <w:p>
      <w:pPr>
        <w:ind w:left="780" w:hanging="571"/>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6" w:lineRule="exact"/>
        <w:rPr>
          <w:rFonts w:ascii="Times New Roman" w:cs="Times New Roman" w:eastAsia="Times New Roman" w:hAnsi="Times New Roman"/>
          <w:sz w:val="18"/>
          <w:szCs w:val="18"/>
          <w:color w:val="auto"/>
        </w:rPr>
      </w:pPr>
    </w:p>
    <w:p>
      <w:pPr>
        <w:ind w:left="780" w:right="7840" w:hanging="571"/>
        <w:spacing w:after="0" w:line="28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-5080</wp:posOffset>
            </wp:positionV>
            <wp:extent cx="6703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-322580</wp:posOffset>
            </wp:positionV>
            <wp:extent cx="6703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-494030</wp:posOffset>
            </wp:positionV>
            <wp:extent cx="63436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-982345</wp:posOffset>
            </wp:positionV>
            <wp:extent cx="6703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1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1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920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4,559,233 shares</w:t>
            </w:r>
          </w:p>
        </w:tc>
        <w:tc>
          <w:tcPr>
            <w:tcW w:w="0" w:type="dxa"/>
            <w:vAlign w:val="bottom"/>
          </w:tcPr>
          <w:p>
            <w:pPr>
              <w:spacing w:after="0"/>
              <w:rPr>
                <w:sz w:val="1"/>
                <w:szCs w:val="1"/>
                <w:color w:val="auto"/>
              </w:rPr>
            </w:pPr>
          </w:p>
        </w:tc>
      </w:tr>
      <w:tr>
        <w:trPr>
          <w:trHeight w:val="5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80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800" w:type="dxa"/>
            <w:vAlign w:val="bottom"/>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40" w:type="dxa"/>
            <w:vAlign w:val="bottom"/>
            <w:vMerge w:val="continue"/>
          </w:tcPr>
          <w:p>
            <w:pPr>
              <w:spacing w:after="0"/>
              <w:rPr>
                <w:sz w:val="2"/>
                <w:szCs w:val="2"/>
                <w:color w:val="auto"/>
              </w:rPr>
            </w:pPr>
          </w:p>
        </w:tc>
        <w:tc>
          <w:tcPr>
            <w:tcW w:w="8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80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4,559,233 shares</w:t>
            </w:r>
          </w:p>
        </w:tc>
        <w:tc>
          <w:tcPr>
            <w:tcW w:w="0" w:type="dxa"/>
            <w:vAlign w:val="bottom"/>
          </w:tcPr>
          <w:p>
            <w:pPr>
              <w:spacing w:after="0"/>
              <w:rPr>
                <w:sz w:val="1"/>
                <w:szCs w:val="1"/>
                <w:color w:val="auto"/>
              </w:rPr>
            </w:pPr>
          </w:p>
        </w:tc>
      </w:tr>
      <w:tr>
        <w:trPr>
          <w:trHeight w:val="16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80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40" w:type="dxa"/>
            <w:vAlign w:val="bottom"/>
            <w:vMerge w:val="continue"/>
          </w:tcPr>
          <w:p>
            <w:pPr>
              <w:spacing w:after="0"/>
              <w:rPr>
                <w:sz w:val="2"/>
                <w:szCs w:val="2"/>
                <w:color w:val="auto"/>
              </w:rPr>
            </w:pPr>
          </w:p>
        </w:tc>
        <w:tc>
          <w:tcPr>
            <w:tcW w:w="8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800" w:type="dxa"/>
            <w:vAlign w:val="bottom"/>
            <w:vMerge w:val="continue"/>
          </w:tcPr>
          <w:p>
            <w:pPr>
              <w:spacing w:after="0"/>
              <w:rPr>
                <w:sz w:val="18"/>
                <w:szCs w:val="18"/>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17145</wp:posOffset>
            </wp:positionV>
            <wp:extent cx="5846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6" w:lineRule="exact"/>
        <w:rPr>
          <w:sz w:val="20"/>
          <w:szCs w:val="20"/>
          <w:color w:val="auto"/>
        </w:rPr>
      </w:pPr>
    </w:p>
    <w:p>
      <w:pPr>
        <w:ind w:left="780" w:right="5660" w:hanging="571"/>
        <w:spacing w:after="0" w:line="266"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4,559,233 shares</w:t>
      </w:r>
    </w:p>
    <w:p>
      <w:pPr>
        <w:ind w:left="200"/>
        <w:spacing w:after="0" w:line="207" w:lineRule="exact"/>
        <w:tabs>
          <w:tab w:leader="none" w:pos="760" w:val="left"/>
          <w:tab w:leader="none" w:pos="72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60325</wp:posOffset>
            </wp:positionV>
            <wp:extent cx="6703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-118745</wp:posOffset>
            </wp:positionV>
            <wp:extent cx="6703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97" w:lineRule="exact"/>
        <w:rPr>
          <w:sz w:val="20"/>
          <w:szCs w:val="20"/>
          <w:color w:val="auto"/>
        </w:rPr>
      </w:pPr>
    </w:p>
    <w:p>
      <w:pPr>
        <w:ind w:left="780" w:hanging="571"/>
        <w:spacing w:after="0"/>
        <w:tabs>
          <w:tab w:leader="none" w:pos="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(1)</w:t>
      </w:r>
    </w:p>
    <w:p>
      <w:pPr>
        <w:spacing w:after="0" w:line="58" w:lineRule="exact"/>
        <w:rPr>
          <w:rFonts w:ascii="Times New Roman" w:cs="Times New Roman" w:eastAsia="Times New Roman" w:hAnsi="Times New Roman"/>
          <w:sz w:val="18"/>
          <w:szCs w:val="18"/>
          <w:color w:val="auto"/>
        </w:rPr>
      </w:pPr>
    </w:p>
    <w:p>
      <w:pPr>
        <w:ind w:left="780" w:hanging="571"/>
        <w:spacing w:after="0"/>
        <w:tabs>
          <w:tab w:leader="none" w:pos="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6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is based on 43,673,112 shares of Common Stock of the Issuer outstanding as of December 31, 2023, as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-273685</wp:posOffset>
            </wp:positionV>
            <wp:extent cx="6703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-590550</wp:posOffset>
            </wp:positionV>
            <wp:extent cx="6703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left="100"/>
        <w:spacing w:after="0"/>
        <w:rPr>
          <w:sz w:val="20"/>
          <w:szCs w:val="20"/>
          <w:color w:val="auto"/>
        </w:rPr>
      </w:pPr>
      <w:r>
        <w:rPr>
          <w:rFonts w:ascii="Times New Roman" w:cs="Times New Roman" w:eastAsia="Times New Roman" w:hAnsi="Times New Roman"/>
          <w:sz w:val="18"/>
          <w:szCs w:val="18"/>
          <w:color w:val="auto"/>
        </w:rPr>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780" w:right="8400" w:hanging="571"/>
        <w:spacing w:after="0" w:line="298" w:lineRule="auto"/>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Johan Wedell-Wedellsborg</w:t>
      </w:r>
    </w:p>
    <w:p>
      <w:pPr>
        <w:spacing w:after="0" w:line="14" w:lineRule="exact"/>
        <w:rPr>
          <w:rFonts w:ascii="Times New Roman" w:cs="Times New Roman" w:eastAsia="Times New Roman" w:hAnsi="Times New Roman"/>
          <w:sz w:val="17"/>
          <w:szCs w:val="17"/>
          <w:color w:val="auto"/>
        </w:rPr>
      </w:pPr>
    </w:p>
    <w:p>
      <w:pPr>
        <w:ind w:left="780" w:hanging="571"/>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340" w:hanging="560"/>
        <w:spacing w:after="0" w:line="207" w:lineRule="exact"/>
        <w:tabs>
          <w:tab w:leader="none" w:pos="134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4" w:lineRule="exact"/>
        <w:rPr>
          <w:rFonts w:ascii="Times New Roman" w:cs="Times New Roman" w:eastAsia="Times New Roman" w:hAnsi="Times New Roman"/>
          <w:sz w:val="18"/>
          <w:szCs w:val="18"/>
          <w:color w:val="auto"/>
        </w:rPr>
      </w:pPr>
    </w:p>
    <w:p>
      <w:pPr>
        <w:ind w:left="1340" w:hanging="560"/>
        <w:spacing w:after="0" w:line="207" w:lineRule="exact"/>
        <w:tabs>
          <w:tab w:leader="none" w:pos="134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43" w:lineRule="exact"/>
        <w:rPr>
          <w:rFonts w:ascii="Times New Roman" w:cs="Times New Roman" w:eastAsia="Times New Roman" w:hAnsi="Times New Roman"/>
          <w:sz w:val="18"/>
          <w:szCs w:val="18"/>
          <w:color w:val="auto"/>
        </w:rPr>
      </w:pPr>
    </w:p>
    <w:p>
      <w:pPr>
        <w:ind w:left="780" w:hanging="571"/>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6" w:lineRule="exact"/>
        <w:rPr>
          <w:rFonts w:ascii="Times New Roman" w:cs="Times New Roman" w:eastAsia="Times New Roman" w:hAnsi="Times New Roman"/>
          <w:sz w:val="18"/>
          <w:szCs w:val="18"/>
          <w:color w:val="auto"/>
        </w:rPr>
      </w:pPr>
    </w:p>
    <w:p>
      <w:pPr>
        <w:ind w:left="780" w:right="7840" w:hanging="571"/>
        <w:spacing w:after="0" w:line="282"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-5080</wp:posOffset>
            </wp:positionV>
            <wp:extent cx="6703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-322580</wp:posOffset>
            </wp:positionV>
            <wp:extent cx="6703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-494030</wp:posOffset>
            </wp:positionV>
            <wp:extent cx="63436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-982345</wp:posOffset>
            </wp:positionV>
            <wp:extent cx="6703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1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1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920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4,700,533 shares (1)</w:t>
            </w:r>
          </w:p>
        </w:tc>
        <w:tc>
          <w:tcPr>
            <w:tcW w:w="0" w:type="dxa"/>
            <w:vAlign w:val="bottom"/>
          </w:tcPr>
          <w:p>
            <w:pPr>
              <w:spacing w:after="0"/>
              <w:rPr>
                <w:sz w:val="1"/>
                <w:szCs w:val="1"/>
                <w:color w:val="auto"/>
              </w:rPr>
            </w:pPr>
          </w:p>
        </w:tc>
      </w:tr>
      <w:tr>
        <w:trPr>
          <w:trHeight w:val="5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80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800" w:type="dxa"/>
            <w:vAlign w:val="bottom"/>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40" w:type="dxa"/>
            <w:vAlign w:val="bottom"/>
            <w:vMerge w:val="continue"/>
          </w:tcPr>
          <w:p>
            <w:pPr>
              <w:spacing w:after="0"/>
              <w:rPr>
                <w:sz w:val="2"/>
                <w:szCs w:val="2"/>
                <w:color w:val="auto"/>
              </w:rPr>
            </w:pPr>
          </w:p>
        </w:tc>
        <w:tc>
          <w:tcPr>
            <w:tcW w:w="8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80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4,700,533 shares (1)</w:t>
            </w:r>
          </w:p>
        </w:tc>
        <w:tc>
          <w:tcPr>
            <w:tcW w:w="0" w:type="dxa"/>
            <w:vAlign w:val="bottom"/>
          </w:tcPr>
          <w:p>
            <w:pPr>
              <w:spacing w:after="0"/>
              <w:rPr>
                <w:sz w:val="1"/>
                <w:szCs w:val="1"/>
                <w:color w:val="auto"/>
              </w:rPr>
            </w:pPr>
          </w:p>
        </w:tc>
      </w:tr>
      <w:tr>
        <w:trPr>
          <w:trHeight w:val="16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80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40" w:type="dxa"/>
            <w:vAlign w:val="bottom"/>
            <w:vMerge w:val="continue"/>
          </w:tcPr>
          <w:p>
            <w:pPr>
              <w:spacing w:after="0"/>
              <w:rPr>
                <w:sz w:val="2"/>
                <w:szCs w:val="2"/>
                <w:color w:val="auto"/>
              </w:rPr>
            </w:pPr>
          </w:p>
        </w:tc>
        <w:tc>
          <w:tcPr>
            <w:tcW w:w="8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800" w:type="dxa"/>
            <w:vAlign w:val="bottom"/>
            <w:vMerge w:val="continue"/>
          </w:tcPr>
          <w:p>
            <w:pPr>
              <w:spacing w:after="0"/>
              <w:rPr>
                <w:sz w:val="18"/>
                <w:szCs w:val="18"/>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17145</wp:posOffset>
            </wp:positionV>
            <wp:extent cx="5846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6" w:lineRule="exact"/>
        <w:rPr>
          <w:sz w:val="20"/>
          <w:szCs w:val="20"/>
          <w:color w:val="auto"/>
        </w:rPr>
      </w:pPr>
    </w:p>
    <w:p>
      <w:pPr>
        <w:ind w:left="780" w:right="5660" w:hanging="571"/>
        <w:spacing w:after="0" w:line="266"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4,700,533 shares (1)</w:t>
      </w:r>
    </w:p>
    <w:p>
      <w:pPr>
        <w:ind w:left="200"/>
        <w:spacing w:after="0" w:line="207" w:lineRule="exact"/>
        <w:tabs>
          <w:tab w:leader="none" w:pos="760" w:val="left"/>
          <w:tab w:leader="none" w:pos="72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60325</wp:posOffset>
            </wp:positionV>
            <wp:extent cx="6703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-118745</wp:posOffset>
            </wp:positionV>
            <wp:extent cx="6703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97" w:lineRule="exact"/>
        <w:rPr>
          <w:sz w:val="20"/>
          <w:szCs w:val="20"/>
          <w:color w:val="auto"/>
        </w:rPr>
      </w:pPr>
    </w:p>
    <w:p>
      <w:pPr>
        <w:ind w:left="780" w:hanging="571"/>
        <w:spacing w:after="0"/>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(2)</w:t>
      </w:r>
    </w:p>
    <w:p>
      <w:pPr>
        <w:spacing w:after="0" w:line="58" w:lineRule="exact"/>
        <w:rPr>
          <w:rFonts w:ascii="Times New Roman" w:cs="Times New Roman" w:eastAsia="Times New Roman" w:hAnsi="Times New Roman"/>
          <w:sz w:val="18"/>
          <w:szCs w:val="18"/>
          <w:color w:val="auto"/>
        </w:rPr>
      </w:pPr>
    </w:p>
    <w:p>
      <w:pPr>
        <w:ind w:left="780" w:hanging="571"/>
        <w:spacing w:after="0"/>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6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Johan Wedell-Wedellsborg directly owns 141,330 shares of Common Stock issuable to Mr. Wedell-Wedellsborg upon exercise of stock options exercisable within 60 days after December 31, 2023. In addition, Mr. Wedell-Wedellsborg may be deemed to beneficially own the 4,559,233 shares of Common Stock directly owned by WG Biotech ApS, of which entity Mr. Wedell-Wedellsborg is the majority owner.</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is based on dividing (a) the aggregate number of shares of Common Stock with respect to which Mr. Wedell-Wedellsborg may be deemed to beneficially own as of December 31, 2023, as set forth in Row 9 by (b) the sum of (i) 43,672,112 shares of Common Stock of the Issuer outstanding as of December 31, 2023, as provided by the Issuer, and (ii) 141,300 shares of Common Stock issuable to Mr. Wedell-Wedellsborg upon exercise of stock options exercisable within 60 days after December 31, 2023 which are deemed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-1279525</wp:posOffset>
            </wp:positionV>
            <wp:extent cx="6703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-1597025</wp:posOffset>
            </wp:positionV>
            <wp:extent cx="6703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392"/>
        </w:trPr>
        <w:tc>
          <w:tcPr>
            <w:tcW w:w="1040" w:type="dxa"/>
            <w:vAlign w:val="bottom"/>
          </w:tcPr>
          <w:p>
            <w:pPr>
              <w:spacing w:after="0"/>
              <w:rPr>
                <w:sz w:val="24"/>
                <w:szCs w:val="24"/>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Y-mAbs Therapeutics, Inc., a Delaware corporation (the “Issuer”)</w:t>
            </w: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44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420" w:type="dxa"/>
            <w:vAlign w:val="bottom"/>
            <w:tcBorders>
              <w:top w:val="single" w:sz="8" w:color="auto"/>
            </w:tcBorders>
            <w:gridSpan w:val="2"/>
          </w:tcPr>
          <w:p>
            <w:pPr>
              <w:spacing w:after="0"/>
              <w:rPr>
                <w:sz w:val="24"/>
                <w:szCs w:val="24"/>
                <w:color w:val="auto"/>
              </w:rPr>
            </w:pPr>
          </w:p>
        </w:tc>
        <w:tc>
          <w:tcPr>
            <w:tcW w:w="5340" w:type="dxa"/>
            <w:vAlign w:val="bottom"/>
            <w:gridSpan w:val="3"/>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230 Park Avenue, Suite 3350</w:t>
            </w:r>
          </w:p>
        </w:tc>
      </w:tr>
      <w:tr>
        <w:trPr>
          <w:trHeight w:val="234"/>
        </w:trPr>
        <w:tc>
          <w:tcPr>
            <w:tcW w:w="1040" w:type="dxa"/>
            <w:vAlign w:val="bottom"/>
          </w:tcPr>
          <w:p>
            <w:pPr>
              <w:spacing w:after="0"/>
              <w:rPr>
                <w:sz w:val="20"/>
                <w:szCs w:val="20"/>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New York, New York 10169</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2(a)</w:t>
            </w: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Reporting Persons filing:</w:t>
            </w:r>
          </w:p>
        </w:tc>
      </w:tr>
      <w:tr>
        <w:trPr>
          <w:trHeight w:val="391"/>
        </w:trPr>
        <w:tc>
          <w:tcPr>
            <w:tcW w:w="1040" w:type="dxa"/>
            <w:vAlign w:val="bottom"/>
          </w:tcPr>
          <w:p>
            <w:pPr>
              <w:spacing w:after="0"/>
              <w:rPr>
                <w:sz w:val="24"/>
                <w:szCs w:val="24"/>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This statement is filed by the following reporting persons (collectively referred to as the “Reporting Persons”):</w:t>
            </w:r>
          </w:p>
        </w:tc>
      </w:tr>
      <w:tr>
        <w:trPr>
          <w:trHeight w:val="434"/>
        </w:trPr>
        <w:tc>
          <w:tcPr>
            <w:tcW w:w="1040" w:type="dxa"/>
            <w:vAlign w:val="bottom"/>
          </w:tcPr>
          <w:p>
            <w:pPr>
              <w:spacing w:after="0"/>
              <w:rPr>
                <w:sz w:val="24"/>
                <w:szCs w:val="24"/>
                <w:color w:val="auto"/>
              </w:rPr>
            </w:pPr>
          </w:p>
        </w:tc>
        <w:tc>
          <w:tcPr>
            <w:tcW w:w="672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WG Biotech ApS</w:t>
            </w:r>
          </w:p>
        </w:tc>
        <w:tc>
          <w:tcPr>
            <w:tcW w:w="132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Johan Wedell-Wedellsborg</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or principal business office or, if none, residence:</w:t>
            </w:r>
          </w:p>
        </w:tc>
      </w:tr>
      <w:tr>
        <w:trPr>
          <w:trHeight w:val="414"/>
        </w:trPr>
        <w:tc>
          <w:tcPr>
            <w:tcW w:w="1040" w:type="dxa"/>
            <w:vAlign w:val="bottom"/>
          </w:tcPr>
          <w:p>
            <w:pPr>
              <w:spacing w:after="0"/>
              <w:rPr>
                <w:sz w:val="24"/>
                <w:szCs w:val="24"/>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The address of the principal business office of the Reporting Persons is c/o WG Biotech ApS, Rungsted Strandvej 113, Rungsted Kyst,</w:t>
            </w:r>
          </w:p>
        </w:tc>
      </w:tr>
      <w:tr>
        <w:trPr>
          <w:trHeight w:val="234"/>
        </w:trPr>
        <w:tc>
          <w:tcPr>
            <w:tcW w:w="1040" w:type="dxa"/>
            <w:vAlign w:val="bottom"/>
          </w:tcPr>
          <w:p>
            <w:pPr>
              <w:spacing w:after="0"/>
              <w:rPr>
                <w:sz w:val="20"/>
                <w:szCs w:val="20"/>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G7, 2960.</w:t>
            </w:r>
          </w:p>
        </w:tc>
        <w:tc>
          <w:tcPr>
            <w:tcW w:w="2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32"/>
        </w:trPr>
        <w:tc>
          <w:tcPr>
            <w:tcW w:w="1040" w:type="dxa"/>
            <w:vAlign w:val="bottom"/>
          </w:tcPr>
          <w:p>
            <w:pPr>
              <w:spacing w:after="0"/>
              <w:rPr>
                <w:sz w:val="24"/>
                <w:szCs w:val="24"/>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The citizenship of each of the Reporting Persons is Denmark.</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391"/>
        </w:trPr>
        <w:tc>
          <w:tcPr>
            <w:tcW w:w="1040" w:type="dxa"/>
            <w:vAlign w:val="bottom"/>
          </w:tcPr>
          <w:p>
            <w:pPr>
              <w:spacing w:after="0"/>
              <w:rPr>
                <w:sz w:val="24"/>
                <w:szCs w:val="24"/>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per share (“Common Stock”)</w:t>
            </w: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36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120" w:type="dxa"/>
            <w:vAlign w:val="bottom"/>
            <w:tcBorders>
              <w:top w:val="single" w:sz="8" w:color="auto"/>
            </w:tcBorders>
            <w:gridSpan w:val="2"/>
          </w:tcPr>
          <w:p>
            <w:pPr>
              <w:spacing w:after="0"/>
              <w:rPr>
                <w:sz w:val="24"/>
                <w:szCs w:val="24"/>
                <w:color w:val="auto"/>
              </w:rPr>
            </w:pPr>
          </w:p>
        </w:tc>
        <w:tc>
          <w:tcPr>
            <w:tcW w:w="5420" w:type="dxa"/>
            <w:vAlign w:val="bottom"/>
            <w:gridSpan w:val="4"/>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3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984241109</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r>
        <w:trPr>
          <w:trHeight w:val="432"/>
        </w:trPr>
        <w:tc>
          <w:tcPr>
            <w:tcW w:w="1040" w:type="dxa"/>
            <w:vAlign w:val="bottom"/>
          </w:tcPr>
          <w:p>
            <w:pPr>
              <w:spacing w:after="0"/>
              <w:rPr>
                <w:sz w:val="24"/>
                <w:szCs w:val="24"/>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This statement is not filed pursuant to §§240.13d-1(b) or 240.13d-2(b) or (c).</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14"/>
        </w:trPr>
        <w:tc>
          <w:tcPr>
            <w:tcW w:w="1040" w:type="dxa"/>
            <w:vAlign w:val="bottom"/>
          </w:tcPr>
          <w:p>
            <w:pPr>
              <w:spacing w:after="0"/>
              <w:rPr>
                <w:sz w:val="24"/>
                <w:szCs w:val="24"/>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w w:val="99"/>
              </w:rPr>
              <w:t>The information contained in Rows 5 through 9 and 11 on each of the cover pages of this Schedule 13G is incorporated by reference in its</w:t>
            </w:r>
          </w:p>
        </w:tc>
      </w:tr>
      <w:tr>
        <w:trPr>
          <w:trHeight w:val="234"/>
        </w:trPr>
        <w:tc>
          <w:tcPr>
            <w:tcW w:w="1040" w:type="dxa"/>
            <w:vAlign w:val="bottom"/>
          </w:tcPr>
          <w:p>
            <w:pPr>
              <w:spacing w:after="0"/>
              <w:rPr>
                <w:sz w:val="20"/>
                <w:szCs w:val="20"/>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entirety into this Item 4.</w:t>
            </w:r>
          </w:p>
        </w:tc>
      </w:tr>
      <w:tr>
        <w:trPr>
          <w:trHeight w:val="432"/>
        </w:trPr>
        <w:tc>
          <w:tcPr>
            <w:tcW w:w="10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r>
      <w:tr>
        <w:trPr>
          <w:trHeight w:val="432"/>
        </w:trPr>
        <w:tc>
          <w:tcPr>
            <w:tcW w:w="1040" w:type="dxa"/>
            <w:vAlign w:val="bottom"/>
          </w:tcPr>
          <w:p>
            <w:pPr>
              <w:spacing w:after="0"/>
              <w:rPr>
                <w:sz w:val="24"/>
                <w:szCs w:val="24"/>
                <w:color w:val="auto"/>
              </w:rPr>
            </w:pPr>
          </w:p>
        </w:tc>
        <w:tc>
          <w:tcPr>
            <w:tcW w:w="1020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As of December 31, 2023, WG Biotech ApS directly held 4,559,233 shares of Common Stock, representing approximately 10.4% of the</w:t>
            </w:r>
          </w:p>
        </w:tc>
      </w:tr>
    </w:tbl>
    <w:p>
      <w:pPr>
        <w:ind w:left="1300" w:right="240"/>
        <w:spacing w:after="0" w:line="260" w:lineRule="auto"/>
        <w:rPr>
          <w:sz w:val="20"/>
          <w:szCs w:val="20"/>
          <w:color w:val="auto"/>
        </w:rPr>
      </w:pPr>
      <w:r>
        <w:rPr>
          <w:rFonts w:ascii="Times New Roman" w:cs="Times New Roman" w:eastAsia="Times New Roman" w:hAnsi="Times New Roman"/>
          <w:sz w:val="18"/>
          <w:szCs w:val="18"/>
          <w:color w:val="auto"/>
        </w:rPr>
        <w:t>outstanding shares of Common Stock. This percentage of beneficial ownership is based on 43,672,112 shares of Common Stock of the Issuer outstanding as of December 31, 2023, as provided by the Issuer.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300" w:right="20"/>
        <w:spacing w:after="0" w:line="253" w:lineRule="auto"/>
        <w:rPr>
          <w:sz w:val="20"/>
          <w:szCs w:val="20"/>
          <w:color w:val="auto"/>
        </w:rPr>
      </w:pPr>
      <w:r>
        <w:rPr>
          <w:rFonts w:ascii="Times New Roman" w:cs="Times New Roman" w:eastAsia="Times New Roman" w:hAnsi="Times New Roman"/>
          <w:sz w:val="18"/>
          <w:szCs w:val="18"/>
          <w:color w:val="auto"/>
        </w:rPr>
        <w:t>As of December 31, 2023, Mr. Wedell-Wedellsborg directly held 141,300 shares of Common Stock issuable to Mr. Wedell-Wedellsborg upon exercise of stock options exercisable within 60 days after December 31, 2023. In addition, Mr. Wedell-Wedellsborg may be deemed to beneficially own the 4,559,233 shares of Common Stock directly owned by WG Biotech ApS, of which entity Mr. Wedell-Wedellsborg is the majority owner. The aggregate of 4,700,533 shares of Common Stock that Mr. Wedell-Wedellsborg may be deemed to beneficially own represents approximately 10.7% of the outstanding shares of Common Stock. This percentage of beneficial ownership is based on dividing (a) the aggregate 4,700,533 shares of Common Stock that Mr. Wedell-Wedellsborg may be deemed to beneficially own as of December 31, 2023, by (b) the sum of (i) 43,672,112 shares of Common Stock outstanding as of December 31, 2023, as provided by the Issuer, and (ii) 141,300 shares of Common Stock issuable to Mr. Wedell-Wedellsborg upon exercise of stock options exercisable within 60 days after December 31, 2023 which are deemed outstanding for purposes of this calculation. Mr. Wedell-Wedellsborg disclaims beneficial ownership over the shares held by WG Biotech ApS for purposes of Section 13(d) of the Securities Exchange Act of 1934,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this Schedule 13G shall not be deemed an admission that Mr. Wedell-Wedellsborg is the beneficial owner of such shares for Section 13(d) of the Act or any other purpose.</w:t>
      </w:r>
    </w:p>
    <w:p>
      <w:pPr>
        <w:spacing w:after="0" w:line="186" w:lineRule="exact"/>
        <w:rPr>
          <w:sz w:val="20"/>
          <w:szCs w:val="20"/>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responses to Item 11 on each cover page and Item 4(a)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w:t>
            </w:r>
          </w:p>
        </w:tc>
        <w:tc>
          <w:tcPr>
            <w:tcW w:w="9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shares as to which the Reporting Person has:</w:t>
            </w: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Sole power to vote or to direct the vote:</w:t>
            </w: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response to Item 5 on each cover page.</w:t>
            </w: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(ii)</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Shared power to vote or to direct the vote:</w:t>
            </w: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response to Item 6 on each cover page.</w:t>
            </w: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(iii)</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Sole power to dispose or to direct the disposition of:</w:t>
            </w: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response to Item 7 on each cover page.</w:t>
            </w: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(iv)</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Shared power to dispose or to direct the disposition of:</w:t>
            </w: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response to Item 8 on each cover page.</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32"/>
        </w:trPr>
        <w:tc>
          <w:tcPr>
            <w:tcW w:w="94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c>
          <w:tcPr>
            <w:tcW w:w="87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4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c>
          <w:tcPr>
            <w:tcW w:w="8740" w:type="dxa"/>
            <w:vAlign w:val="bottom"/>
          </w:tcPr>
          <w:p>
            <w:pPr>
              <w:spacing w:after="0"/>
              <w:rPr>
                <w:sz w:val="24"/>
                <w:szCs w:val="24"/>
                <w:color w:val="auto"/>
              </w:rPr>
            </w:pPr>
          </w:p>
        </w:tc>
      </w:tr>
      <w:tr>
        <w:trPr>
          <w:trHeight w:val="41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40" w:type="dxa"/>
            <w:vAlign w:val="bottom"/>
          </w:tcPr>
          <w:p>
            <w:pPr>
              <w:spacing w:after="0"/>
              <w:rPr>
                <w:sz w:val="20"/>
                <w:szCs w:val="20"/>
                <w:color w:val="auto"/>
              </w:rPr>
            </w:pPr>
          </w:p>
        </w:tc>
        <w:tc>
          <w:tcPr>
            <w:tcW w:w="103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432"/>
        </w:trPr>
        <w:tc>
          <w:tcPr>
            <w:tcW w:w="94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c>
          <w:tcPr>
            <w:tcW w:w="87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4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c>
          <w:tcPr>
            <w:tcW w:w="87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4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c>
          <w:tcPr>
            <w:tcW w:w="87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874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c>
          <w:tcPr>
            <w:tcW w:w="8740" w:type="dxa"/>
            <w:vAlign w:val="bottom"/>
          </w:tcPr>
          <w:p>
            <w:pPr>
              <w:spacing w:after="0"/>
              <w:rPr>
                <w:sz w:val="24"/>
                <w:szCs w:val="24"/>
                <w:color w:val="auto"/>
              </w:rPr>
            </w:pPr>
          </w:p>
        </w:tc>
      </w:tr>
      <w:tr>
        <w:trPr>
          <w:trHeight w:val="648"/>
        </w:trPr>
        <w:tc>
          <w:tcPr>
            <w:tcW w:w="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WG Biotech ApS</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Johan Wedell-Wedellsborg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Johan Wedell-Wedellsborg</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6" w:name="page7"/>
    <w:bookmarkEnd w:id="6"/>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No.</w:t>
      </w:r>
    </w:p>
    <w:p>
      <w:pPr>
        <w:spacing w:after="0" w:line="225"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Joint Filing Agreement, dated as of 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Joint Filing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February 14, 2024, by and among WG Biotech ApS and Johan Wedell-Wedellsborg (collectively referred to herein as the “</w:t>
      </w:r>
      <w:r>
        <w:rPr>
          <w:rFonts w:ascii="Times New Roman" w:cs="Times New Roman" w:eastAsia="Times New Roman" w:hAnsi="Times New Roman"/>
          <w:sz w:val="18"/>
          <w:szCs w:val="18"/>
          <w:u w:val="single" w:color="auto"/>
          <w:color w:val="auto"/>
        </w:rPr>
        <w:t>Filers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and in accordance with Rule 13d-1(k) under the Securities Exchange Act of 1934, as amended, the Filers hereby agree to the joint filing on behalf of each of them all filings on Schedule 13D or Schedule 13G, and any and all amendments thereto and any other document relating thereto (collectively, the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with respect to the Common Stock, $0.0001 par value per share, of Y-mAbs Therapeutics, Inc., and hereby further agree that this Agreement be included as an exhibit to such statement, as required by such rule. The Filers further agree that they will fully cooperate in the preparation and timely filing (and other delivery) of all such Filings.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Filers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WG Biotech ApS</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Johan Wedell-Wedellsborg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decimal"/>
      <w:start w:val="11"/>
    </w:lvl>
  </w:abstractNum>
  <w:abstractNum w:abstractNumId="5">
    <w:nsid w:val="5BD062C2"/>
    <w:multiLevelType w:val="hybridMultilevel"/>
    <w:lvl w:ilvl="0">
      <w:lvlJc w:val="left"/>
      <w:lvlText w:val="(%1)"/>
      <w:numFmt w:val="decimal"/>
      <w:start w:val="1"/>
    </w:lvl>
    <w:lvl w:ilvl="1">
      <w:lvlJc w:val="left"/>
      <w:lvlText w:val="%2"/>
      <w:numFmt w:val="decimal"/>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decimal"/>
      <w:start w:val="1"/>
    </w:lvl>
    <w:lvl w:ilvl="1">
      <w:lvlJc w:val="left"/>
      <w:lvlText w:val="%2."/>
      <w:numFmt w:val="decimal"/>
      <w:start w:val="11"/>
    </w:lvl>
  </w:abstractNum>
  <w:abstractNum w:abstractNumId="9">
    <w:nsid w:val="1F16E9E8"/>
    <w:multiLevelType w:val="hybridMultilevel"/>
    <w:lvl w:ilvl="0">
      <w:lvlJc w:val="left"/>
      <w:lvlText w:val="(%1)"/>
      <w:numFmt w:val="decimal"/>
      <w:start w:val="1"/>
    </w:lvl>
    <w:lvl w:ilvl="1">
      <w:lvlJc w:val="left"/>
      <w:lvlText w:val="%2"/>
      <w:numFmt w:val="decimal"/>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2024-02-14T15:37:00Z</dcterms:created>
  <dcterms:modified xsi:type="dcterms:W3CDTF">2024-02-14T15:37:00Z</dcterms:modified>
</cp:coreProperties>
</file>