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vMerge w:val="restart"/>
          </w:tcPr>
          <w:p>
            <w:pPr>
              <w:ind w:left="20"/>
              <w:spacing w:after="0"/>
              <w:rPr>
                <w:rFonts w:ascii="Times New Roman" w:cs="Times New Roman" w:eastAsia="Times New Roman" w:hAnsi="Times New Roman"/>
                <w:sz w:val="21"/>
                <w:szCs w:val="21"/>
                <w:u w:val="single" w:color="auto"/>
                <w:color w:val="0000EE"/>
                <w:w w:val="97"/>
              </w:rPr>
            </w:pPr>
            <w:hyperlink r:id="rId13">
              <w:r>
                <w:rPr>
                  <w:rFonts w:ascii="Times New Roman" w:cs="Times New Roman" w:eastAsia="Times New Roman" w:hAnsi="Times New Roman"/>
                  <w:sz w:val="21"/>
                  <w:szCs w:val="21"/>
                  <w:u w:val="single" w:color="auto"/>
                  <w:color w:val="0000EE"/>
                  <w:w w:val="97"/>
                </w:rPr>
                <w:t>GILL DAVID N</w:t>
              </w:r>
            </w:hyperlink>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gridSpan w:val="8"/>
          </w:tcPr>
          <w:p>
            <w:pPr>
              <w:ind w:left="80"/>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Y-mAbs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YMAB</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Y-MABS THERAPEUTICS, INC.</w:t>
            </w:r>
          </w:p>
        </w:tc>
        <w:tc>
          <w:tcPr>
            <w:tcW w:w="16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11/03/2020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8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230 PARK AVENUE SUITE 3350</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8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10169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ind w:left="140"/>
              <w:spacing w:after="0" w:line="147"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ind w:left="74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80" w:type="dxa"/>
            <w:vAlign w:val="bottom"/>
            <w:gridSpan w:val="4"/>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7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40"/>
              <w:spacing w:after="0"/>
              <w:rPr>
                <w:sz w:val="20"/>
                <w:szCs w:val="20"/>
                <w:color w:val="auto"/>
              </w:rPr>
            </w:pPr>
            <w:r>
              <w:rPr>
                <w:rFonts w:ascii="Times New Roman" w:cs="Times New Roman" w:eastAsia="Times New Roman" w:hAnsi="Times New Roman"/>
                <w:sz w:val="17"/>
                <w:szCs w:val="17"/>
                <w:color w:val="0000FF"/>
              </w:rPr>
              <w:t>11/03/2020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4,000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11.16</w:t>
            </w:r>
          </w:p>
        </w:tc>
        <w:tc>
          <w:tcPr>
            <w:tcW w:w="118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4,000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40"/>
              <w:spacing w:after="0"/>
              <w:rPr>
                <w:sz w:val="20"/>
                <w:szCs w:val="20"/>
                <w:color w:val="auto"/>
              </w:rPr>
            </w:pPr>
            <w:r>
              <w:rPr>
                <w:rFonts w:ascii="Times New Roman" w:cs="Times New Roman" w:eastAsia="Times New Roman" w:hAnsi="Times New Roman"/>
                <w:sz w:val="17"/>
                <w:szCs w:val="17"/>
                <w:color w:val="0000FF"/>
              </w:rPr>
              <w:t>11/03/2020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4,000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521"/>
              <w:spacing w:after="0"/>
              <w:rPr>
                <w:sz w:val="20"/>
                <w:szCs w:val="20"/>
                <w:color w:val="auto"/>
              </w:rPr>
            </w:pPr>
            <w:r>
              <w:rPr>
                <w:rFonts w:ascii="Times New Roman" w:cs="Times New Roman" w:eastAsia="Times New Roman" w:hAnsi="Times New Roman"/>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6"/>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11.16</w:t>
            </w:r>
          </w:p>
        </w:tc>
        <w:tc>
          <w:tcPr>
            <w:tcW w:w="180" w:type="dxa"/>
            <w:vAlign w:val="bottom"/>
          </w:tcPr>
          <w:p>
            <w:pPr>
              <w:spacing w:after="0"/>
              <w:rPr>
                <w:sz w:val="12"/>
                <w:szCs w:val="12"/>
                <w:color w:val="auto"/>
              </w:rPr>
            </w:pPr>
          </w:p>
        </w:tc>
        <w:tc>
          <w:tcPr>
            <w:tcW w:w="10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11/03/2020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4,000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04/24/2028</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28,000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-3455035</wp:posOffset>
            </wp:positionV>
            <wp:extent cx="7033260" cy="3702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702050"/>
                    </a:xfrm>
                    <a:prstGeom prst="rect">
                      <a:avLst/>
                    </a:prstGeom>
                    <a:noFill/>
                  </pic:spPr>
                </pic:pic>
              </a:graphicData>
            </a:graphic>
          </wp:anchor>
        </w:drawing>
      </w:r>
    </w:p>
    <w:p>
      <w:pPr>
        <w:ind w:left="80"/>
        <w:spacing w:after="0" w:line="218"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exercise and sale transaction reported in this Form 4 were effected pursuant to a Rule 10b5-1 trading plan previously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to the Reporting Person as a non-employee director pursuant to the 2015 Equity Incentive Plan of Y-mAbs Therapeutics, Inc.</w:t>
      </w:r>
    </w:p>
    <w:p>
      <w:pPr>
        <w:spacing w:after="0" w:line="45" w:lineRule="exact"/>
        <w:rPr>
          <w:rFonts w:ascii="Times New Roman" w:cs="Times New Roman" w:eastAsia="Times New Roman" w:hAnsi="Times New Roman"/>
          <w:sz w:val="13"/>
          <w:szCs w:val="13"/>
          <w:color w:val="008000"/>
        </w:rPr>
      </w:pPr>
    </w:p>
    <w:p>
      <w:pPr>
        <w:ind w:left="40" w:right="4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(a) granted on April 24, 2018 pursuant to the 2015 Equity Incentive Plan of Y-mAbs Therapeutics, Inc., and (b) represents the right to purchase a total of 32,000 shares of common stock; and (c) vests and becomes exercisable in equal monthly installments until the third anniversary of the date of grant subject to continued service through such dates and unless vesting is accelerated pursuant to the terms of the grant.</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David N Gill</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11/05/2020</w:t>
            </w:r>
          </w:p>
        </w:tc>
      </w:tr>
      <w:tr>
        <w:trPr>
          <w:trHeight w:val="20"/>
        </w:trPr>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6519" TargetMode="External"/><Relationship Id="rId14"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2020-11-05T17:16:24Z</dcterms:created>
  <dcterms:modified xsi:type="dcterms:W3CDTF">2020-11-05T17:16:24Z</dcterms:modified>
</cp:coreProperties>
</file>