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10,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9"/>
                <w:szCs w:val="19"/>
                <w:color w:val="auto"/>
              </w:rPr>
            </w:pPr>
          </w:p>
        </w:tc>
      </w:tr>
      <w:tr>
        <w:trPr>
          <w:trHeight w:val="202"/>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On May 10, 2019, Y-mAbs Therapeutics, Inc., announced its financial results for the quarter ended March 31, 2019. A copy of the press release is attached hereto as Exhibit 99.1.</w:t>
      </w:r>
    </w:p>
    <w:p>
      <w:pPr>
        <w:spacing w:after="0" w:line="170"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50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10, 2019 issued by Y-mAbs Therapeutics, Inc.</w:t>
              </w:r>
            </w:hyperlink>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600" w:type="dxa"/>
            <w:vAlign w:val="bottom"/>
            <w:gridSpan w:val="3"/>
          </w:tcPr>
          <w:p>
            <w:pPr>
              <w:spacing w:after="0"/>
              <w:rPr>
                <w:sz w:val="24"/>
                <w:szCs w:val="24"/>
                <w:color w:val="auto"/>
              </w:rPr>
            </w:pPr>
          </w:p>
        </w:tc>
        <w:tc>
          <w:tcPr>
            <w:tcW w:w="5200" w:type="dxa"/>
            <w:vAlign w:val="bottom"/>
            <w:tcBorders>
              <w:top w:val="single" w:sz="8" w:color="0000EE"/>
            </w:tcBorders>
          </w:tcPr>
          <w:p>
            <w:pPr>
              <w:jc w:val="right"/>
              <w:ind w:right="870"/>
              <w:spacing w:after="0"/>
              <w:rPr>
                <w:sz w:val="20"/>
                <w:szCs w:val="20"/>
                <w:color w:val="auto"/>
              </w:rPr>
            </w:pPr>
            <w:r>
              <w:rPr>
                <w:rFonts w:ascii="Arial" w:cs="Arial" w:eastAsia="Arial" w:hAnsi="Arial"/>
                <w:sz w:val="18"/>
                <w:szCs w:val="18"/>
                <w:color w:val="auto"/>
              </w:rPr>
              <w:t>2</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10,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7"/>
              </w:rPr>
              <w:t>Founder, Chairman, President and Head of Business Development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154940</wp:posOffset>
            </wp:positionV>
            <wp:extent cx="1878330" cy="848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Announces First Quarter 2019 Financial Results and Recent Corporate Developments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New York, NY, May 10, 2019 (GLOBE NEWSWIRE) — Y-mAbs Therapeutics, Inc. (the “Company” or “Y-mAbs”) (Nasdaq:YMAB) a late-stage clinical biopharmaceutical company focused on the development and commercialization of novel, antibody-based therapeutic products for the treatment of cancer, today reported financial results for the first quarter of 2019.</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Y-mAbs is adapting very well to its new role as a public company, and we are very pleased with our first quarter financial results, especially seen in conjunction with our clinical progress moving closer to our expected target of being able to file BLAs for both of our two lead pediatric drug candidates, naxitamab and omburtamab in 2019. These are exciting times for Y-mAbs,” stated Thomas Gad, Founder, President and Head of Business Development and Strategy.</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Dr. Moller, Chief Executive Officer continued, “We believe we have achieved the planned clinical progress with both the naxitamab and omburtamab trials during the first quarter of 2019 and we are confident that we can expect to complete the recruitment of patients for these pivotal trials for both compounds by mid 2019. We are excited to move these two antibody compounds forward to registration, and we have also initiated treatment of patients with our bispecific GD2xCD3 antibody. We believe this underlines our position as a leader in pediatric oncology and as a company focused on rapidly developing therapies to extend and enhance the lives of those living with rare pediatrics cancers.”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Financial Results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Y-mAbs reported a net loss of $15.9 million, or $0.47 per basic and diluted share, for the first quarter of 2019, compared to a net loss of $7.5 million, or $0.28 per basic and diluted share, for the first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Research and development expenses were $12.5 million for the quarter ended March 31, 2019, compared to $6.2 million for the corresponding period of 2018, an increase of $6.3 million. The increase in research and development expenses primarily reflects the following:</w:t>
      </w:r>
    </w:p>
    <w:p>
      <w:pPr>
        <w:spacing w:after="0" w:line="147"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$4.3 million increase in outsourced manufacturing for our lead product candidates, naxitamab and omburtamab</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$1.3 million increase in outsourced research and supplies to support expanding development activities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$0.8 million increase in personnel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Administration</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General and administrative expenses were $3.7 million for the quarter ended March 31, 2019, compared to $1.3 million for the same period of 2018, an increase of $2.4 million. Such increase in general and administrative expenses was primarily reflects the following expenses:</w:t>
      </w:r>
    </w:p>
    <w:p>
      <w:pPr>
        <w:spacing w:after="0" w:line="147"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 million increase in personnel costs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$0.3 million increase in commercial infrastructure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approximately $134.2 million in cash and cash equivalents as of March 31, 2019 compared to $147.8 million as of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$13.6 million was primarily attributable to the increased costs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134,245</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Operating lease right-of-use lease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139,997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151,924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5,907</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obligations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milestone and royalty payments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Lease obligations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$0.0001 par value, 5,500,000 shares authorized at March 31, 2019 and December 31,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 none issued at March 31, 2019 and December 31, 2018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1"/>
              </w:rPr>
              <w:t>Common stock, $0.0001 par value, 100,000,000 shares authorized at March 31, 2019 and December 31,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2018; 34,193,666 shares issued at March 31, 2019 and December 31, 2018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226,216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125,513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140,527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151,924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76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For The Three</w:t>
            </w: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13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March 31, 2019</w:t>
            </w: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12,511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16,253</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(16,253)</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income/(expenses)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34,193,666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26,749,666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2019-12-28T12:30:36Z</dcterms:created>
  <dcterms:modified xsi:type="dcterms:W3CDTF">2019-12-28T12:30:36Z</dcterms:modified>
</cp:coreProperties>
</file>