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-236220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21590</wp:posOffset>
            </wp:positionV>
            <wp:extent cx="7047230" cy="5864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86486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Gad Thomas</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tcPr>
          <w:p>
            <w:pPr>
              <w:ind w:left="4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880" w:type="dxa"/>
            <w:vAlign w:val="bottom"/>
          </w:tcPr>
          <w:p>
            <w:pPr>
              <w:ind w:left="420"/>
              <w:spacing w:after="0"/>
              <w:rPr>
                <w:sz w:val="20"/>
                <w:szCs w:val="20"/>
                <w:color w:val="auto"/>
              </w:rPr>
            </w:pPr>
            <w:r>
              <w:rPr>
                <w:rFonts w:ascii="Arial" w:cs="Arial" w:eastAsia="Arial" w:hAnsi="Arial"/>
                <w:sz w:val="13"/>
                <w:szCs w:val="13"/>
                <w:color w:val="auto"/>
                <w:w w:val="93"/>
              </w:rPr>
              <w:t>(Middle)</w:t>
            </w:r>
          </w:p>
        </w:tc>
      </w:tr>
      <w:tr>
        <w:trPr>
          <w:trHeight w:val="264"/>
        </w:trPr>
        <w:tc>
          <w:tcPr>
            <w:tcW w:w="2940" w:type="dxa"/>
            <w:vAlign w:val="bottom"/>
            <w:gridSpan w:val="3"/>
          </w:tcPr>
          <w:p>
            <w:pPr>
              <w:ind w:left="40"/>
              <w:spacing w:after="0"/>
              <w:rPr>
                <w:sz w:val="20"/>
                <w:szCs w:val="20"/>
                <w:color w:val="auto"/>
              </w:rPr>
            </w:pPr>
            <w:r>
              <w:rPr>
                <w:rFonts w:ascii="Times New Roman" w:cs="Times New Roman" w:eastAsia="Times New Roman" w:hAnsi="Times New Roman"/>
                <w:sz w:val="17"/>
                <w:szCs w:val="17"/>
                <w:color w:val="0000FF"/>
              </w:rPr>
              <w:t>C/O Y-MABS THERAPEUTICS, INC.</w:t>
            </w:r>
          </w:p>
        </w:tc>
      </w:tr>
      <w:tr>
        <w:trPr>
          <w:trHeight w:val="254"/>
        </w:trPr>
        <w:tc>
          <w:tcPr>
            <w:tcW w:w="20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230 PARK AVENUE</w:t>
            </w:r>
          </w:p>
        </w:tc>
        <w:tc>
          <w:tcPr>
            <w:tcW w:w="880" w:type="dxa"/>
            <w:vAlign w:val="bottom"/>
          </w:tcPr>
          <w:p>
            <w:pPr>
              <w:spacing w:after="0"/>
              <w:rPr>
                <w:sz w:val="22"/>
                <w:szCs w:val="22"/>
                <w:color w:val="auto"/>
              </w:rPr>
            </w:pPr>
          </w:p>
        </w:tc>
      </w:tr>
      <w:tr>
        <w:trPr>
          <w:trHeight w:val="422"/>
        </w:trPr>
        <w:tc>
          <w:tcPr>
            <w:tcW w:w="1080" w:type="dxa"/>
            <w:vAlign w:val="bottom"/>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26"/>
        </w:trPr>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88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10169</w:t>
            </w:r>
          </w:p>
        </w:tc>
      </w:tr>
      <w:tr>
        <w:trPr>
          <w:trHeight w:val="461"/>
        </w:trPr>
        <w:tc>
          <w:tcPr>
            <w:tcW w:w="1080" w:type="dxa"/>
            <w:vAlign w:val="bottom"/>
          </w:tcPr>
          <w:p>
            <w:pPr>
              <w:ind w:left="4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8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Y-mAbs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YMAB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060" w:type="dxa"/>
            <w:vAlign w:val="bottom"/>
            <w:tcBorders>
              <w:bottom w:val="single" w:sz="8" w:color="0000EE"/>
            </w:tcBorders>
          </w:tcPr>
          <w:p>
            <w:pPr>
              <w:spacing w:after="0"/>
              <w:rPr>
                <w:sz w:val="3"/>
                <w:szCs w:val="3"/>
                <w:color w:val="auto"/>
              </w:rPr>
            </w:pPr>
          </w:p>
        </w:tc>
        <w:tc>
          <w:tcPr>
            <w:tcW w:w="1580" w:type="dxa"/>
            <w:vAlign w:val="bottom"/>
          </w:tcPr>
          <w:p>
            <w:pPr>
              <w:spacing w:after="0"/>
              <w:rPr>
                <w:sz w:val="3"/>
                <w:szCs w:val="3"/>
                <w:color w:val="auto"/>
              </w:rPr>
            </w:pPr>
          </w:p>
        </w:tc>
        <w:tc>
          <w:tcPr>
            <w:tcW w:w="1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48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26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01/18/2024</w:t>
            </w:r>
          </w:p>
        </w:tc>
        <w:tc>
          <w:tcPr>
            <w:tcW w:w="1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260" w:type="dxa"/>
            <w:vAlign w:val="bottom"/>
            <w:gridSpan w:val="3"/>
            <w:vMerge w:val="continue"/>
          </w:tcPr>
          <w:p>
            <w:pPr>
              <w:spacing w:after="0"/>
              <w:rPr>
                <w:sz w:val="10"/>
                <w:szCs w:val="10"/>
                <w:color w:val="auto"/>
              </w:rPr>
            </w:pPr>
          </w:p>
        </w:tc>
        <w:tc>
          <w:tcPr>
            <w:tcW w:w="15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CHIEF BUSINESS OFFICER</w:t>
            </w:r>
          </w:p>
        </w:tc>
        <w:tc>
          <w:tcPr>
            <w:tcW w:w="0" w:type="dxa"/>
            <w:vAlign w:val="bottom"/>
          </w:tcPr>
          <w:p>
            <w:pPr>
              <w:spacing w:after="0"/>
              <w:rPr>
                <w:sz w:val="1"/>
                <w:szCs w:val="1"/>
                <w:color w:val="auto"/>
              </w:rPr>
            </w:pPr>
          </w:p>
        </w:tc>
      </w:tr>
      <w:tr>
        <w:trPr>
          <w:trHeight w:val="114"/>
        </w:trPr>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tcPr>
          <w:p>
            <w:pPr>
              <w:spacing w:after="0"/>
              <w:rPr>
                <w:sz w:val="8"/>
                <w:szCs w:val="8"/>
                <w:color w:val="auto"/>
              </w:rPr>
            </w:pPr>
          </w:p>
        </w:tc>
        <w:tc>
          <w:tcPr>
            <w:tcW w:w="15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960" w:type="dxa"/>
            <w:vAlign w:val="bottom"/>
            <w:gridSpan w:val="4"/>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4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spacing w:after="0"/>
              <w:rPr>
                <w:sz w:val="10"/>
                <w:szCs w:val="10"/>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60" w:type="dxa"/>
            <w:vAlign w:val="bottom"/>
            <w:gridSpan w:val="4"/>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100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0" w:type="dxa"/>
            <w:vAlign w:val="bottom"/>
            <w:gridSpan w:val="2"/>
          </w:tcPr>
          <w:p>
            <w:pPr>
              <w:ind w:left="74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100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100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11"/>
                <w:szCs w:val="11"/>
                <w:color w:val="auto"/>
              </w:rPr>
            </w:pPr>
          </w:p>
        </w:tc>
        <w:tc>
          <w:tcPr>
            <w:tcW w:w="56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Times New Roman" w:cs="Times New Roman" w:eastAsia="Times New Roman" w:hAnsi="Times New Roman"/>
                <w:sz w:val="17"/>
                <w:szCs w:val="17"/>
                <w:color w:val="0000FF"/>
              </w:rPr>
              <w:t>01/18/2024</w:t>
            </w:r>
          </w:p>
        </w:tc>
        <w:tc>
          <w:tcPr>
            <w:tcW w:w="70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22,100</w:t>
            </w:r>
            <w:r>
              <w:rPr>
                <w:rFonts w:ascii="Times New Roman" w:cs="Times New Roman" w:eastAsia="Times New Roman" w:hAnsi="Times New Roman"/>
                <w:sz w:val="21"/>
                <w:szCs w:val="21"/>
                <w:color w:val="008000"/>
                <w:w w:val="95"/>
                <w:vertAlign w:val="superscript"/>
              </w:rPr>
              <w:t>(1)</w:t>
            </w:r>
          </w:p>
        </w:tc>
        <w:tc>
          <w:tcPr>
            <w:tcW w:w="5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200" w:type="dxa"/>
            <w:vAlign w:val="bottom"/>
            <w:tcBorders>
              <w:bottom w:val="single" w:sz="8" w:color="2C2C2C"/>
            </w:tcBorders>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7"/>
              </w:rPr>
              <w:t>162,600</w:t>
            </w: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By GAD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0" w:type="dxa"/>
            <w:vAlign w:val="bottom"/>
            <w:gridSpan w:val="2"/>
          </w:tcPr>
          <w:p>
            <w:pPr>
              <w:jc w:val="center"/>
              <w:ind w:right="2"/>
              <w:spacing w:after="0"/>
              <w:rPr>
                <w:sz w:val="20"/>
                <w:szCs w:val="20"/>
                <w:color w:val="auto"/>
              </w:rPr>
            </w:pPr>
            <w:r>
              <w:rPr>
                <w:rFonts w:ascii="Times New Roman" w:cs="Times New Roman" w:eastAsia="Times New Roman" w:hAnsi="Times New Roman"/>
                <w:sz w:val="17"/>
                <w:szCs w:val="17"/>
                <w:color w:val="0000FF"/>
                <w:w w:val="97"/>
              </w:rPr>
              <w:t>265,032</w:t>
            </w:r>
          </w:p>
        </w:tc>
        <w:tc>
          <w:tcPr>
            <w:tcW w:w="340" w:type="dxa"/>
            <w:vAlign w:val="bottom"/>
          </w:tcPr>
          <w:p>
            <w:pPr>
              <w:spacing w:after="0"/>
              <w:rPr>
                <w:sz w:val="17"/>
                <w:szCs w:val="17"/>
                <w:color w:val="auto"/>
              </w:rPr>
            </w:pPr>
          </w:p>
        </w:tc>
        <w:tc>
          <w:tcPr>
            <w:tcW w:w="5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Enterprises</w:t>
            </w: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top w:val="single" w:sz="8" w:color="2C2C2C"/>
            </w:tcBorders>
          </w:tcPr>
          <w:p>
            <w:pPr>
              <w:spacing w:after="0"/>
              <w:rPr>
                <w:sz w:val="21"/>
                <w:szCs w:val="21"/>
                <w:color w:val="auto"/>
              </w:rPr>
            </w:pPr>
          </w:p>
        </w:tc>
        <w:tc>
          <w:tcPr>
            <w:tcW w:w="10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200" w:type="dxa"/>
            <w:vAlign w:val="bottom"/>
            <w:tcBorders>
              <w:top w:val="single" w:sz="8" w:color="2C2C2C"/>
            </w:tcBorders>
            <w:gridSpan w:val="2"/>
            <w:vMerge w:val="restart"/>
          </w:tcPr>
          <w:p>
            <w:pPr>
              <w:jc w:val="center"/>
              <w:ind w:right="2"/>
              <w:spacing w:after="0"/>
              <w:rPr>
                <w:sz w:val="20"/>
                <w:szCs w:val="20"/>
                <w:color w:val="auto"/>
              </w:rPr>
            </w:pPr>
            <w:r>
              <w:rPr>
                <w:rFonts w:ascii="Times New Roman" w:cs="Times New Roman" w:eastAsia="Times New Roman" w:hAnsi="Times New Roman"/>
                <w:sz w:val="17"/>
                <w:szCs w:val="17"/>
                <w:color w:val="0000FF"/>
                <w:w w:val="98"/>
              </w:rPr>
              <w:t>60,000</w:t>
            </w:r>
          </w:p>
        </w:tc>
        <w:tc>
          <w:tcPr>
            <w:tcW w:w="34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00" w:type="dxa"/>
            <w:vAlign w:val="bottom"/>
            <w:tcBorders>
              <w:top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58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Children</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20" w:type="dxa"/>
            <w:vAlign w:val="bottom"/>
            <w:gridSpan w:val="11"/>
          </w:tcPr>
          <w:p>
            <w:pPr>
              <w:jc w:val="center"/>
              <w:ind w:right="118"/>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3"/>
          </w:tcPr>
          <w:p>
            <w:pPr>
              <w:spacing w:after="0"/>
              <w:rPr>
                <w:sz w:val="2"/>
                <w:szCs w:val="2"/>
                <w:color w:val="auto"/>
              </w:rPr>
            </w:pPr>
          </w:p>
        </w:tc>
        <w:tc>
          <w:tcPr>
            <w:tcW w:w="130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30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Ownership</w:t>
            </w: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4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20"/>
              <w:spacing w:after="0"/>
              <w:rPr>
                <w:sz w:val="20"/>
                <w:szCs w:val="20"/>
                <w:color w:val="auto"/>
              </w:rPr>
            </w:pPr>
            <w:r>
              <w:rPr>
                <w:rFonts w:ascii="Arial" w:cs="Arial" w:eastAsia="Arial" w:hAnsi="Arial"/>
                <w:sz w:val="11"/>
                <w:szCs w:val="11"/>
                <w:b w:val="1"/>
                <w:bCs w:val="1"/>
                <w:color w:val="auto"/>
              </w:rPr>
              <w:t>Form:</w:t>
            </w:r>
          </w:p>
        </w:tc>
        <w:tc>
          <w:tcPr>
            <w:tcW w:w="300" w:type="dxa"/>
            <w:vAlign w:val="bottom"/>
          </w:tcPr>
          <w:p>
            <w:pPr>
              <w:spacing w:after="0"/>
              <w:rPr>
                <w:sz w:val="11"/>
                <w:szCs w:val="11"/>
                <w:color w:val="auto"/>
              </w:rPr>
            </w:pP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Direct (D)</w:t>
            </w: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30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Indirect</w:t>
            </w:r>
          </w:p>
        </w:tc>
        <w:tc>
          <w:tcPr>
            <w:tcW w:w="7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Following</w:t>
            </w:r>
          </w:p>
        </w:tc>
        <w:tc>
          <w:tcPr>
            <w:tcW w:w="820" w:type="dxa"/>
            <w:vAlign w:val="bottom"/>
            <w:gridSpan w:val="2"/>
          </w:tcPr>
          <w:p>
            <w:pPr>
              <w:ind w:left="120"/>
              <w:spacing w:after="0"/>
              <w:rPr>
                <w:sz w:val="20"/>
                <w:szCs w:val="20"/>
                <w:color w:val="auto"/>
              </w:rPr>
            </w:pPr>
            <w:r>
              <w:rPr>
                <w:rFonts w:ascii="Arial" w:cs="Arial" w:eastAsia="Arial" w:hAnsi="Arial"/>
                <w:sz w:val="11"/>
                <w:szCs w:val="11"/>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gridSpan w:val="2"/>
          </w:tcPr>
          <w:p>
            <w:pPr>
              <w:ind w:left="14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gridSpan w:val="2"/>
          </w:tcPr>
          <w:p>
            <w:pPr>
              <w:ind w:left="20"/>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720" w:type="dxa"/>
            <w:vAlign w:val="bottom"/>
          </w:tcPr>
          <w:p>
            <w:pPr>
              <w:spacing w:after="0"/>
              <w:rPr>
                <w:sz w:val="11"/>
                <w:szCs w:val="11"/>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4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132,500</w:t>
            </w:r>
          </w:p>
        </w:tc>
        <w:tc>
          <w:tcPr>
            <w:tcW w:w="7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9.83</w:t>
            </w:r>
          </w:p>
        </w:tc>
        <w:tc>
          <w:tcPr>
            <w:tcW w:w="1060" w:type="dxa"/>
            <w:vAlign w:val="bottom"/>
          </w:tcPr>
          <w:p>
            <w:pPr>
              <w:jc w:val="right"/>
              <w:ind w:right="181"/>
              <w:spacing w:after="0" w:line="140" w:lineRule="exact"/>
              <w:rPr>
                <w:sz w:val="20"/>
                <w:szCs w:val="20"/>
                <w:color w:val="auto"/>
              </w:rPr>
            </w:pPr>
            <w:r>
              <w:rPr>
                <w:rFonts w:ascii="Times New Roman" w:cs="Times New Roman" w:eastAsia="Times New Roman" w:hAnsi="Times New Roman"/>
                <w:sz w:val="13"/>
                <w:szCs w:val="13"/>
                <w:color w:val="0000FF"/>
              </w:rPr>
              <w:t>01/18/2024</w:t>
            </w:r>
          </w:p>
        </w:tc>
        <w:tc>
          <w:tcPr>
            <w:tcW w:w="1080" w:type="dxa"/>
            <w:vAlign w:val="bottom"/>
          </w:tcPr>
          <w:p>
            <w:pPr>
              <w:spacing w:after="0"/>
              <w:rPr>
                <w:sz w:val="12"/>
                <w:szCs w:val="12"/>
                <w:color w:val="auto"/>
              </w:rPr>
            </w:pPr>
          </w:p>
        </w:tc>
        <w:tc>
          <w:tcPr>
            <w:tcW w:w="720" w:type="dxa"/>
            <w:vAlign w:val="bottom"/>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132,500</w:t>
            </w:r>
          </w:p>
        </w:tc>
        <w:tc>
          <w:tcPr>
            <w:tcW w:w="260" w:type="dxa"/>
            <w:vAlign w:val="bottom"/>
          </w:tcPr>
          <w:p>
            <w:pPr>
              <w:spacing w:after="0"/>
              <w:rPr>
                <w:sz w:val="12"/>
                <w:szCs w:val="12"/>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tcPr>
          <w:p>
            <w:pPr>
              <w:ind w:left="20"/>
              <w:spacing w:after="0" w:line="140" w:lineRule="exact"/>
              <w:rPr>
                <w:sz w:val="20"/>
                <w:szCs w:val="20"/>
                <w:color w:val="auto"/>
              </w:rPr>
            </w:pPr>
            <w:r>
              <w:rPr>
                <w:rFonts w:ascii="Times New Roman" w:cs="Times New Roman" w:eastAsia="Times New Roman" w:hAnsi="Times New Roman"/>
                <w:sz w:val="13"/>
                <w:szCs w:val="13"/>
                <w:color w:val="0000FF"/>
              </w:rPr>
              <w:t>01/18/2034</w:t>
            </w:r>
          </w:p>
        </w:tc>
        <w:tc>
          <w:tcPr>
            <w:tcW w:w="68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tcPr>
          <w:p>
            <w:pPr>
              <w:ind w:left="220"/>
              <w:spacing w:after="0" w:line="140" w:lineRule="exact"/>
              <w:rPr>
                <w:sz w:val="20"/>
                <w:szCs w:val="20"/>
                <w:color w:val="auto"/>
              </w:rPr>
            </w:pPr>
            <w:r>
              <w:rPr>
                <w:rFonts w:ascii="Times New Roman" w:cs="Times New Roman" w:eastAsia="Times New Roman" w:hAnsi="Times New Roman"/>
                <w:sz w:val="13"/>
                <w:szCs w:val="13"/>
                <w:color w:val="0000FF"/>
              </w:rPr>
              <w:t>132,500</w:t>
            </w:r>
          </w:p>
        </w:tc>
        <w:tc>
          <w:tcPr>
            <w:tcW w:w="520" w:type="dxa"/>
            <w:vAlign w:val="bottom"/>
          </w:tcPr>
          <w:p>
            <w:pPr>
              <w:ind w:left="38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vMerge w:val="restart"/>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1"/>
          <w:szCs w:val="21"/>
          <w:color w:val="008000"/>
          <w:vertAlign w:val="superscript"/>
        </w:rPr>
        <w:t>(4)</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8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22,100 restricted stock units ("RSUs") granted to the Reporting Person pursuant to the 2018 Equity Incentive Plan of Y-mAbs Therapeutics, Inc. Each RSU represents a contingent right to receive one share of Common Stock on the vesting dates of the RSU. The RSUs vest by 1/3 on each of January 18, 2025, January 18, 2026 and January 18, 2027 subject to the continuing employment of the Reporting Person on each vesting date.</w:t>
      </w:r>
    </w:p>
    <w:p>
      <w:pPr>
        <w:spacing w:after="0" w:line="25" w:lineRule="exact"/>
        <w:rPr>
          <w:rFonts w:ascii="Times New Roman" w:cs="Times New Roman" w:eastAsia="Times New Roman" w:hAnsi="Times New Roman"/>
          <w:sz w:val="13"/>
          <w:szCs w:val="13"/>
          <w:color w:val="008000"/>
        </w:rPr>
      </w:pPr>
    </w:p>
    <w:p>
      <w:pPr>
        <w:ind w:left="40" w:right="24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sole member of GAD Enterprises, LLC and the sole member and manager of GAD Management, LLC, the manager of GAD Enterprises, LLC, and as such Reporting Person has sole voting and dispositive power with respect to such shares.</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owned by Reporting Person's children who are deemed to share Reporting Person's household.</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options granted to the Reporting Person pursuant to the 2018 Equity Incentive Plan of Y-mAbs Therapeutics, Inc.</w:t>
      </w:r>
    </w:p>
    <w:p>
      <w:pPr>
        <w:spacing w:after="0" w:line="41" w:lineRule="exact"/>
        <w:rPr>
          <w:rFonts w:ascii="Times New Roman" w:cs="Times New Roman" w:eastAsia="Times New Roman" w:hAnsi="Times New Roman"/>
          <w:sz w:val="13"/>
          <w:szCs w:val="13"/>
          <w:color w:val="008000"/>
        </w:rPr>
      </w:pPr>
    </w:p>
    <w:p>
      <w:pPr>
        <w:ind w:left="40" w:right="4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shall vest and become exercisable as to 25% of the shares subject to the option on January 18, 2025, and thereafter vest and become exercisable as to 1/48th of the shares in equal monthly installments, until such time as the option is 100% vested, subject to the continuing employment of the Reporting Person on each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spacing w:after="0" w:line="29"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5"/>
              </w:rPr>
              <w:t>/s/ John LaRocca, Attorney-in-</w:t>
            </w:r>
          </w:p>
        </w:tc>
        <w:tc>
          <w:tcPr>
            <w:tcW w:w="160" w:type="dxa"/>
            <w:vAlign w:val="bottom"/>
          </w:tcPr>
          <w:p>
            <w:pPr>
              <w:spacing w:after="0"/>
              <w:rPr>
                <w:sz w:val="18"/>
                <w:szCs w:val="18"/>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2"/>
              </w:rPr>
              <w:t>01/22/2024</w:t>
            </w:r>
          </w:p>
        </w:tc>
        <w:tc>
          <w:tcPr>
            <w:tcW w:w="0" w:type="dxa"/>
            <w:vAlign w:val="bottom"/>
          </w:tcPr>
          <w:p>
            <w:pPr>
              <w:spacing w:after="0"/>
              <w:rPr>
                <w:sz w:val="1"/>
                <w:szCs w:val="1"/>
                <w:color w:val="auto"/>
              </w:rPr>
            </w:pPr>
          </w:p>
        </w:tc>
      </w:tr>
      <w:tr>
        <w:trPr>
          <w:trHeight w:val="87"/>
        </w:trPr>
        <w:tc>
          <w:tcPr>
            <w:tcW w:w="280" w:type="dxa"/>
            <w:vAlign w:val="bottom"/>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88"/>
              </w:rPr>
              <w:t>Fact</w:t>
            </w:r>
          </w:p>
        </w:tc>
        <w:tc>
          <w:tcPr>
            <w:tcW w:w="192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 Executing Form ID and Forms 3, 4 and 5 and Schedules 13D and 13G)</w:t>
      </w:r>
    </w:p>
    <w:p>
      <w:pPr>
        <w:spacing w:after="0" w:line="228" w:lineRule="exact"/>
        <w:rPr>
          <w:sz w:val="20"/>
          <w:szCs w:val="20"/>
          <w:color w:val="auto"/>
        </w:rPr>
      </w:pPr>
    </w:p>
    <w:p>
      <w:pPr>
        <w:ind w:right="260" w:firstLine="777"/>
        <w:spacing w:after="0" w:line="257"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John LaRocca, Michael Rossi and Bo Kruse of Y-mAbs Therapeutics,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signing individually, the undersigned’s true and lawful attorneys-in-fact and agents to:</w:t>
      </w:r>
    </w:p>
    <w:p>
      <w:pPr>
        <w:spacing w:after="0" w:line="177" w:lineRule="exact"/>
        <w:rPr>
          <w:sz w:val="20"/>
          <w:szCs w:val="20"/>
          <w:color w:val="auto"/>
        </w:rPr>
      </w:pPr>
    </w:p>
    <w:p>
      <w:pPr>
        <w:ind w:right="100" w:firstLine="778"/>
        <w:spacing w:after="0" w:line="248"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execute in the undersigned’s name and on the undersigned’s behalf, and submit to the the Securities and Exchange Commission (the “</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Form ID and Forms 3, 4 and 5 (including amendments thereto and joint filing agreements in connection therewith) in accordance with Section 13 or Section 16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and the rules thereunder in the undersigned’s capacity as a beneficial owner of a registered class of securities of the Company;</w:t>
      </w:r>
    </w:p>
    <w:p>
      <w:pPr>
        <w:spacing w:after="0" w:line="185" w:lineRule="exact"/>
        <w:rPr>
          <w:rFonts w:ascii="Times New Roman" w:cs="Times New Roman" w:eastAsia="Times New Roman" w:hAnsi="Times New Roman"/>
          <w:sz w:val="20"/>
          <w:szCs w:val="20"/>
          <w:color w:val="auto"/>
        </w:rPr>
      </w:pPr>
    </w:p>
    <w:p>
      <w:pPr>
        <w:ind w:right="80" w:firstLine="778"/>
        <w:spacing w:after="0" w:line="251"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that may be necessary or desirable to prepare and execute any such Form ID and Forms 3, 4 or 5, Schedules 13D and 13G (including amendments thereto and joint filing agreements in connection therewith) and Forms 144, and file such forms with the SEC and any stock exchange, self-regulatory association or any similar authority; and</w:t>
      </w:r>
    </w:p>
    <w:p>
      <w:pPr>
        <w:spacing w:after="0" w:line="182" w:lineRule="exact"/>
        <w:rPr>
          <w:rFonts w:ascii="Times New Roman" w:cs="Times New Roman" w:eastAsia="Times New Roman" w:hAnsi="Times New Roman"/>
          <w:sz w:val="20"/>
          <w:szCs w:val="20"/>
          <w:color w:val="auto"/>
        </w:rPr>
      </w:pPr>
    </w:p>
    <w:p>
      <w:pPr>
        <w:ind w:firstLine="778"/>
        <w:spacing w:after="0" w:line="251" w:lineRule="auto"/>
        <w:tabs>
          <w:tab w:leader="none" w:pos="152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to this Power of Attorney shall be in such form and shall contain such terms and conditions as the attorney-in-fact may approve in the attorney-in-fact’s discretion.</w:t>
      </w:r>
    </w:p>
    <w:p>
      <w:pPr>
        <w:spacing w:after="0" w:line="183" w:lineRule="exact"/>
        <w:rPr>
          <w:sz w:val="20"/>
          <w:szCs w:val="20"/>
          <w:color w:val="auto"/>
        </w:rPr>
      </w:pPr>
    </w:p>
    <w:p>
      <w:pPr>
        <w:ind w:right="40" w:firstLine="777"/>
        <w:spacing w:after="0" w:line="245"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Exchange Act and Rule 144 thereunder.</w:t>
      </w:r>
    </w:p>
    <w:p>
      <w:pPr>
        <w:spacing w:after="0" w:line="188" w:lineRule="exact"/>
        <w:rPr>
          <w:sz w:val="20"/>
          <w:szCs w:val="20"/>
          <w:color w:val="auto"/>
        </w:rPr>
      </w:pPr>
    </w:p>
    <w:p>
      <w:pPr>
        <w:ind w:right="140" w:firstLine="777"/>
        <w:spacing w:after="0" w:line="248" w:lineRule="auto"/>
        <w:rPr>
          <w:sz w:val="20"/>
          <w:szCs w:val="20"/>
          <w:color w:val="auto"/>
        </w:rPr>
      </w:pPr>
      <w:r>
        <w:rPr>
          <w:rFonts w:ascii="Times New Roman" w:cs="Times New Roman" w:eastAsia="Times New Roman" w:hAnsi="Times New Roman"/>
          <w:sz w:val="20"/>
          <w:szCs w:val="20"/>
          <w:color w:val="auto"/>
        </w:rPr>
        <w:t>This Power of Attorney shall remain in full force and effect until the earliest to occur of (a) the undersigned is no longer required to file Form ID or Forms 3, 4 and 5 or Schedules 13D or 13G with respect to the undersigned’s holdings of and transactions in securities issued by the Company, (b) revocation by the undersigned in a signed writing delivered to the Company and the foregoing attorneys-in-fact or (c) as to any attorney-in-fact individually, until such attorney-in-fact is no longer employed by the Company.</w:t>
      </w:r>
    </w:p>
    <w:p>
      <w:pPr>
        <w:spacing w:after="0" w:line="200" w:lineRule="exact"/>
        <w:rPr>
          <w:sz w:val="20"/>
          <w:szCs w:val="20"/>
          <w:color w:val="auto"/>
        </w:rPr>
      </w:pPr>
    </w:p>
    <w:p>
      <w:pPr>
        <w:spacing w:after="0" w:line="22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the date written below.</w:t>
      </w:r>
    </w:p>
    <w:p>
      <w:pPr>
        <w:spacing w:after="0" w:line="200" w:lineRule="exact"/>
        <w:rPr>
          <w:sz w:val="20"/>
          <w:szCs w:val="20"/>
          <w:color w:val="auto"/>
        </w:rPr>
      </w:pPr>
    </w:p>
    <w:p>
      <w:pPr>
        <w:spacing w:after="0" w:line="25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Date:</w:t>
      </w:r>
      <w:r>
        <w:rPr>
          <w:sz w:val="20"/>
          <w:szCs w:val="20"/>
          <w:color w:val="auto"/>
        </w:rPr>
        <w:tab/>
      </w:r>
      <w:r>
        <w:rPr>
          <w:rFonts w:ascii="Times New Roman" w:cs="Times New Roman" w:eastAsia="Times New Roman" w:hAnsi="Times New Roman"/>
          <w:sz w:val="20"/>
          <w:szCs w:val="20"/>
          <w:color w:val="auto"/>
        </w:rPr>
        <w:t>January 19, 2024</w:t>
      </w:r>
    </w:p>
    <w:p>
      <w:pPr>
        <w:spacing w:after="0" w:line="20"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20"/>
          <w:szCs w:val="20"/>
          <w:color w:val="auto"/>
        </w:rPr>
        <w:t>/s/ Thomas Gad</w:t>
      </w:r>
    </w:p>
    <w:p>
      <w:pPr>
        <w:spacing w:after="0"/>
        <w:tabs>
          <w:tab w:leader="none" w:pos="740" w:val="left"/>
        </w:tabs>
        <w:rPr>
          <w:sz w:val="20"/>
          <w:szCs w:val="20"/>
          <w:color w:val="auto"/>
        </w:rPr>
      </w:pPr>
      <w:r>
        <w:rPr>
          <w:rFonts w:ascii="Times New Roman" w:cs="Times New Roman" w:eastAsia="Times New Roman" w:hAnsi="Times New Roman"/>
          <w:sz w:val="20"/>
          <w:szCs w:val="20"/>
          <w:color w:val="auto"/>
        </w:rPr>
        <w:t>Name:</w:t>
        <w:tab/>
        <w:t>Thomas Gad</w:t>
      </w:r>
    </w:p>
    <w:sectPr>
      <w:pgSz w:w="11900" w:h="16838" w:orient="portrait"/>
      <w:cols w:equalWidth="0" w:num="1">
        <w:col w:w="10960"/>
      </w:cols>
      <w:pgMar w:left="460" w:top="11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53224" TargetMode="External"/><Relationship Id="rId13" Type="http://schemas.openxmlformats.org/officeDocument/2006/relationships/hyperlink" Target="http://www.sec.gov/cgi-bin/browse-edgar?action=getcompany&amp;CIK=00017229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2024-01-22T16:56:04Z</dcterms:created>
  <dcterms:modified xsi:type="dcterms:W3CDTF">2024-01-22T16:56:04Z</dcterms:modified>
</cp:coreProperties>
</file>