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Gad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President and Chairman</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97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97167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Arial" w:cs="Arial" w:eastAsia="Arial" w:hAnsi="Arial"/>
                <w:sz w:val="17"/>
                <w:szCs w:val="17"/>
                <w:color w:val="0000FF"/>
                <w:w w:val="96"/>
              </w:rPr>
              <w:t>06/15/2020</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18"/>
                <w:szCs w:val="18"/>
                <w:color w:val="auto"/>
              </w:rPr>
            </w:pPr>
          </w:p>
        </w:tc>
        <w:tc>
          <w:tcPr>
            <w:tcW w:w="760" w:type="dxa"/>
            <w:vAlign w:val="bottom"/>
          </w:tcPr>
          <w:p>
            <w:pPr>
              <w:ind w:left="140"/>
              <w:spacing w:after="0" w:line="213" w:lineRule="exact"/>
              <w:rPr>
                <w:sz w:val="20"/>
                <w:szCs w:val="20"/>
                <w:color w:val="auto"/>
              </w:rPr>
            </w:pPr>
            <w:r>
              <w:rPr>
                <w:rFonts w:ascii="Arial" w:cs="Arial" w:eastAsia="Arial" w:hAnsi="Arial"/>
                <w:sz w:val="17"/>
                <w:szCs w:val="17"/>
                <w:color w:val="0000FF"/>
                <w:w w:val="99"/>
              </w:rPr>
              <w:t>4,000</w:t>
            </w:r>
            <w:r>
              <w:rPr>
                <w:rFonts w:ascii="Arial" w:cs="Arial" w:eastAsia="Arial" w:hAnsi="Arial"/>
                <w:sz w:val="22"/>
                <w:szCs w:val="22"/>
                <w:color w:val="008000"/>
                <w:w w:val="99"/>
                <w:vertAlign w:val="superscript"/>
              </w:rPr>
              <w:t>(1)</w:t>
            </w:r>
          </w:p>
        </w:tc>
        <w:tc>
          <w:tcPr>
            <w:tcW w:w="360" w:type="dxa"/>
            <w:vAlign w:val="bottom"/>
          </w:tcPr>
          <w:p>
            <w:pPr>
              <w:ind w:left="20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43.4528</w:t>
            </w:r>
            <w:r>
              <w:rPr>
                <w:rFonts w:ascii="Arial" w:cs="Arial" w:eastAsia="Arial" w:hAnsi="Arial"/>
                <w:sz w:val="22"/>
                <w:szCs w:val="22"/>
                <w:color w:val="008000"/>
                <w:w w:val="94"/>
                <w:vertAlign w:val="superscript"/>
              </w:rPr>
              <w:t>(2)</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0000FF"/>
              </w:rPr>
              <w:t>716,000</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By WG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0000FF"/>
              </w:rPr>
              <w:t>1,030,356</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Biotech</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ApS</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pursuant to a Rule 10b5-1 trading plan adopted by the Reporting Person on March 30, 2020.</w:t>
      </w:r>
    </w:p>
    <w:p>
      <w:pPr>
        <w:spacing w:after="0" w:line="50"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$44.89 to $41.16.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1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WG Biotech ApS owns 5,508,392 shares of the Issuer's common stock. GAD Enterprises, LLC (of which Reporting Person is sole member) owns approximately 18.71% of WG Biotech ApS but has no voting or dispositive power over the shares of common stock held by WG Biotech ApS.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06/16/2020</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3224" TargetMode="External"/><Relationship Id="rId14"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2020-06-16T17:15:59Z</dcterms:created>
  <dcterms:modified xsi:type="dcterms:W3CDTF">2020-06-16T17:15:59Z</dcterms:modified>
</cp:coreProperties>
</file>