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36830</wp:posOffset>
            </wp:positionV>
            <wp:extent cx="6967220" cy="1756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56410"/>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58"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Gad Thomas</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Y-MABS THERAPEUTICS,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230 PARK AVENUE, SUITE 3350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Y-mAbs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YMAB</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01/19/2021</w:t>
      </w:r>
    </w:p>
    <w:p>
      <w:pPr>
        <w:spacing w:after="0" w:line="20" w:lineRule="exact"/>
        <w:rPr>
          <w:sz w:val="24"/>
          <w:szCs w:val="24"/>
          <w:color w:val="auto"/>
        </w:rPr>
      </w:pPr>
      <w:r>
        <w:rPr>
          <w:sz w:val="24"/>
          <w:szCs w:val="24"/>
          <w:color w:val="auto"/>
        </w:rPr>
        <w:br w:type="column"/>
      </w:r>
    </w:p>
    <w:p>
      <w:pPr>
        <w:ind w:left="-3" w:right="600" w:firstLine="3"/>
        <w:spacing w:after="0" w:line="263"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7" w:type="dxa"/>
        <w:tblCellMar>
          <w:top w:w="0" w:type="dxa"/>
          <w:left w:w="0" w:type="dxa"/>
          <w:bottom w:w="0" w:type="dxa"/>
          <w:right w:w="0" w:type="dxa"/>
        </w:tblCellMar>
      </w:tblPr>
      <w:tr>
        <w:trPr>
          <w:trHeight w:val="218"/>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r>
      <w:tr>
        <w:trPr>
          <w:trHeight w:val="19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r>
      <w:tr>
        <w:trPr>
          <w:trHeight w:val="176"/>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tcPr>
          <w:p>
            <w:pPr>
              <w:ind w:left="320"/>
              <w:spacing w:after="0"/>
              <w:rPr>
                <w:sz w:val="20"/>
                <w:szCs w:val="20"/>
                <w:color w:val="auto"/>
              </w:rPr>
            </w:pPr>
            <w:r>
              <w:rPr>
                <w:rFonts w:ascii="Arial" w:cs="Arial" w:eastAsia="Arial" w:hAnsi="Arial"/>
                <w:sz w:val="13"/>
                <w:szCs w:val="13"/>
                <w:color w:val="auto"/>
              </w:rPr>
              <w:t>below)</w:t>
            </w:r>
          </w:p>
        </w:tc>
      </w:tr>
    </w:tbl>
    <w:p>
      <w:pPr>
        <w:spacing w:after="0" w:line="7" w:lineRule="exact"/>
        <w:rPr>
          <w:sz w:val="24"/>
          <w:szCs w:val="24"/>
          <w:color w:val="auto"/>
        </w:rPr>
      </w:pPr>
    </w:p>
    <w:p>
      <w:pPr>
        <w:ind w:left="1157"/>
        <w:spacing w:after="0"/>
        <w:rPr>
          <w:sz w:val="20"/>
          <w:szCs w:val="20"/>
          <w:color w:val="auto"/>
        </w:rPr>
      </w:pPr>
      <w:r>
        <w:rPr>
          <w:rFonts w:ascii="Times New Roman" w:cs="Times New Roman" w:eastAsia="Times New Roman" w:hAnsi="Times New Roman"/>
          <w:sz w:val="17"/>
          <w:szCs w:val="17"/>
          <w:color w:val="0000FF"/>
        </w:rPr>
        <w:t>See remarks</w:t>
      </w:r>
    </w:p>
    <w:p>
      <w:pPr>
        <w:spacing w:after="0" w:line="397" w:lineRule="exact"/>
        <w:rPr>
          <w:sz w:val="24"/>
          <w:szCs w:val="24"/>
          <w:color w:val="auto"/>
        </w:rPr>
      </w:pPr>
    </w:p>
    <w:p>
      <w:pPr>
        <w:sectPr>
          <w:pgSz w:w="11900" w:h="16838" w:orient="portrait"/>
          <w:cols w:equalWidth="0" w:num="3">
            <w:col w:w="3200" w:space="720"/>
            <w:col w:w="3103" w:space="720"/>
            <w:col w:w="3337"/>
          </w:cols>
          <w:pgMar w:left="460" w:top="216" w:right="359" w:bottom="58" w:gutter="0" w:footer="0" w:header="0"/>
          <w:type w:val="continuous"/>
        </w:sectPr>
      </w:pPr>
    </w:p>
    <w:p>
      <w:pPr>
        <w:spacing w:after="0" w:line="208" w:lineRule="exact"/>
        <w:rPr>
          <w:sz w:val="24"/>
          <w:szCs w:val="24"/>
          <w:color w:val="auto"/>
        </w:rPr>
      </w:pPr>
    </w:p>
    <w:tbl>
      <w:tblPr>
        <w:tblLayout w:type="fixed"/>
        <w:tblInd w:w="80" w:type="dxa"/>
        <w:tblCellMar>
          <w:top w:w="0" w:type="dxa"/>
          <w:left w:w="0" w:type="dxa"/>
          <w:bottom w:w="0" w:type="dxa"/>
          <w:right w:w="0" w:type="dxa"/>
        </w:tblCellMar>
      </w:tblPr>
      <w:tr>
        <w:trPr>
          <w:trHeight w:val="17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10169</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186055</wp:posOffset>
            </wp:positionV>
            <wp:extent cx="6967220" cy="22675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2267585"/>
                    </a:xfrm>
                    <a:prstGeom prst="rect">
                      <a:avLst/>
                    </a:prstGeom>
                    <a:noFill/>
                  </pic:spPr>
                </pic:pic>
              </a:graphicData>
            </a:graphic>
          </wp:anchor>
        </w:drawing>
      </w:r>
    </w:p>
    <w:p>
      <w:pPr>
        <w:spacing w:after="0" w:line="349" w:lineRule="exact"/>
        <w:rPr>
          <w:sz w:val="24"/>
          <w:szCs w:val="24"/>
          <w:color w:val="auto"/>
        </w:rPr>
      </w:pPr>
    </w:p>
    <w:p>
      <w:pPr>
        <w:sectPr>
          <w:pgSz w:w="11900" w:h="16838" w:orient="portrait"/>
          <w:cols w:equalWidth="0" w:num="2">
            <w:col w:w="3760" w:space="160"/>
            <w:col w:w="7160"/>
          </w:cols>
          <w:pgMar w:left="460" w:top="216" w:right="359" w:bottom="58"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6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3"/>
                <w:szCs w:val="13"/>
                <w:color w:val="auto"/>
              </w:rPr>
            </w:pPr>
          </w:p>
        </w:tc>
        <w:tc>
          <w:tcPr>
            <w:tcW w:w="21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5"/>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ind w:left="380"/>
              <w:spacing w:after="0" w:line="125"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0"/>
                <w:szCs w:val="10"/>
                <w:color w:val="auto"/>
              </w:rPr>
            </w:pPr>
          </w:p>
        </w:tc>
        <w:tc>
          <w:tcPr>
            <w:tcW w:w="1100" w:type="dxa"/>
            <w:vAlign w:val="bottom"/>
            <w:gridSpan w:val="3"/>
          </w:tcPr>
          <w:p>
            <w:pPr>
              <w:ind w:left="20"/>
              <w:spacing w:after="0" w:line="125"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60"/>
              <w:spacing w:after="0" w:line="125"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0"/>
                <w:szCs w:val="10"/>
                <w:color w:val="auto"/>
              </w:rPr>
            </w:pPr>
          </w:p>
        </w:tc>
        <w:tc>
          <w:tcPr>
            <w:tcW w:w="86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5"/>
          </w:tcPr>
          <w:p>
            <w:pPr>
              <w:ind w:left="80"/>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60" w:type="dxa"/>
            <w:vAlign w:val="bottom"/>
            <w:gridSpan w:val="2"/>
          </w:tcPr>
          <w:p>
            <w:pPr>
              <w:ind w:left="38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5"/>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5"/>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20" w:type="dxa"/>
            <w:vAlign w:val="bottom"/>
            <w:gridSpan w:val="5"/>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jc w:val="center"/>
              <w:ind w:right="104"/>
              <w:spacing w:after="0"/>
              <w:rPr>
                <w:sz w:val="20"/>
                <w:szCs w:val="20"/>
                <w:color w:val="auto"/>
              </w:rPr>
            </w:pPr>
            <w:r>
              <w:rPr>
                <w:rFonts w:ascii="Arial" w:cs="Arial" w:eastAsia="Arial" w:hAnsi="Arial"/>
                <w:sz w:val="12"/>
                <w:szCs w:val="12"/>
                <w:b w:val="1"/>
                <w:bCs w:val="1"/>
                <w:color w:val="auto"/>
                <w:w w:val="99"/>
              </w:rPr>
              <w:t>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1"/>
                <w:szCs w:val="11"/>
                <w:color w:val="auto"/>
              </w:rPr>
            </w:pPr>
          </w:p>
        </w:tc>
        <w:tc>
          <w:tcPr>
            <w:tcW w:w="88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8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480"/>
              <w:spacing w:after="0"/>
              <w:rPr>
                <w:sz w:val="20"/>
                <w:szCs w:val="20"/>
                <w:color w:val="auto"/>
              </w:rPr>
            </w:pPr>
            <w:r>
              <w:rPr>
                <w:rFonts w:ascii="Times New Roman" w:cs="Times New Roman" w:eastAsia="Times New Roman" w:hAnsi="Times New Roman"/>
                <w:sz w:val="17"/>
                <w:szCs w:val="17"/>
                <w:color w:val="0000FF"/>
              </w:rPr>
              <w:t>01/19/2021</w:t>
            </w: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3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right"/>
              <w:ind w:right="111"/>
              <w:spacing w:after="0"/>
              <w:rPr>
                <w:sz w:val="20"/>
                <w:szCs w:val="20"/>
                <w:color w:val="auto"/>
              </w:rPr>
            </w:pPr>
            <w:r>
              <w:rPr>
                <w:rFonts w:ascii="Times New Roman" w:cs="Times New Roman" w:eastAsia="Times New Roman" w:hAnsi="Times New Roman"/>
                <w:sz w:val="17"/>
                <w:szCs w:val="17"/>
                <w:color w:val="0000FF"/>
              </w:rPr>
              <w:t>7,000</w:t>
            </w:r>
            <w:r>
              <w:rPr>
                <w:rFonts w:ascii="Times New Roman" w:cs="Times New Roman" w:eastAsia="Times New Roman" w:hAnsi="Times New Roman"/>
                <w:sz w:val="21"/>
                <w:szCs w:val="21"/>
                <w:color w:val="008000"/>
                <w:vertAlign w:val="superscript"/>
              </w:rPr>
              <w:t>(1)</w:t>
            </w:r>
          </w:p>
        </w:tc>
        <w:tc>
          <w:tcPr>
            <w:tcW w:w="4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134"/>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2</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7,000</w:t>
            </w: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2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480"/>
              <w:spacing w:after="0"/>
              <w:rPr>
                <w:sz w:val="20"/>
                <w:szCs w:val="20"/>
                <w:color w:val="auto"/>
              </w:rPr>
            </w:pPr>
            <w:r>
              <w:rPr>
                <w:rFonts w:ascii="Times New Roman" w:cs="Times New Roman" w:eastAsia="Times New Roman" w:hAnsi="Times New Roman"/>
                <w:sz w:val="17"/>
                <w:szCs w:val="17"/>
                <w:color w:val="0000FF"/>
              </w:rPr>
              <w:t>01/19/2021</w:t>
            </w: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3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right"/>
              <w:ind w:right="111"/>
              <w:spacing w:after="0"/>
              <w:rPr>
                <w:sz w:val="20"/>
                <w:szCs w:val="20"/>
                <w:color w:val="auto"/>
              </w:rPr>
            </w:pPr>
            <w:r>
              <w:rPr>
                <w:rFonts w:ascii="Times New Roman" w:cs="Times New Roman" w:eastAsia="Times New Roman" w:hAnsi="Times New Roman"/>
                <w:sz w:val="17"/>
                <w:szCs w:val="17"/>
                <w:color w:val="0000FF"/>
              </w:rPr>
              <w:t>7,000</w:t>
            </w:r>
            <w:r>
              <w:rPr>
                <w:rFonts w:ascii="Times New Roman" w:cs="Times New Roman" w:eastAsia="Times New Roman" w:hAnsi="Times New Roman"/>
                <w:sz w:val="21"/>
                <w:szCs w:val="21"/>
                <w:color w:val="008000"/>
                <w:vertAlign w:val="superscript"/>
              </w:rPr>
              <w:t>(2)</w:t>
            </w:r>
          </w:p>
        </w:tc>
        <w:tc>
          <w:tcPr>
            <w:tcW w:w="4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ind w:left="4"/>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46.509</w:t>
            </w:r>
            <w:r>
              <w:rPr>
                <w:rFonts w:ascii="Times New Roman" w:cs="Times New Roman" w:eastAsia="Times New Roman" w:hAnsi="Times New Roman"/>
                <w:sz w:val="21"/>
                <w:szCs w:val="21"/>
                <w:color w:val="008000"/>
                <w:w w:val="93"/>
                <w:vertAlign w:val="superscript"/>
              </w:rPr>
              <w:t>(3)</w:t>
            </w: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430"/>
              <w:spacing w:after="0"/>
              <w:rPr>
                <w:sz w:val="20"/>
                <w:szCs w:val="20"/>
                <w:color w:val="auto"/>
              </w:rPr>
            </w:pPr>
            <w:r>
              <w:rPr>
                <w:rFonts w:ascii="Times New Roman" w:cs="Times New Roman" w:eastAsia="Times New Roman" w:hAnsi="Times New Roman"/>
                <w:sz w:val="17"/>
                <w:szCs w:val="17"/>
                <w:color w:val="0000FF"/>
                <w:w w:val="93"/>
              </w:rPr>
              <w:t>0</w:t>
            </w: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2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46.5576</w:t>
            </w:r>
            <w:r>
              <w:rPr>
                <w:rFonts w:ascii="Times New Roman" w:cs="Times New Roman" w:eastAsia="Times New Roman" w:hAnsi="Times New Roman"/>
                <w:sz w:val="21"/>
                <w:szCs w:val="21"/>
                <w:color w:val="008000"/>
                <w:w w:val="96"/>
                <w:vertAlign w:val="superscript"/>
              </w:rPr>
              <w:t>(5)</w:t>
            </w: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By GAD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46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0000FF"/>
              </w:rPr>
              <w:t>01/19/2021</w:t>
            </w: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320" w:type="dxa"/>
            <w:vAlign w:val="bottom"/>
          </w:tcPr>
          <w:p>
            <w:pPr>
              <w:spacing w:after="0"/>
              <w:rPr>
                <w:sz w:val="18"/>
                <w:szCs w:val="18"/>
                <w:color w:val="auto"/>
              </w:rPr>
            </w:pPr>
          </w:p>
        </w:tc>
        <w:tc>
          <w:tcPr>
            <w:tcW w:w="840" w:type="dxa"/>
            <w:vAlign w:val="bottom"/>
          </w:tcPr>
          <w:p>
            <w:pPr>
              <w:jc w:val="right"/>
              <w:ind w:right="111"/>
              <w:spacing w:after="0" w:line="208" w:lineRule="exact"/>
              <w:rPr>
                <w:sz w:val="20"/>
                <w:szCs w:val="20"/>
                <w:color w:val="auto"/>
              </w:rPr>
            </w:pPr>
            <w:r>
              <w:rPr>
                <w:rFonts w:ascii="Times New Roman" w:cs="Times New Roman" w:eastAsia="Times New Roman" w:hAnsi="Times New Roman"/>
                <w:sz w:val="17"/>
                <w:szCs w:val="17"/>
                <w:color w:val="0000FF"/>
              </w:rPr>
              <w:t>4,000</w:t>
            </w:r>
            <w:r>
              <w:rPr>
                <w:rFonts w:ascii="Times New Roman" w:cs="Times New Roman" w:eastAsia="Times New Roman" w:hAnsi="Times New Roman"/>
                <w:sz w:val="21"/>
                <w:szCs w:val="21"/>
                <w:color w:val="008000"/>
                <w:vertAlign w:val="superscript"/>
              </w:rPr>
              <w:t>(4)</w:t>
            </w:r>
          </w:p>
        </w:tc>
        <w:tc>
          <w:tcPr>
            <w:tcW w:w="42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gridSpan w:val="3"/>
            <w:vMerge w:val="continue"/>
          </w:tcPr>
          <w:p>
            <w:pPr>
              <w:spacing w:after="0"/>
              <w:rPr>
                <w:sz w:val="18"/>
                <w:szCs w:val="18"/>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610,000</w:t>
            </w:r>
          </w:p>
        </w:tc>
        <w:tc>
          <w:tcPr>
            <w:tcW w:w="340" w:type="dxa"/>
            <w:vAlign w:val="bottom"/>
          </w:tcPr>
          <w:p>
            <w:pPr>
              <w:spacing w:after="0"/>
              <w:rPr>
                <w:sz w:val="18"/>
                <w:szCs w:val="18"/>
                <w:color w:val="auto"/>
              </w:rPr>
            </w:pPr>
          </w:p>
        </w:tc>
        <w:tc>
          <w:tcPr>
            <w:tcW w:w="520" w:type="dxa"/>
            <w:vAlign w:val="bottom"/>
          </w:tcPr>
          <w:p>
            <w:pPr>
              <w:jc w:val="center"/>
              <w:ind w:right="312"/>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Enterprises</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80"/>
              <w:spacing w:after="0" w:line="272" w:lineRule="exact"/>
              <w:rPr>
                <w:sz w:val="20"/>
                <w:szCs w:val="20"/>
                <w:color w:val="auto"/>
              </w:rPr>
            </w:pPr>
            <w:r>
              <w:rPr>
                <w:rFonts w:ascii="Times New Roman" w:cs="Times New Roman" w:eastAsia="Times New Roman" w:hAnsi="Times New Roman"/>
                <w:sz w:val="31"/>
                <w:szCs w:val="31"/>
                <w:color w:val="0000FF"/>
                <w:vertAlign w:val="subscript"/>
              </w:rPr>
              <w:t>LLC</w:t>
            </w:r>
            <w:r>
              <w:rPr>
                <w:rFonts w:ascii="Times New Roman" w:cs="Times New Roman" w:eastAsia="Times New Roman" w:hAnsi="Times New Roman"/>
                <w:sz w:val="10"/>
                <w:szCs w:val="10"/>
                <w:color w:val="008000"/>
              </w:rPr>
              <w:t>(6)</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By WG</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1,030,356</w:t>
            </w:r>
          </w:p>
        </w:tc>
        <w:tc>
          <w:tcPr>
            <w:tcW w:w="340" w:type="dxa"/>
            <w:vAlign w:val="bottom"/>
          </w:tcPr>
          <w:p>
            <w:pPr>
              <w:spacing w:after="0"/>
              <w:rPr>
                <w:sz w:val="18"/>
                <w:szCs w:val="18"/>
                <w:color w:val="auto"/>
              </w:rPr>
            </w:pPr>
          </w:p>
        </w:tc>
        <w:tc>
          <w:tcPr>
            <w:tcW w:w="520" w:type="dxa"/>
            <w:vAlign w:val="bottom"/>
          </w:tcPr>
          <w:p>
            <w:pPr>
              <w:jc w:val="center"/>
              <w:ind w:right="312"/>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Biotech</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ApS</w:t>
            </w:r>
            <w:r>
              <w:rPr>
                <w:rFonts w:ascii="Times New Roman" w:cs="Times New Roman" w:eastAsia="Times New Roman" w:hAnsi="Times New Roman"/>
                <w:sz w:val="21"/>
                <w:szCs w:val="21"/>
                <w:color w:val="008000"/>
                <w:vertAlign w:val="superscript"/>
              </w:rPr>
              <w:t>(7)</w:t>
            </w:r>
          </w:p>
        </w:tc>
        <w:tc>
          <w:tcPr>
            <w:tcW w:w="0" w:type="dxa"/>
            <w:vAlign w:val="bottom"/>
          </w:tcPr>
          <w:p>
            <w:pPr>
              <w:spacing w:after="0"/>
              <w:rPr>
                <w:sz w:val="1"/>
                <w:szCs w:val="1"/>
                <w:color w:val="auto"/>
              </w:rPr>
            </w:pPr>
          </w:p>
        </w:tc>
      </w:tr>
      <w:tr>
        <w:trPr>
          <w:trHeight w:val="212"/>
        </w:trPr>
        <w:tc>
          <w:tcPr>
            <w:tcW w:w="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2"/>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w w:val="95"/>
              </w:rPr>
              <w:t>5. Number</w:t>
            </w:r>
          </w:p>
        </w:tc>
        <w:tc>
          <w:tcPr>
            <w:tcW w:w="1560" w:type="dxa"/>
            <w:vAlign w:val="bottom"/>
            <w:gridSpan w:val="3"/>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10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7"/>
              </w:rPr>
              <w:t>Derivative</w:t>
            </w:r>
          </w:p>
        </w:tc>
        <w:tc>
          <w:tcPr>
            <w:tcW w:w="156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8"/>
              </w:rPr>
              <w:t>(Instr. 3,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w w:val="92"/>
              </w:rPr>
              <w:t>Date</w:t>
            </w:r>
          </w:p>
        </w:tc>
        <w:tc>
          <w:tcPr>
            <w:tcW w:w="320" w:type="dxa"/>
            <w:vAlign w:val="bottom"/>
          </w:tcPr>
          <w:p>
            <w:pPr>
              <w:spacing w:after="0"/>
              <w:rPr>
                <w:sz w:val="11"/>
                <w:szCs w:val="11"/>
                <w:color w:val="auto"/>
              </w:rPr>
            </w:pPr>
          </w:p>
        </w:tc>
        <w:tc>
          <w:tcPr>
            <w:tcW w:w="8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V</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40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4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Title</w:t>
            </w:r>
          </w:p>
        </w:tc>
        <w:tc>
          <w:tcPr>
            <w:tcW w:w="30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560" w:type="dxa"/>
            <w:vAlign w:val="bottom"/>
            <w:gridSpan w:val="3"/>
          </w:tcPr>
          <w:p>
            <w:pPr>
              <w:ind w:left="14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vMerge w:val="restart"/>
          </w:tcPr>
          <w:p>
            <w:pPr>
              <w:jc w:val="right"/>
              <w:ind w:right="124"/>
              <w:spacing w:after="0"/>
              <w:rPr>
                <w:sz w:val="20"/>
                <w:szCs w:val="20"/>
                <w:color w:val="auto"/>
              </w:rPr>
            </w:pPr>
            <w:r>
              <w:rPr>
                <w:rFonts w:ascii="Times New Roman" w:cs="Times New Roman" w:eastAsia="Times New Roman" w:hAnsi="Times New Roman"/>
                <w:sz w:val="11"/>
                <w:szCs w:val="11"/>
                <w:color w:val="008000"/>
                <w:w w:val="93"/>
              </w:rPr>
              <w:t>(8)</w:t>
            </w:r>
          </w:p>
        </w:tc>
        <w:tc>
          <w:tcPr>
            <w:tcW w:w="840" w:type="dxa"/>
            <w:vAlign w:val="bottom"/>
          </w:tcPr>
          <w:p>
            <w:pPr>
              <w:spacing w:after="0"/>
              <w:rPr>
                <w:sz w:val="12"/>
                <w:szCs w:val="12"/>
                <w:color w:val="auto"/>
              </w:rPr>
            </w:pPr>
          </w:p>
        </w:tc>
        <w:tc>
          <w:tcPr>
            <w:tcW w:w="7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7,000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32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w:t>
            </w:r>
          </w:p>
        </w:tc>
        <w:tc>
          <w:tcPr>
            <w:tcW w:w="1080" w:type="dxa"/>
            <w:vAlign w:val="bottom"/>
          </w:tcPr>
          <w:p>
            <w:pPr>
              <w:ind w:left="240"/>
              <w:spacing w:after="0" w:line="130" w:lineRule="exact"/>
              <w:rPr>
                <w:sz w:val="20"/>
                <w:szCs w:val="20"/>
                <w:color w:val="auto"/>
              </w:rPr>
            </w:pPr>
            <w:r>
              <w:rPr>
                <w:rFonts w:ascii="Times New Roman" w:cs="Times New Roman" w:eastAsia="Times New Roman" w:hAnsi="Times New Roman"/>
                <w:sz w:val="13"/>
                <w:szCs w:val="13"/>
                <w:color w:val="0000FF"/>
              </w:rPr>
              <w:t>01/19/2021</w:t>
            </w:r>
          </w:p>
        </w:tc>
        <w:tc>
          <w:tcPr>
            <w:tcW w:w="1100" w:type="dxa"/>
            <w:vAlign w:val="bottom"/>
          </w:tcPr>
          <w:p>
            <w:pPr>
              <w:spacing w:after="0"/>
              <w:rPr>
                <w:sz w:val="11"/>
                <w:szCs w:val="11"/>
                <w:color w:val="auto"/>
              </w:rPr>
            </w:pPr>
          </w:p>
        </w:tc>
        <w:tc>
          <w:tcPr>
            <w:tcW w:w="36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440" w:type="dxa"/>
            <w:vAlign w:val="bottom"/>
          </w:tcPr>
          <w:p>
            <w:pPr>
              <w:spacing w:after="0"/>
              <w:rPr>
                <w:sz w:val="11"/>
                <w:szCs w:val="11"/>
                <w:color w:val="auto"/>
              </w:rPr>
            </w:pPr>
          </w:p>
        </w:tc>
        <w:tc>
          <w:tcPr>
            <w:tcW w:w="1060" w:type="dxa"/>
            <w:vAlign w:val="bottom"/>
            <w:gridSpan w:val="3"/>
          </w:tcPr>
          <w:p>
            <w:pPr>
              <w:ind w:left="380"/>
              <w:spacing w:after="0" w:line="130" w:lineRule="exact"/>
              <w:rPr>
                <w:sz w:val="20"/>
                <w:szCs w:val="20"/>
                <w:color w:val="auto"/>
              </w:rPr>
            </w:pPr>
            <w:r>
              <w:rPr>
                <w:rFonts w:ascii="Times New Roman" w:cs="Times New Roman" w:eastAsia="Times New Roman" w:hAnsi="Times New Roman"/>
                <w:sz w:val="13"/>
                <w:szCs w:val="13"/>
                <w:color w:val="0000FF"/>
              </w:rPr>
              <w:t>7,000</w:t>
            </w:r>
          </w:p>
        </w:tc>
        <w:tc>
          <w:tcPr>
            <w:tcW w:w="320" w:type="dxa"/>
            <w:vAlign w:val="bottom"/>
            <w:vMerge w:val="continue"/>
          </w:tcPr>
          <w:p>
            <w:pPr>
              <w:spacing w:after="0"/>
              <w:rPr>
                <w:sz w:val="11"/>
                <w:szCs w:val="11"/>
                <w:color w:val="auto"/>
              </w:rPr>
            </w:pPr>
          </w:p>
        </w:tc>
        <w:tc>
          <w:tcPr>
            <w:tcW w:w="840" w:type="dxa"/>
            <w:vAlign w:val="bottom"/>
          </w:tcPr>
          <w:p>
            <w:pPr>
              <w:ind w:left="220"/>
              <w:spacing w:after="0" w:line="130" w:lineRule="exact"/>
              <w:rPr>
                <w:sz w:val="20"/>
                <w:szCs w:val="20"/>
                <w:color w:val="auto"/>
              </w:rPr>
            </w:pPr>
            <w:r>
              <w:rPr>
                <w:rFonts w:ascii="Times New Roman" w:cs="Times New Roman" w:eastAsia="Times New Roman" w:hAnsi="Times New Roman"/>
                <w:sz w:val="13"/>
                <w:szCs w:val="13"/>
                <w:color w:val="0000FF"/>
              </w:rPr>
              <w:t>06/10/2025</w:t>
            </w:r>
          </w:p>
        </w:tc>
        <w:tc>
          <w:tcPr>
            <w:tcW w:w="72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4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40" w:type="dxa"/>
            <w:vAlign w:val="bottom"/>
            <w:gridSpan w:val="2"/>
          </w:tcPr>
          <w:p>
            <w:pPr>
              <w:ind w:left="200"/>
              <w:spacing w:after="0" w:line="130" w:lineRule="exact"/>
              <w:rPr>
                <w:sz w:val="20"/>
                <w:szCs w:val="20"/>
                <w:color w:val="auto"/>
              </w:rPr>
            </w:pPr>
            <w:r>
              <w:rPr>
                <w:rFonts w:ascii="Times New Roman" w:cs="Times New Roman" w:eastAsia="Times New Roman" w:hAnsi="Times New Roman"/>
                <w:sz w:val="13"/>
                <w:szCs w:val="13"/>
                <w:color w:val="0000FF"/>
              </w:rPr>
              <w:t>322,000</w:t>
            </w:r>
          </w:p>
        </w:tc>
        <w:tc>
          <w:tcPr>
            <w:tcW w:w="52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gridSpan w:val="2"/>
          </w:tcPr>
          <w:p>
            <w:pPr>
              <w:ind w:left="20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-2143760</wp:posOffset>
            </wp:positionV>
            <wp:extent cx="7033260" cy="22840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28409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pursuant to a Rule 10b5-1 trading plan adopted by the Reporting Person on November 12, 2020.</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options exercised pursuant to a Rule 10b5-1 trading plan adopted by the Reporting Person on November 12, 2020.</w:t>
      </w:r>
    </w:p>
    <w:p>
      <w:pPr>
        <w:spacing w:after="0" w:line="45" w:lineRule="exact"/>
        <w:rPr>
          <w:rFonts w:ascii="Times New Roman" w:cs="Times New Roman" w:eastAsia="Times New Roman" w:hAnsi="Times New Roman"/>
          <w:sz w:val="13"/>
          <w:szCs w:val="13"/>
          <w:color w:val="008000"/>
        </w:rPr>
      </w:pPr>
    </w:p>
    <w:p>
      <w:pPr>
        <w:ind w:left="40" w:right="16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$45.95 to $47.73. The price reported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pursuant to a Rule 10b5-1 trading plan adopted by the Reporting Person on March 30, 2020.</w:t>
      </w:r>
    </w:p>
    <w:p>
      <w:pPr>
        <w:spacing w:after="0" w:line="45" w:lineRule="exact"/>
        <w:rPr>
          <w:rFonts w:ascii="Times New Roman" w:cs="Times New Roman" w:eastAsia="Times New Roman" w:hAnsi="Times New Roman"/>
          <w:sz w:val="13"/>
          <w:szCs w:val="13"/>
          <w:color w:val="008000"/>
        </w:rPr>
      </w:pPr>
    </w:p>
    <w:p>
      <w:pPr>
        <w:ind w:left="40" w:right="16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$45.93 to $47.98. The price reported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16" w:lineRule="exact"/>
        <w:rPr>
          <w:rFonts w:ascii="Times New Roman" w:cs="Times New Roman" w:eastAsia="Times New Roman" w:hAnsi="Times New Roman"/>
          <w:sz w:val="13"/>
          <w:szCs w:val="13"/>
          <w:color w:val="008000"/>
        </w:rPr>
      </w:pPr>
    </w:p>
    <w:p>
      <w:pPr>
        <w:ind w:left="40" w:right="38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is sole member of GAD Enterprises, LLC and the sole member and manager of GAD Management, LLC, the manager of GAD Enterprises, LLC, and as such Reporting Person has sole voting and dispositive power with respect to such shares.</w:t>
      </w:r>
    </w:p>
    <w:p>
      <w:pPr>
        <w:spacing w:after="0" w:line="16" w:lineRule="exact"/>
        <w:rPr>
          <w:rFonts w:ascii="Times New Roman" w:cs="Times New Roman" w:eastAsia="Times New Roman" w:hAnsi="Times New Roman"/>
          <w:sz w:val="13"/>
          <w:szCs w:val="13"/>
          <w:color w:val="008000"/>
        </w:rPr>
      </w:pPr>
    </w:p>
    <w:p>
      <w:pPr>
        <w:ind w:left="40" w:right="46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WG Biotech ApS owns 5,508,392 shares of the Issuer's common stock. GAD Enterprises, LLC (of which Reporting Person is sole member) owns approximately 18.71% of WG Biotech ApS but has no voting or dispositive power over the shares of common stock held by WG Biotech ApS.</w:t>
      </w:r>
    </w:p>
    <w:p>
      <w:pPr>
        <w:spacing w:after="0" w:line="16" w:lineRule="exact"/>
        <w:rPr>
          <w:rFonts w:ascii="Times New Roman" w:cs="Times New Roman" w:eastAsia="Times New Roman" w:hAnsi="Times New Roman"/>
          <w:sz w:val="13"/>
          <w:szCs w:val="13"/>
          <w:color w:val="008000"/>
        </w:rPr>
      </w:pPr>
    </w:p>
    <w:p>
      <w:pPr>
        <w:ind w:left="40" w:right="28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vested and became exercisable as to 25% of the shares subject to the option on June 10, 2016, and thereafter vested as to 1/48th of the shares in equal monthly installments, until such time as the option was 100% vested on June 10, 2019.</w:t>
      </w:r>
    </w:p>
    <w:p>
      <w:pPr>
        <w:spacing w:after="0" w:line="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Chairman, President and Head of Business Development &amp; Strategy</w:t>
      </w:r>
    </w:p>
    <w:p>
      <w:pPr>
        <w:spacing w:after="0" w:line="5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THOMAS GAD</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01/20/2021</w:t>
            </w:r>
          </w:p>
        </w:tc>
      </w:tr>
      <w:tr>
        <w:trPr>
          <w:trHeight w:val="20"/>
        </w:trPr>
        <w:tc>
          <w:tcPr>
            <w:tcW w:w="13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1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5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53224" TargetMode="External"/><Relationship Id="rId14" Type="http://schemas.openxmlformats.org/officeDocument/2006/relationships/hyperlink" Target="http://www.sec.gov/cgi-bin/browse-edgar?action=getcompany&amp;CIK=00017229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2021-01-21T15:17:50Z</dcterms:created>
  <dcterms:modified xsi:type="dcterms:W3CDTF">2021-01-21T15:17:50Z</dcterms:modified>
</cp:coreProperties>
</file>