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March 4, 2025</w:t>
      </w:r>
    </w:p>
    <w:p>
      <w:pPr>
        <w:spacing w:after="0" w:line="133" w:lineRule="exact"/>
        <w:rPr>
          <w:sz w:val="24"/>
          <w:szCs w:val="24"/>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171450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214630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96"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3"/>
          <w:szCs w:val="23"/>
          <w:b w:val="1"/>
          <w:bCs w:val="1"/>
          <w:color w:val="auto"/>
        </w:rPr>
        <w:t>FORM S-8</w:t>
      </w:r>
    </w:p>
    <w:p>
      <w:pPr>
        <w:spacing w:after="0" w:line="136"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REGISTRATION STATEMENT</w:t>
      </w:r>
    </w:p>
    <w:p>
      <w:pPr>
        <w:spacing w:after="0" w:line="26"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UNDER</w:t>
      </w:r>
    </w:p>
    <w:p>
      <w:pPr>
        <w:spacing w:after="0" w:line="1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THE SECURITIES ACT OF 1933</w:t>
      </w:r>
    </w:p>
    <w:p>
      <w:pPr>
        <w:spacing w:after="0" w:line="7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41"/>
          <w:szCs w:val="41"/>
          <w:b w:val="1"/>
          <w:bCs w:val="1"/>
          <w:color w:val="auto"/>
        </w:rPr>
        <w:t>Y-mAbs Therapeutics, Inc.</w:t>
      </w:r>
    </w:p>
    <w:p>
      <w:pPr>
        <w:spacing w:after="0" w:line="64"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9019"/>
          </w:cols>
          <w:pgMar w:left="1440" w:top="657" w:right="1440" w:bottom="1440" w:gutter="0" w:footer="0" w:header="0"/>
        </w:sectPr>
      </w:pPr>
    </w:p>
    <w:p>
      <w:pPr>
        <w:spacing w:after="0" w:line="21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6"/>
          <w:szCs w:val="16"/>
          <w:b w:val="1"/>
          <w:bCs w:val="1"/>
          <w:color w:val="auto"/>
        </w:rPr>
        <w:t>47-4619612</w:t>
      </w:r>
    </w:p>
    <w:p>
      <w:pPr>
        <w:spacing w:after="0" w:line="28"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4940" w:space="720"/>
            <w:col w:w="3359"/>
          </w:cols>
          <w:pgMar w:left="1440" w:top="657" w:right="1440" w:bottom="1440" w:gutter="0" w:footer="0" w:header="0"/>
          <w:type w:val="continuous"/>
        </w:sectPr>
      </w:pPr>
    </w:p>
    <w:p>
      <w:pPr>
        <w:spacing w:after="0" w:line="25"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202 Carnegie Center Suite 301</w:t>
      </w:r>
    </w:p>
    <w:p>
      <w:pPr>
        <w:spacing w:after="0" w:line="2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Princeton, NJ 08540</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1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2018 Equity Incentive Plan</w:t>
      </w:r>
    </w:p>
    <w:p>
      <w:pPr>
        <w:spacing w:after="0" w:line="2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(Full title of the plans)</w:t>
      </w:r>
    </w:p>
    <w:p>
      <w:pPr>
        <w:spacing w:after="0" w:line="11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Michael Rossi</w:t>
      </w:r>
    </w:p>
    <w:p>
      <w:pPr>
        <w:spacing w:after="0" w:line="2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Y-mAbs Therapeutics, Inc.</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202 Carnegie Center Suite 301</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Princeton, New Jersey 08540</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Tel: (646) 885-8505</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22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12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Divakar Gupta</w:t>
      </w:r>
    </w:p>
    <w:p>
      <w:pPr>
        <w:spacing w:after="0" w:line="2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Sarah K. Sellers</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Cooley LLP</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55 Hudson Yards</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New York, NY 10001</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Telephone: (212) 479-6000</w:t>
      </w:r>
    </w:p>
    <w:p>
      <w:pPr>
        <w:spacing w:after="0" w:line="227" w:lineRule="exact"/>
        <w:rPr>
          <w:sz w:val="24"/>
          <w:szCs w:val="24"/>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60" w:type="dxa"/>
        <w:tblCellMar>
          <w:top w:w="0" w:type="dxa"/>
          <w:left w:w="0" w:type="dxa"/>
          <w:bottom w:w="0" w:type="dxa"/>
          <w:right w:w="0" w:type="dxa"/>
        </w:tblCellMar>
      </w:tblP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3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Accelerated filer</w:t>
            </w:r>
          </w:p>
        </w:tc>
        <w:tc>
          <w:tcPr>
            <w:tcW w:w="1500" w:type="dxa"/>
            <w:vAlign w:val="bottom"/>
          </w:tcPr>
          <w:p>
            <w:pPr>
              <w:ind w:left="1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3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500" w:type="dxa"/>
            <w:vAlign w:val="bottom"/>
          </w:tcPr>
          <w:p>
            <w:pPr>
              <w:ind w:left="1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500" w:type="dxa"/>
            <w:vAlign w:val="bottom"/>
          </w:tcPr>
          <w:p>
            <w:pPr>
              <w:ind w:left="1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4"/>
          <w:szCs w:val="24"/>
          <w:color w:val="auto"/>
        </w:rPr>
      </w:pPr>
    </w:p>
    <w:p>
      <w:pPr>
        <w:ind w:left="60" w:right="7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802005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150495</wp:posOffset>
            </wp:positionV>
            <wp:extent cx="565785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133350</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ind w:left="60" w:right="59" w:firstLine="32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Y-mAbs Therapeutics,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is filing this Registration Statement on Form S-8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for the purpose of registering 1,799,532 shares of the Registrant’s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issuable to eligible persons under the Registrant’s 2018 Equity Incentive Plan (the “</w:t>
      </w:r>
      <w:r>
        <w:rPr>
          <w:rFonts w:ascii="Times New Roman" w:cs="Times New Roman" w:eastAsia="Times New Roman" w:hAnsi="Times New Roman"/>
          <w:sz w:val="18"/>
          <w:szCs w:val="18"/>
          <w:b w:val="1"/>
          <w:bCs w:val="1"/>
          <w:i w:val="1"/>
          <w:iCs w:val="1"/>
          <w:color w:val="auto"/>
        </w:rPr>
        <w:t>2018 EIP</w:t>
      </w:r>
      <w:r>
        <w:rPr>
          <w:rFonts w:ascii="Times New Roman" w:cs="Times New Roman" w:eastAsia="Times New Roman" w:hAnsi="Times New Roman"/>
          <w:sz w:val="18"/>
          <w:szCs w:val="18"/>
          <w:color w:val="auto"/>
        </w:rPr>
        <w:t xml:space="preserve">”), which Common Stock is in addition to, and of the same class as, the shares of Common Stock for which the Registrant previously filed registration statements on Form S-8 (File Nos. </w:t>
      </w:r>
      <w:hyperlink r:id="rId13">
        <w:r>
          <w:rPr>
            <w:rFonts w:ascii="Times New Roman" w:cs="Times New Roman" w:eastAsia="Times New Roman" w:hAnsi="Times New Roman"/>
            <w:sz w:val="18"/>
            <w:szCs w:val="18"/>
            <w:u w:val="single" w:color="auto"/>
            <w:color w:val="0000EE"/>
          </w:rPr>
          <w:t>333-230455</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333-271007</w:t>
        </w:r>
      </w:hyperlink>
      <w:r>
        <w:rPr>
          <w:rFonts w:ascii="Times New Roman" w:cs="Times New Roman" w:eastAsia="Times New Roman" w:hAnsi="Times New Roman"/>
          <w:sz w:val="18"/>
          <w:szCs w:val="18"/>
          <w:color w:val="auto"/>
        </w:rPr>
        <w:t xml:space="preserve">, and </w:t>
      </w:r>
      <w:hyperlink r:id="rId15">
        <w:r>
          <w:rPr>
            <w:rFonts w:ascii="Times New Roman" w:cs="Times New Roman" w:eastAsia="Times New Roman" w:hAnsi="Times New Roman"/>
            <w:sz w:val="18"/>
            <w:szCs w:val="18"/>
            <w:u w:val="single" w:color="auto"/>
            <w:color w:val="0000EE"/>
          </w:rPr>
          <w:t>333-277541</w:t>
        </w:r>
      </w:hyperlink>
      <w:r>
        <w:rPr>
          <w:rFonts w:ascii="Times New Roman" w:cs="Times New Roman" w:eastAsia="Times New Roman" w:hAnsi="Times New Roman"/>
          <w:sz w:val="18"/>
          <w:szCs w:val="18"/>
          <w:color w:val="auto"/>
        </w:rPr>
        <w:t>) with the Commission on March 22, 2019, March 30, 2023 and February 29, 2024, respectively (the “</w:t>
      </w:r>
      <w:r>
        <w:rPr>
          <w:rFonts w:ascii="Times New Roman" w:cs="Times New Roman" w:eastAsia="Times New Roman" w:hAnsi="Times New Roman"/>
          <w:sz w:val="18"/>
          <w:szCs w:val="18"/>
          <w:b w:val="1"/>
          <w:bCs w:val="1"/>
          <w:i w:val="1"/>
          <w:iCs w:val="1"/>
          <w:color w:val="auto"/>
        </w:rPr>
        <w:t>Prior S-8 Registration Statements</w:t>
      </w:r>
      <w:r>
        <w:rPr>
          <w:rFonts w:ascii="Times New Roman" w:cs="Times New Roman" w:eastAsia="Times New Roman" w:hAnsi="Times New Roman"/>
          <w:sz w:val="18"/>
          <w:szCs w:val="18"/>
          <w:color w:val="auto"/>
        </w:rPr>
        <w:t>”). Accordingly, the contents of the Prior S-8 Registration Statements are incorporated by reference into this Registration Statement pursuant to General Instruction E of Form S-8. The additional shares of Common Stock registered hereby have become reserved for issuance as a result of the operation of the “evergreen” provision in the 2018 EIP, which provides that the total number of shares subject to the plan may be increased each year pursuant to a specified formula as set forth in the 2018 EIP.</w:t>
      </w:r>
    </w:p>
    <w:p>
      <w:pPr>
        <w:spacing w:after="0" w:line="18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incorporated by reference into this</w:t>
      </w:r>
    </w:p>
    <w:p>
      <w:pPr>
        <w:spacing w:after="0" w:line="27"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207" w:lineRule="exact"/>
        <w:rPr>
          <w:rFonts w:ascii="Times New Roman" w:cs="Times New Roman" w:eastAsia="Times New Roman" w:hAnsi="Times New Roman"/>
          <w:sz w:val="18"/>
          <w:szCs w:val="18"/>
          <w:color w:val="auto"/>
        </w:rPr>
      </w:pPr>
    </w:p>
    <w:p>
      <w:pPr>
        <w:jc w:val="both"/>
        <w:ind w:left="60" w:right="59" w:firstLine="324"/>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Annual Report on Form 10-K for the year ended December 31, 2024, filed with the Commission on </w:t>
      </w:r>
      <w:hyperlink r:id="rId16">
        <w:r>
          <w:rPr>
            <w:rFonts w:ascii="Times New Roman" w:cs="Times New Roman" w:eastAsia="Times New Roman" w:hAnsi="Times New Roman"/>
            <w:sz w:val="18"/>
            <w:szCs w:val="18"/>
            <w:u w:val="single" w:color="auto"/>
            <w:color w:val="0000EE"/>
          </w:rPr>
          <w:t>March 4, 2025</w:t>
        </w:r>
      </w:hyperlink>
      <w:r>
        <w:rPr>
          <w:rFonts w:ascii="Times New Roman" w:cs="Times New Roman" w:eastAsia="Times New Roman" w:hAnsi="Times New Roman"/>
          <w:sz w:val="18"/>
          <w:szCs w:val="18"/>
          <w:color w:val="000000"/>
        </w:rPr>
        <w:t>.</w:t>
      </w:r>
    </w:p>
    <w:p>
      <w:pPr>
        <w:spacing w:after="0" w:line="162"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 on Form 8-K filed with Commission on </w:t>
      </w:r>
      <w:hyperlink r:id="rId17">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0" w:right="79" w:firstLine="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which is contained in Exhibit 4.2 to the Registrant’s Annual Report on Form 10-K for the year ended December 31, 2024 filed with the Commission on </w:t>
      </w:r>
      <w:hyperlink r:id="rId18">
        <w:r>
          <w:rPr>
            <w:rFonts w:ascii="Times New Roman" w:cs="Times New Roman" w:eastAsia="Times New Roman" w:hAnsi="Times New Roman"/>
            <w:sz w:val="18"/>
            <w:szCs w:val="18"/>
            <w:u w:val="single" w:color="auto"/>
            <w:color w:val="0000EE"/>
          </w:rPr>
          <w:t>March 4, 2025</w:t>
        </w:r>
      </w:hyperlink>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left="60" w:right="59" w:firstLine="324"/>
        <w:spacing w:after="0" w:line="266" w:lineRule="auto"/>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auto"/>
          </w:rPr>
          <w:t xml:space="preserve">The contents of the Registrant’s Registration Statements on Form S-8 filed with the Commission on </w:t>
        </w:r>
        <w:r>
          <w:rPr>
            <w:rFonts w:ascii="Times New Roman" w:cs="Times New Roman" w:eastAsia="Times New Roman" w:hAnsi="Times New Roman"/>
            <w:sz w:val="18"/>
            <w:szCs w:val="18"/>
            <w:u w:val="single" w:color="auto"/>
            <w:color w:val="0000EE"/>
          </w:rPr>
          <w:t>March 22, 2019</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EE"/>
          </w:rPr>
          <w:t>(File No. 333-230455)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4">
        <w:r>
          <w:rPr>
            <w:rFonts w:ascii="Times New Roman" w:cs="Times New Roman" w:eastAsia="Times New Roman" w:hAnsi="Times New Roman"/>
            <w:sz w:val="18"/>
            <w:szCs w:val="18"/>
            <w:u w:val="single" w:color="auto"/>
            <w:color w:val="0000EE"/>
          </w:rPr>
          <w:t xml:space="preserve">March 30, 2023 (File No. 333-271007) </w:t>
        </w:r>
      </w:hyperlink>
      <w:hyperlink r:id="rId1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February 29, 2024 (File No. 333-277541)</w:t>
        </w:r>
      </w:hyperlink>
      <w:hyperlink r:id="rId13">
        <w:r>
          <w:rPr>
            <w:rFonts w:ascii="Times New Roman" w:cs="Times New Roman" w:eastAsia="Times New Roman" w:hAnsi="Times New Roman"/>
            <w:sz w:val="18"/>
            <w:szCs w:val="18"/>
            <w:color w:val="000000"/>
          </w:rPr>
          <w:t>, pursuant to</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the Registrant previously registered shares of its Common Stock for issuance under the 2018 EIP.</w:t>
      </w:r>
    </w:p>
    <w:p>
      <w:pPr>
        <w:spacing w:after="0" w:line="176" w:lineRule="exact"/>
        <w:rPr>
          <w:rFonts w:ascii="Times New Roman" w:cs="Times New Roman" w:eastAsia="Times New Roman" w:hAnsi="Times New Roman"/>
          <w:sz w:val="18"/>
          <w:szCs w:val="18"/>
          <w:color w:val="0000EE"/>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All other reports and documents subsequently filed by the Registrant pursuant to Sections 13(a), 13(c), 14 and 15(d) of the Securities Exchange Act of 1934, as amended,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46"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40" w:type="dxa"/>
            <w:vAlign w:val="bottom"/>
            <w:gridSpan w:val="19"/>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40" w:type="dxa"/>
            <w:vAlign w:val="bottom"/>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4"/>
                <w:szCs w:val="14"/>
                <w:color w:val="auto"/>
              </w:rPr>
            </w:pPr>
          </w:p>
        </w:tc>
        <w:tc>
          <w:tcPr>
            <w:tcW w:w="3740" w:type="dxa"/>
            <w:vAlign w:val="bottom"/>
            <w:tcBorders>
              <w:top w:val="single" w:sz="8" w:color="auto"/>
              <w:bottom w:val="single" w:sz="8" w:color="0000EE"/>
            </w:tcBorders>
            <w:gridSpan w:val="22"/>
          </w:tcPr>
          <w:p>
            <w:pPr>
              <w:spacing w:after="0" w:line="169"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Amended and Restated Certificate of Incorporation.</w:t>
              </w:r>
            </w:hyperlink>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23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Amended and Restated Bylaws.</w:t>
              </w:r>
            </w:hyperlink>
          </w:p>
        </w:tc>
        <w:tc>
          <w:tcPr>
            <w:tcW w:w="15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37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Specimen stock certificate evidencing the shares of</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gridSpan w:val="23"/>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Common Stock.</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19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2018 Equity Incentive Plan</w:t>
              </w:r>
            </w:hyperlink>
          </w:p>
        </w:tc>
        <w:tc>
          <w:tcPr>
            <w:tcW w:w="18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24"/>
                <w:szCs w:val="24"/>
                <w:color w:val="auto"/>
              </w:rPr>
            </w:pPr>
          </w:p>
        </w:tc>
        <w:tc>
          <w:tcPr>
            <w:tcW w:w="33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Form of Stock Option Grant Notice and Stock</w:t>
              </w:r>
            </w:hyperlink>
          </w:p>
        </w:tc>
        <w:tc>
          <w:tcPr>
            <w:tcW w:w="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Option Agreement under the 2018 Equity Incentive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2"/>
              </w:rPr>
            </w:pPr>
            <w:hyperlink r:id="rId24">
              <w:r>
                <w:rPr>
                  <w:rFonts w:ascii="Times New Roman" w:cs="Times New Roman" w:eastAsia="Times New Roman" w:hAnsi="Times New Roman"/>
                  <w:sz w:val="18"/>
                  <w:szCs w:val="18"/>
                  <w:color w:val="0000EE"/>
                  <w:w w:val="92"/>
                </w:rPr>
                <w:t>Plan.</w:t>
              </w:r>
            </w:hyperlink>
          </w:p>
        </w:tc>
        <w:tc>
          <w:tcPr>
            <w:tcW w:w="34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24"/>
                <w:szCs w:val="24"/>
                <w:color w:val="auto"/>
              </w:rPr>
            </w:pPr>
          </w:p>
        </w:tc>
        <w:tc>
          <w:tcPr>
            <w:tcW w:w="33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Form of Stock Option Grant Notice and Stock</w:t>
              </w:r>
            </w:hyperlink>
          </w:p>
        </w:tc>
        <w:tc>
          <w:tcPr>
            <w:tcW w:w="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Option Agreement for directors under the 2018</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Equity Incentive Plan.</w:t>
              </w:r>
            </w:hyperlink>
          </w:p>
        </w:tc>
        <w:tc>
          <w:tcPr>
            <w:tcW w:w="22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Pr>
          <w:p>
            <w:pPr>
              <w:spacing w:after="0"/>
              <w:rPr>
                <w:sz w:val="24"/>
                <w:szCs w:val="24"/>
                <w:color w:val="auto"/>
              </w:rPr>
            </w:pPr>
          </w:p>
        </w:tc>
        <w:tc>
          <w:tcPr>
            <w:tcW w:w="36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Form of Restricted Stock Award Grant Notice and</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Restricted Stock Award Agreement under the 2018</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Equity Incentive Plan.</w:t>
              </w:r>
            </w:hyperlink>
          </w:p>
        </w:tc>
        <w:tc>
          <w:tcPr>
            <w:tcW w:w="22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tcPr>
          <w:p>
            <w:pPr>
              <w:spacing w:after="0"/>
              <w:rPr>
                <w:sz w:val="24"/>
                <w:szCs w:val="24"/>
                <w:color w:val="auto"/>
              </w:rPr>
            </w:pPr>
          </w:p>
        </w:tc>
        <w:tc>
          <w:tcPr>
            <w:tcW w:w="37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 of Restricted Stock Unit Award Grant Notice</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and Restricted Stock Unit Award Agreement under</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gridSpan w:val="23"/>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the 2018 Equity Incentive Plan.</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Pr>
          <w:p>
            <w:pPr>
              <w:spacing w:after="0"/>
              <w:rPr>
                <w:sz w:val="24"/>
                <w:szCs w:val="24"/>
                <w:color w:val="auto"/>
              </w:rPr>
            </w:pPr>
          </w:p>
        </w:tc>
        <w:tc>
          <w:tcPr>
            <w:tcW w:w="36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Form of Performance Restricted Stock Unit Award</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gridSpan w:val="23"/>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Grant Notice and Restricted Stock Unit Award</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gridSpan w:val="23"/>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Agreement under the 2018 Equity Incentive Plan</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34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Opinion of Cooley LLP.</w:t>
            </w:r>
          </w:p>
        </w:tc>
        <w:tc>
          <w:tcPr>
            <w:tcW w:w="1780" w:type="dxa"/>
            <w:vAlign w:val="bottom"/>
            <w:tcBorders>
              <w:top w:val="single" w:sz="8" w:color="0000EE"/>
            </w:tcBorders>
            <w:gridSpan w:val="8"/>
          </w:tcPr>
          <w:p>
            <w:pPr>
              <w:spacing w:after="0"/>
              <w:rPr>
                <w:sz w:val="24"/>
                <w:szCs w:val="24"/>
                <w:color w:val="auto"/>
              </w:rPr>
            </w:pPr>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4"/>
                <w:szCs w:val="24"/>
                <w:color w:val="auto"/>
              </w:rPr>
            </w:pPr>
          </w:p>
        </w:tc>
        <w:tc>
          <w:tcPr>
            <w:tcW w:w="38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4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4"/>
                <w:szCs w:val="24"/>
                <w:color w:val="auto"/>
              </w:rPr>
            </w:pPr>
          </w:p>
        </w:tc>
        <w:tc>
          <w:tcPr>
            <w:tcW w:w="38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Cooley LLP (included in Exhibit 5.1).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80" w:type="dxa"/>
            <w:vAlign w:val="bottom"/>
            <w:gridSpan w:val="11"/>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4"/>
                <w:szCs w:val="24"/>
                <w:color w:val="auto"/>
              </w:rPr>
            </w:pPr>
          </w:p>
        </w:tc>
        <w:tc>
          <w:tcPr>
            <w:tcW w:w="36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w:t>
            </w:r>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of this Form S-8)</w:t>
            </w:r>
          </w:p>
        </w:tc>
        <w:tc>
          <w:tcPr>
            <w:tcW w:w="25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1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Exhibit Fee Table</w:t>
            </w:r>
          </w:p>
        </w:tc>
        <w:tc>
          <w:tcPr>
            <w:tcW w:w="25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80" w:hanging="330"/>
        <w:spacing w:after="0"/>
        <w:tabs>
          <w:tab w:leader="none" w:pos="3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00" w:type="dxa"/>
            <w:vAlign w:val="bottom"/>
            <w:tcBorders>
              <w:top w:val="single" w:sz="8" w:color="auto"/>
            </w:tcBorders>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Schedule</w:t>
            </w:r>
          </w:p>
        </w:tc>
        <w:tc>
          <w:tcPr>
            <w:tcW w:w="116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6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6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6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Pr>
          <w:p>
            <w:pPr>
              <w:spacing w:after="0"/>
              <w:rPr>
                <w:sz w:val="19"/>
                <w:szCs w:val="19"/>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001-38650</w:t>
            </w:r>
          </w:p>
        </w:tc>
        <w:tc>
          <w:tcPr>
            <w:tcW w:w="80" w:type="dxa"/>
            <w:vAlign w:val="bottom"/>
          </w:tcPr>
          <w:p>
            <w:pPr>
              <w:spacing w:after="0"/>
              <w:rPr>
                <w:sz w:val="19"/>
                <w:szCs w:val="19"/>
                <w:color w:val="auto"/>
              </w:rPr>
            </w:pPr>
          </w:p>
        </w:tc>
        <w:tc>
          <w:tcPr>
            <w:tcW w:w="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September 26, 2018</w:t>
            </w:r>
          </w:p>
        </w:tc>
        <w:tc>
          <w:tcPr>
            <w:tcW w:w="0" w:type="dxa"/>
            <w:vAlign w:val="bottom"/>
          </w:tcPr>
          <w:p>
            <w:pPr>
              <w:spacing w:after="0"/>
              <w:rPr>
                <w:sz w:val="1"/>
                <w:szCs w:val="1"/>
                <w:color w:val="auto"/>
              </w:rPr>
            </w:pPr>
          </w:p>
        </w:tc>
      </w:tr>
      <w:tr>
        <w:trPr>
          <w:trHeight w:val="346"/>
        </w:trPr>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001-38650</w:t>
            </w: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September 26, 2018</w:t>
            </w:r>
          </w:p>
        </w:tc>
        <w:tc>
          <w:tcPr>
            <w:tcW w:w="0" w:type="dxa"/>
            <w:vAlign w:val="bottom"/>
          </w:tcPr>
          <w:p>
            <w:pPr>
              <w:spacing w:after="0"/>
              <w:rPr>
                <w:sz w:val="1"/>
                <w:szCs w:val="1"/>
                <w:color w:val="auto"/>
              </w:rPr>
            </w:pPr>
          </w:p>
        </w:tc>
      </w:tr>
      <w:tr>
        <w:trPr>
          <w:trHeight w:val="364"/>
        </w:trPr>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S-1</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333-226999</w:t>
            </w: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September 7, 2018</w:t>
            </w:r>
          </w:p>
        </w:tc>
        <w:tc>
          <w:tcPr>
            <w:tcW w:w="0" w:type="dxa"/>
            <w:vAlign w:val="bottom"/>
          </w:tcPr>
          <w:p>
            <w:pPr>
              <w:spacing w:after="0"/>
              <w:rPr>
                <w:sz w:val="1"/>
                <w:szCs w:val="1"/>
                <w:color w:val="auto"/>
              </w:rPr>
            </w:pPr>
          </w:p>
        </w:tc>
      </w:tr>
      <w:tr>
        <w:trPr>
          <w:trHeight w:val="581"/>
        </w:trPr>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S-1</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333-226999</w:t>
            </w: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6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August 24, 2018</w:t>
            </w:r>
          </w:p>
        </w:tc>
        <w:tc>
          <w:tcPr>
            <w:tcW w:w="0" w:type="dxa"/>
            <w:vAlign w:val="bottom"/>
          </w:tcPr>
          <w:p>
            <w:pPr>
              <w:spacing w:after="0"/>
              <w:rPr>
                <w:sz w:val="1"/>
                <w:szCs w:val="1"/>
                <w:color w:val="auto"/>
              </w:rPr>
            </w:pPr>
          </w:p>
        </w:tc>
      </w:tr>
      <w:tr>
        <w:trPr>
          <w:trHeight w:val="364"/>
        </w:trPr>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001-38650</w:t>
            </w: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2020</w:t>
            </w:r>
          </w:p>
        </w:tc>
        <w:tc>
          <w:tcPr>
            <w:tcW w:w="0" w:type="dxa"/>
            <w:vAlign w:val="bottom"/>
          </w:tcPr>
          <w:p>
            <w:pPr>
              <w:spacing w:after="0"/>
              <w:rPr>
                <w:sz w:val="1"/>
                <w:szCs w:val="1"/>
                <w:color w:val="auto"/>
              </w:rPr>
            </w:pPr>
          </w:p>
        </w:tc>
      </w:tr>
      <w:tr>
        <w:trPr>
          <w:trHeight w:val="797"/>
        </w:trPr>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001-38650</w:t>
            </w: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6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2022</w:t>
            </w:r>
          </w:p>
        </w:tc>
        <w:tc>
          <w:tcPr>
            <w:tcW w:w="0" w:type="dxa"/>
            <w:vAlign w:val="bottom"/>
          </w:tcPr>
          <w:p>
            <w:pPr>
              <w:spacing w:after="0"/>
              <w:rPr>
                <w:sz w:val="1"/>
                <w:szCs w:val="1"/>
                <w:color w:val="auto"/>
              </w:rPr>
            </w:pPr>
          </w:p>
        </w:tc>
      </w:tr>
      <w:tr>
        <w:trPr>
          <w:trHeight w:val="796"/>
        </w:trPr>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S-1</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333-226999</w:t>
            </w: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August 24, 2018</w:t>
            </w:r>
          </w:p>
        </w:tc>
        <w:tc>
          <w:tcPr>
            <w:tcW w:w="0" w:type="dxa"/>
            <w:vAlign w:val="bottom"/>
          </w:tcPr>
          <w:p>
            <w:pPr>
              <w:spacing w:after="0"/>
              <w:rPr>
                <w:sz w:val="1"/>
                <w:szCs w:val="1"/>
                <w:color w:val="auto"/>
              </w:rPr>
            </w:pPr>
          </w:p>
        </w:tc>
      </w:tr>
      <w:tr>
        <w:trPr>
          <w:trHeight w:val="797"/>
        </w:trPr>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S-1</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333-226999</w:t>
            </w: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August 24, 2018</w:t>
            </w:r>
          </w:p>
        </w:tc>
        <w:tc>
          <w:tcPr>
            <w:tcW w:w="0" w:type="dxa"/>
            <w:vAlign w:val="bottom"/>
          </w:tcPr>
          <w:p>
            <w:pPr>
              <w:spacing w:after="0"/>
              <w:rPr>
                <w:sz w:val="1"/>
                <w:szCs w:val="1"/>
                <w:color w:val="auto"/>
              </w:rPr>
            </w:pPr>
          </w:p>
        </w:tc>
      </w:tr>
      <w:tr>
        <w:trPr>
          <w:trHeight w:val="797"/>
        </w:trPr>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001-38650</w:t>
            </w: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10.46</w:t>
            </w:r>
          </w:p>
        </w:tc>
        <w:tc>
          <w:tcPr>
            <w:tcW w:w="16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bl>
    <w:p>
      <w:pPr>
        <w:sectPr>
          <w:pgSz w:w="11900" w:h="16838" w:orient="portrait"/>
          <w:cols w:equalWidth="0" w:num="2">
            <w:col w:w="4700" w:space="80"/>
            <w:col w:w="4239"/>
          </w:cols>
          <w:pgMar w:left="1440" w:top="117"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or amendment thereto to be signed on its behalf by the undersigned, thereunto duly authorized, in Princeton, State of New Jersey, on this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4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By:/s/ Michael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5715</wp:posOffset>
            </wp:positionV>
            <wp:extent cx="2503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5020"/>
        <w:spacing w:after="0"/>
        <w:rPr>
          <w:sz w:val="20"/>
          <w:szCs w:val="20"/>
          <w:color w:val="auto"/>
        </w:rPr>
      </w:pPr>
      <w:r>
        <w:rPr>
          <w:rFonts w:ascii="Times New Roman" w:cs="Times New Roman" w:eastAsia="Times New Roman" w:hAnsi="Times New Roman"/>
          <w:sz w:val="18"/>
          <w:szCs w:val="18"/>
          <w:color w:val="auto"/>
        </w:rPr>
        <w:t>Name: Michael Rossi</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9" w:lineRule="exact"/>
        <w:rPr>
          <w:sz w:val="20"/>
          <w:szCs w:val="20"/>
          <w:color w:val="auto"/>
        </w:rPr>
      </w:pPr>
    </w:p>
    <w:p>
      <w:pPr>
        <w:jc w:val="both"/>
        <w:ind w:left="60" w:right="120" w:firstLine="324"/>
        <w:spacing w:after="0" w:line="254"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Michael Rossi, Peter Pfreundschuh and John LaRocca,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88" w:lineRule="exact"/>
        <w:rPr>
          <w:sz w:val="20"/>
          <w:szCs w:val="20"/>
          <w:color w:val="auto"/>
        </w:rPr>
      </w:pPr>
    </w:p>
    <w:p>
      <w:pPr>
        <w:jc w:val="both"/>
        <w:ind w:left="60" w:right="1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9080"/>
          </w:cols>
          <w:pgMar w:left="1440" w:top="117" w:right="1379" w:bottom="1440" w:gutter="0" w:footer="0" w:header="0"/>
        </w:sectPr>
      </w:pPr>
    </w:p>
    <w:p>
      <w:pPr>
        <w:spacing w:after="0" w:line="15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19685</wp:posOffset>
            </wp:positionV>
            <wp:extent cx="15087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 MICHAEL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14605</wp:posOffset>
            </wp:positionV>
            <wp:extent cx="1508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Michael Rossi</w:t>
      </w:r>
    </w:p>
    <w:p>
      <w:pPr>
        <w:spacing w:after="0" w:line="3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/s/ PETER PFREUNDSCHUH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24765</wp:posOffset>
            </wp:positionV>
            <wp:extent cx="15087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Peter Pfreundschuh</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 THOMAS GAD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17145</wp:posOffset>
            </wp:positionV>
            <wp:extent cx="15087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Thomas Gad</w:t>
      </w:r>
    </w:p>
    <w:p>
      <w:pPr>
        <w:spacing w:after="0" w:line="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 JOHAN WEDELL-</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5715</wp:posOffset>
            </wp:positionV>
            <wp:extent cx="15087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jc w:val="center"/>
        <w:ind w:right="140"/>
        <w:spacing w:after="0"/>
        <w:rPr>
          <w:sz w:val="20"/>
          <w:szCs w:val="20"/>
          <w:color w:val="auto"/>
        </w:rPr>
      </w:pPr>
      <w:r>
        <w:rPr>
          <w:rFonts w:ascii="Times New Roman" w:cs="Times New Roman" w:eastAsia="Times New Roman" w:hAnsi="Times New Roman"/>
          <w:sz w:val="18"/>
          <w:szCs w:val="18"/>
          <w:color w:val="auto"/>
        </w:rPr>
        <w:t>Johan Wedell-Wedellsborg</w:t>
      </w:r>
    </w:p>
    <w:p>
      <w:pPr>
        <w:spacing w:after="0" w:line="36" w:lineRule="exact"/>
        <w:rPr>
          <w:sz w:val="20"/>
          <w:szCs w:val="20"/>
          <w:color w:val="auto"/>
        </w:rPr>
      </w:pPr>
    </w:p>
    <w:p>
      <w:pPr>
        <w:jc w:val="center"/>
        <w:ind w:right="140"/>
        <w:spacing w:after="0" w:line="285" w:lineRule="auto"/>
        <w:rPr>
          <w:sz w:val="20"/>
          <w:szCs w:val="20"/>
          <w:color w:val="auto"/>
        </w:rPr>
      </w:pPr>
      <w:r>
        <w:rPr>
          <w:rFonts w:ascii="Times New Roman" w:cs="Times New Roman" w:eastAsia="Times New Roman" w:hAnsi="Times New Roman"/>
          <w:sz w:val="18"/>
          <w:szCs w:val="18"/>
          <w:color w:val="auto"/>
        </w:rPr>
        <w:t>/s/ LAURA J. HAMILL Laura J. Hamill /s/ MARY TAGLIAFERRI Mary Tagliaferri /s/ ASHUTOSH TYAGI Ashutosh Tyagi /s/ JAMES I. HEALEY James I. Healy /s/ DAVID N. GILL David N.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-20955</wp:posOffset>
            </wp:positionV>
            <wp:extent cx="15087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-329565</wp:posOffset>
            </wp:positionV>
            <wp:extent cx="1508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150876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-638175</wp:posOffset>
            </wp:positionV>
            <wp:extent cx="15087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-946785</wp:posOffset>
            </wp:positionV>
            <wp:extent cx="15087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-1255395</wp:posOffset>
            </wp:positionV>
            <wp:extent cx="15087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78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30"/>
        </w:trPr>
        <w:tc>
          <w:tcPr>
            <w:tcW w:w="46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Director, President, Chief Executive Officer</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0" w:type="dxa"/>
            <w:vAlign w:val="bottom"/>
          </w:tcPr>
          <w:p>
            <w:pPr>
              <w:spacing w:after="0"/>
              <w:rPr>
                <w:sz w:val="1"/>
                <w:szCs w:val="1"/>
                <w:color w:val="auto"/>
              </w:rPr>
            </w:pPr>
          </w:p>
        </w:tc>
      </w:tr>
      <w:tr>
        <w:trPr>
          <w:trHeight w:val="101"/>
        </w:trPr>
        <w:tc>
          <w:tcPr>
            <w:tcW w:w="462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620" w:type="dxa"/>
            <w:vAlign w:val="bottom"/>
            <w:gridSpan w:val="2"/>
            <w:vMerge w:val="continue"/>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6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0" w:type="dxa"/>
            <w:vAlign w:val="bottom"/>
          </w:tcPr>
          <w:p>
            <w:pPr>
              <w:spacing w:after="0"/>
              <w:rPr>
                <w:sz w:val="1"/>
                <w:szCs w:val="1"/>
                <w:color w:val="auto"/>
              </w:rPr>
            </w:pPr>
          </w:p>
        </w:tc>
      </w:tr>
      <w:tr>
        <w:trPr>
          <w:trHeight w:val="236"/>
        </w:trPr>
        <w:tc>
          <w:tcPr>
            <w:tcW w:w="46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i w:val="1"/>
                <w:iCs w:val="1"/>
                <w:color w:val="auto"/>
                <w:w w:val="99"/>
              </w:rPr>
              <w:t>(Principal Financial Accounting Officer)</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0" w:type="dxa"/>
            <w:vAlign w:val="bottom"/>
          </w:tcPr>
          <w:p>
            <w:pPr>
              <w:spacing w:after="0"/>
              <w:rPr>
                <w:sz w:val="1"/>
                <w:szCs w:val="1"/>
                <w:color w:val="auto"/>
              </w:rPr>
            </w:pPr>
          </w:p>
        </w:tc>
      </w:tr>
      <w:tr>
        <w:trPr>
          <w:trHeight w:val="918"/>
        </w:trPr>
        <w:tc>
          <w:tcPr>
            <w:tcW w:w="46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0" w:type="dxa"/>
            <w:vAlign w:val="bottom"/>
          </w:tcPr>
          <w:p>
            <w:pPr>
              <w:spacing w:after="0"/>
              <w:rPr>
                <w:sz w:val="1"/>
                <w:szCs w:val="1"/>
                <w:color w:val="auto"/>
              </w:rPr>
            </w:pPr>
          </w:p>
        </w:tc>
      </w:tr>
      <w:tr>
        <w:trPr>
          <w:trHeight w:val="486"/>
        </w:trPr>
        <w:tc>
          <w:tcPr>
            <w:tcW w:w="46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0" w:type="dxa"/>
            <w:vAlign w:val="bottom"/>
          </w:tcPr>
          <w:p>
            <w:pPr>
              <w:spacing w:after="0"/>
              <w:rPr>
                <w:sz w:val="1"/>
                <w:szCs w:val="1"/>
                <w:color w:val="auto"/>
              </w:rPr>
            </w:pPr>
          </w:p>
        </w:tc>
      </w:tr>
      <w:tr>
        <w:trPr>
          <w:trHeight w:val="486"/>
        </w:trPr>
        <w:tc>
          <w:tcPr>
            <w:tcW w:w="46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0" w:type="dxa"/>
            <w:vAlign w:val="bottom"/>
          </w:tcPr>
          <w:p>
            <w:pPr>
              <w:spacing w:after="0"/>
              <w:rPr>
                <w:sz w:val="1"/>
                <w:szCs w:val="1"/>
                <w:color w:val="auto"/>
              </w:rPr>
            </w:pPr>
          </w:p>
        </w:tc>
      </w:tr>
      <w:tr>
        <w:trPr>
          <w:trHeight w:val="486"/>
        </w:trPr>
        <w:tc>
          <w:tcPr>
            <w:tcW w:w="46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0" w:type="dxa"/>
            <w:vAlign w:val="bottom"/>
          </w:tcPr>
          <w:p>
            <w:pPr>
              <w:spacing w:after="0"/>
              <w:rPr>
                <w:sz w:val="1"/>
                <w:szCs w:val="1"/>
                <w:color w:val="auto"/>
              </w:rPr>
            </w:pPr>
          </w:p>
        </w:tc>
      </w:tr>
      <w:tr>
        <w:trPr>
          <w:trHeight w:val="486"/>
        </w:trPr>
        <w:tc>
          <w:tcPr>
            <w:tcW w:w="46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0" w:type="dxa"/>
            <w:vAlign w:val="bottom"/>
          </w:tcPr>
          <w:p>
            <w:pPr>
              <w:spacing w:after="0"/>
              <w:rPr>
                <w:sz w:val="1"/>
                <w:szCs w:val="1"/>
                <w:color w:val="auto"/>
              </w:rPr>
            </w:pPr>
          </w:p>
        </w:tc>
      </w:tr>
      <w:tr>
        <w:trPr>
          <w:trHeight w:val="486"/>
        </w:trPr>
        <w:tc>
          <w:tcPr>
            <w:tcW w:w="46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360" w:space="720"/>
            <w:col w:w="6000"/>
          </w:cols>
          <w:pgMar w:left="1440" w:top="117" w:right="1379" w:bottom="1440" w:gutter="0" w:footer="0" w:header="0"/>
          <w:type w:val="continuous"/>
        </w:sectPr>
      </w:pPr>
    </w:p>
    <w:p>
      <w:pPr>
        <w:spacing w:after="0" w:line="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80"/>
          </w:cols>
          <w:pgMar w:left="1440" w:top="117" w:right="1379" w:bottom="1440" w:gutter="0" w:footer="0" w:header="0"/>
          <w:type w:val="continuous"/>
        </w:sectPr>
      </w:pPr>
    </w:p>
    <w:bookmarkStart w:id="5" w:name="page6"/>
    <w:bookmarkEnd w:id="5"/>
    <w:p>
      <w:pPr>
        <w:ind w:left="200"/>
        <w:spacing w:after="0"/>
        <w:tabs>
          <w:tab w:leader="none" w:pos="7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1048385</wp:posOffset>
            </wp:positionH>
            <wp:positionV relativeFrom="page">
              <wp:posOffset>277495</wp:posOffset>
            </wp:positionV>
            <wp:extent cx="1217295"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17295" cy="394335"/>
                    </a:xfrm>
                    <a:prstGeom prst="rect">
                      <a:avLst/>
                    </a:prstGeom>
                    <a:noFill/>
                  </pic:spPr>
                </pic:pic>
              </a:graphicData>
            </a:graphic>
          </wp:anchor>
        </w:drawing>
        <w:t>Sarah K. Sellers</w:t>
      </w:r>
      <w:r>
        <w:rPr>
          <w:sz w:val="20"/>
          <w:szCs w:val="20"/>
          <w:color w:val="auto"/>
        </w:rPr>
        <w:tab/>
      </w:r>
      <w:r>
        <w:rPr>
          <w:rFonts w:ascii="Arial" w:cs="Arial" w:eastAsia="Arial" w:hAnsi="Arial"/>
          <w:sz w:val="17"/>
          <w:szCs w:val="17"/>
          <w:b w:val="1"/>
          <w:bCs w:val="1"/>
          <w:color w:val="auto"/>
        </w:rPr>
        <w:t>Exhibit 5.1</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+1 212 479 6370</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SSellers@cooley.com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4, 2025</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Y-mAbs Therapeutics,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202 Carnegie Center, Suite 301</w:t>
      </w:r>
    </w:p>
    <w:p>
      <w:pPr>
        <w:ind w:left="200"/>
        <w:spacing w:after="0"/>
        <w:rPr>
          <w:sz w:val="20"/>
          <w:szCs w:val="20"/>
          <w:color w:val="auto"/>
        </w:rPr>
      </w:pPr>
      <w:r>
        <w:rPr>
          <w:rFonts w:ascii="Arial" w:cs="Arial" w:eastAsia="Arial" w:hAnsi="Arial"/>
          <w:sz w:val="18"/>
          <w:szCs w:val="18"/>
          <w:color w:val="auto"/>
        </w:rPr>
        <w:t>Princeton, NJ 08540</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 Registration Statement on Form S-8</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Ladies and Gentlemen:</w:t>
      </w:r>
    </w:p>
    <w:p>
      <w:pPr>
        <w:spacing w:after="0" w:line="212"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8"/>
          <w:szCs w:val="18"/>
          <w:color w:val="auto"/>
        </w:rPr>
        <w:t>We have acted as counsel to Y-mAbs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covering the offering of up to 1,799,532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par value $0.0001 per share, issuable pursuant to the Y-mAbs Therapeutics, Inc.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68" w:lineRule="exact"/>
        <w:rPr>
          <w:sz w:val="20"/>
          <w:szCs w:val="20"/>
          <w:color w:val="auto"/>
        </w:rPr>
      </w:pPr>
    </w:p>
    <w:p>
      <w:pPr>
        <w:jc w:val="both"/>
        <w:ind w:left="200" w:right="219"/>
        <w:spacing w:after="0" w:line="245" w:lineRule="auto"/>
        <w:rPr>
          <w:sz w:val="20"/>
          <w:szCs w:val="20"/>
          <w:color w:val="auto"/>
        </w:rPr>
      </w:pPr>
      <w:r>
        <w:rPr>
          <w:rFonts w:ascii="Arial" w:cs="Arial" w:eastAsia="Arial" w:hAnsi="Arial"/>
          <w:sz w:val="18"/>
          <w:szCs w:val="18"/>
          <w:color w:val="auto"/>
        </w:rPr>
        <w:t>In connection with this opinion, we have examined and relied upon (a) the Registration Statement and the related prospectus, (b) the Company’s certificate of incorporation and bylaws, each as currently in effect,</w:t>
      </w:r>
    </w:p>
    <w:p>
      <w:pPr>
        <w:jc w:val="both"/>
        <w:ind w:left="200" w:right="219" w:firstLine="9"/>
        <w:spacing w:after="0" w:line="237" w:lineRule="auto"/>
        <w:tabs>
          <w:tab w:leader="none" w:pos="47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Plan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3"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4"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Plan, the Registration Statement and the related prospectus, will be validly issued, fully paid, and nonassessable (except as to Shares issued pursuant to deferred payment arrangements, which will be fully paid and nonassessable when such deferred payments are made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816610</wp:posOffset>
            </wp:positionV>
            <wp:extent cx="54521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122555</wp:posOffset>
            </wp:positionV>
            <wp:extent cx="2914650" cy="351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2914650" cy="351155"/>
                    </a:xfrm>
                    <a:prstGeom prst="rect">
                      <a:avLst/>
                    </a:prstGeom>
                    <a:noFill/>
                  </pic:spPr>
                </pic:pic>
              </a:graphicData>
            </a:graphic>
          </wp:anchor>
        </w:drawing>
      </w:r>
    </w:p>
    <w:p>
      <w:pPr>
        <w:sectPr>
          <w:pgSz w:w="11900" w:h="16838" w:orient="portrait"/>
          <w:cols w:equalWidth="0" w:num="1">
            <w:col w:w="9019"/>
          </w:cols>
          <w:pgMar w:left="1440" w:top="1390" w:right="1440" w:bottom="1440" w:gutter="0" w:footer="0" w:header="0"/>
        </w:sectPr>
      </w:pPr>
    </w:p>
    <w:bookmarkStart w:id="6" w:name="page7"/>
    <w:bookmarkEnd w:id="6"/>
    <w:p>
      <w:pPr>
        <w:ind w:left="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988060</wp:posOffset>
            </wp:positionH>
            <wp:positionV relativeFrom="page">
              <wp:posOffset>277495</wp:posOffset>
            </wp:positionV>
            <wp:extent cx="1217295" cy="394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217295" cy="394335"/>
                    </a:xfrm>
                    <a:prstGeom prst="rect">
                      <a:avLst/>
                    </a:prstGeom>
                    <a:noFill/>
                  </pic:spPr>
                </pic:pic>
              </a:graphicData>
            </a:graphic>
          </wp:anchor>
        </w:drawing>
        <w:t>Y-mAbs Therapeutics, Inc.</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March 4, 2025</w:t>
      </w:r>
    </w:p>
    <w:p>
      <w:pPr>
        <w:ind w:left="100"/>
        <w:spacing w:after="0"/>
        <w:rPr>
          <w:sz w:val="20"/>
          <w:szCs w:val="20"/>
          <w:color w:val="auto"/>
        </w:rPr>
      </w:pPr>
      <w:r>
        <w:rPr>
          <w:rFonts w:ascii="Arial" w:cs="Arial" w:eastAsia="Arial" w:hAnsi="Arial"/>
          <w:sz w:val="18"/>
          <w:szCs w:val="18"/>
          <w:color w:val="auto"/>
        </w:rPr>
        <w:t>Page 2</w:t>
      </w:r>
    </w:p>
    <w:p>
      <w:pPr>
        <w:spacing w:after="0" w:line="180" w:lineRule="exact"/>
        <w:rPr>
          <w:sz w:val="20"/>
          <w:szCs w:val="20"/>
          <w:color w:val="auto"/>
        </w:rPr>
      </w:pPr>
    </w:p>
    <w:p>
      <w:pPr>
        <w:jc w:val="both"/>
        <w:ind w:left="200" w:right="219"/>
        <w:spacing w:after="0" w:line="244" w:lineRule="auto"/>
        <w:rPr>
          <w:sz w:val="20"/>
          <w:szCs w:val="20"/>
          <w:color w:val="auto"/>
        </w:rPr>
      </w:pPr>
      <w:r>
        <w:rPr>
          <w:rFonts w:ascii="Arial" w:cs="Arial" w:eastAsia="Arial" w:hAnsi="Arial"/>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76"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0" w:lineRule="exact"/>
        <w:rPr>
          <w:sz w:val="20"/>
          <w:szCs w:val="20"/>
          <w:color w:val="auto"/>
        </w:rPr>
      </w:pPr>
    </w:p>
    <w:p>
      <w:pPr>
        <w:spacing w:after="0" w:line="3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ooley</w:t>
      </w:r>
      <w:r>
        <w:rPr>
          <w:rFonts w:ascii="Arial" w:cs="Arial" w:eastAsia="Arial" w:hAnsi="Arial"/>
          <w:sz w:val="18"/>
          <w:szCs w:val="18"/>
          <w:color w:val="auto"/>
        </w:rPr>
        <w:t xml:space="preserve"> LLP</w:t>
      </w:r>
    </w:p>
    <w:p>
      <w:pPr>
        <w:spacing w:after="0" w:line="320" w:lineRule="exact"/>
        <w:rPr>
          <w:sz w:val="20"/>
          <w:szCs w:val="20"/>
          <w:color w:val="auto"/>
        </w:rPr>
      </w:pPr>
    </w:p>
    <w:p>
      <w:pPr>
        <w:jc w:val="right"/>
        <w:ind w:right="6959"/>
        <w:spacing w:after="0"/>
        <w:rPr>
          <w:sz w:val="20"/>
          <w:szCs w:val="20"/>
          <w:color w:val="auto"/>
        </w:rPr>
      </w:pPr>
      <w:r>
        <w:rPr>
          <w:rFonts w:ascii="Arial" w:cs="Arial" w:eastAsia="Arial" w:hAnsi="Arial"/>
          <w:sz w:val="18"/>
          <w:szCs w:val="18"/>
          <w:color w:val="auto"/>
        </w:rPr>
        <w:t>By: /s/ Sarah K. Sellers</w:t>
      </w:r>
    </w:p>
    <w:p>
      <w:pPr>
        <w:spacing w:after="0" w:line="14" w:lineRule="exact"/>
        <w:rPr>
          <w:sz w:val="20"/>
          <w:szCs w:val="20"/>
          <w:color w:val="auto"/>
        </w:rPr>
      </w:pPr>
    </w:p>
    <w:p>
      <w:pPr>
        <w:jc w:val="right"/>
        <w:ind w:right="6959"/>
        <w:spacing w:after="0"/>
        <w:rPr>
          <w:sz w:val="20"/>
          <w:szCs w:val="20"/>
          <w:color w:val="auto"/>
        </w:rPr>
      </w:pPr>
      <w:r>
        <w:rPr>
          <w:rFonts w:ascii="Arial" w:cs="Arial" w:eastAsia="Arial" w:hAnsi="Arial"/>
          <w:sz w:val="18"/>
          <w:szCs w:val="18"/>
          <w:color w:val="auto"/>
        </w:rPr>
        <w:t>Sarah K.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692150</wp:posOffset>
            </wp:positionV>
            <wp:extent cx="54521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-1905</wp:posOffset>
            </wp:positionV>
            <wp:extent cx="2914650" cy="351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2914650" cy="3511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-130175</wp:posOffset>
            </wp:positionV>
            <wp:extent cx="16027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ectPr>
          <w:pgSz w:w="11900" w:h="16838" w:orient="portrait"/>
          <w:cols w:equalWidth="0" w:num="1">
            <w:col w:w="9019"/>
          </w:cols>
          <w:pgMar w:left="1440" w:top="1390" w:right="1440" w:bottom="1440" w:gutter="0" w:footer="0" w:header="0"/>
        </w:sectPr>
      </w:pPr>
    </w:p>
    <w:bookmarkStart w:id="7" w:name="page8"/>
    <w:bookmarkEnd w:id="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left="60" w:right="199"/>
        <w:spacing w:after="0" w:line="265"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Y-mAbs Therapeutics, Inc. of our report dated March 4, 2025 relating to the financial statements, which appears in Y-mAbs Therapeutics, Inc.</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Annual Report on Form 10-K for the year ended December 31, 2024.</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Florham Park, NJ</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 w:name="page9"/>
    <w:bookmarkEnd w:id="8"/>
    <w:p>
      <w:pPr>
        <w:ind w:left="79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Y-mAbs 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0"/>
          <w:szCs w:val="20"/>
          <w:color w:val="auto"/>
        </w:rPr>
      </w:pPr>
    </w:p>
    <w:tbl>
      <w:tblPr>
        <w:tblLayout w:type="fixed"/>
        <w:tblInd w:w="50" w:type="dxa"/>
        <w:tblCellMar>
          <w:top w:w="0" w:type="dxa"/>
          <w:left w:w="0" w:type="dxa"/>
          <w:bottom w:w="0" w:type="dxa"/>
          <w:right w:w="0" w:type="dxa"/>
        </w:tblCellMar>
      </w:tblPr>
      <w:tr>
        <w:trPr>
          <w:trHeight w:val="203"/>
        </w:trPr>
        <w:tc>
          <w:tcPr>
            <w:tcW w:w="6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3300" w:type="dxa"/>
            <w:vAlign w:val="bottom"/>
            <w:tcBorders>
              <w:top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color w:val="auto"/>
              </w:rPr>
              <w:t>Table 1 – Newly Registered Securities</w:t>
            </w:r>
          </w:p>
        </w:tc>
        <w:tc>
          <w:tcPr>
            <w:tcW w:w="10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0" w:type="dxa"/>
            <w:vAlign w:val="bottom"/>
            <w:tcBorders>
              <w:left w:val="single" w:sz="8" w:color="auto"/>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Proposed</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06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160" w:type="dxa"/>
            <w:vAlign w:val="bottom"/>
            <w:tcBorders>
              <w:right w:val="single" w:sz="8" w:color="auto"/>
            </w:tcBorders>
            <w:vMerge w:val="continue"/>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189"/>
        </w:trPr>
        <w:tc>
          <w:tcPr>
            <w:tcW w:w="60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14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940" w:type="dxa"/>
            <w:vAlign w:val="bottom"/>
            <w:vMerge w:val="continue"/>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0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spacing w:after="0"/>
              <w:rPr>
                <w:sz w:val="15"/>
                <w:szCs w:val="15"/>
                <w:color w:val="auto"/>
              </w:rPr>
            </w:pPr>
          </w:p>
        </w:tc>
        <w:tc>
          <w:tcPr>
            <w:tcW w:w="80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9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Calculation</w:t>
            </w:r>
          </w:p>
        </w:tc>
        <w:tc>
          <w:tcPr>
            <w:tcW w:w="8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vMerge w:val="continue"/>
          </w:tcPr>
          <w:p>
            <w:pPr>
              <w:spacing w:after="0"/>
              <w:rPr>
                <w:sz w:val="15"/>
                <w:szCs w:val="15"/>
                <w:color w:val="auto"/>
              </w:rPr>
            </w:pPr>
          </w:p>
        </w:tc>
        <w:tc>
          <w:tcPr>
            <w:tcW w:w="9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11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Offering</w:t>
            </w:r>
          </w:p>
        </w:tc>
        <w:tc>
          <w:tcPr>
            <w:tcW w:w="106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19"/>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1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Class Title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16"/>
                <w:szCs w:val="16"/>
                <w:b w:val="1"/>
                <w:bCs w:val="1"/>
                <w:color w:val="auto"/>
                <w:w w:val="96"/>
              </w:rPr>
              <w:t>Registered</w:t>
            </w:r>
            <w:r>
              <w:rPr>
                <w:rFonts w:ascii="Times New Roman" w:cs="Times New Roman" w:eastAsia="Times New Roman" w:hAnsi="Times New Roman"/>
                <w:sz w:val="24"/>
                <w:szCs w:val="24"/>
                <w:b w:val="1"/>
                <w:bCs w:val="1"/>
                <w:color w:val="auto"/>
                <w:w w:val="96"/>
                <w:vertAlign w:val="superscript"/>
              </w:rPr>
              <w:t>(1)</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Unit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 Rate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0" w:type="dxa"/>
            <w:vAlign w:val="bottom"/>
          </w:tcPr>
          <w:p>
            <w:pPr>
              <w:spacing w:after="0"/>
              <w:rPr>
                <w:sz w:val="1"/>
                <w:szCs w:val="1"/>
                <w:color w:val="auto"/>
              </w:rPr>
            </w:pPr>
          </w:p>
        </w:tc>
      </w:tr>
      <w:tr>
        <w:trPr>
          <w:trHeight w:val="182"/>
        </w:trPr>
        <w:tc>
          <w:tcPr>
            <w:tcW w:w="600" w:type="dxa"/>
            <w:vAlign w:val="bottom"/>
            <w:tcBorders>
              <w:left w:val="single" w:sz="8" w:color="auto"/>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6"/>
                <w:szCs w:val="16"/>
                <w:color w:val="auto"/>
              </w:rPr>
              <w:t>Fees</w:t>
            </w:r>
          </w:p>
        </w:tc>
        <w:tc>
          <w:tcPr>
            <w:tcW w:w="80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6"/>
                <w:szCs w:val="16"/>
                <w:color w:val="auto"/>
              </w:rPr>
              <w:t>Equity</w:t>
            </w:r>
          </w:p>
        </w:tc>
        <w:tc>
          <w:tcPr>
            <w:tcW w:w="11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6"/>
                <w:szCs w:val="16"/>
                <w:color w:val="auto"/>
              </w:rPr>
              <w:t>Common</w:t>
            </w:r>
          </w:p>
        </w:tc>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21"/>
                <w:szCs w:val="21"/>
                <w:color w:val="auto"/>
                <w:vertAlign w:val="superscript"/>
              </w:rPr>
              <w:t>(2)</w:t>
            </w:r>
          </w:p>
        </w:tc>
        <w:tc>
          <w:tcPr>
            <w:tcW w:w="8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jc w:val="right"/>
              <w:ind w:right="61"/>
              <w:spacing w:after="0" w:line="183" w:lineRule="exact"/>
              <w:rPr>
                <w:sz w:val="20"/>
                <w:szCs w:val="20"/>
                <w:color w:val="auto"/>
              </w:rPr>
            </w:pPr>
            <w:r>
              <w:rPr>
                <w:rFonts w:ascii="Times New Roman" w:cs="Times New Roman" w:eastAsia="Times New Roman" w:hAnsi="Times New Roman"/>
                <w:sz w:val="14"/>
                <w:szCs w:val="14"/>
                <w:color w:val="auto"/>
              </w:rPr>
              <w:t>1,799,532</w:t>
            </w:r>
            <w:r>
              <w:rPr>
                <w:rFonts w:ascii="Times New Roman" w:cs="Times New Roman" w:eastAsia="Times New Roman" w:hAnsi="Times New Roman"/>
                <w:sz w:val="21"/>
                <w:szCs w:val="21"/>
                <w:color w:val="auto"/>
                <w:vertAlign w:val="superscript"/>
              </w:rPr>
              <w:t>(3)</w:t>
            </w:r>
          </w:p>
        </w:tc>
        <w:tc>
          <w:tcPr>
            <w:tcW w:w="9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$5.43</w:t>
            </w:r>
          </w:p>
        </w:tc>
        <w:tc>
          <w:tcPr>
            <w:tcW w:w="11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$9,771,458.76</w:t>
            </w:r>
          </w:p>
        </w:tc>
        <w:tc>
          <w:tcPr>
            <w:tcW w:w="10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$0.00015310</w:t>
            </w:r>
          </w:p>
        </w:tc>
        <w:tc>
          <w:tcPr>
            <w:tcW w:w="11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$1,496.01</w:t>
            </w:r>
          </w:p>
        </w:tc>
        <w:tc>
          <w:tcPr>
            <w:tcW w:w="0" w:type="dxa"/>
            <w:vAlign w:val="bottom"/>
          </w:tcPr>
          <w:p>
            <w:pPr>
              <w:spacing w:after="0"/>
              <w:rPr>
                <w:sz w:val="1"/>
                <w:szCs w:val="1"/>
                <w:color w:val="auto"/>
              </w:rPr>
            </w:pPr>
          </w:p>
        </w:tc>
      </w:tr>
      <w:tr>
        <w:trPr>
          <w:trHeight w:val="189"/>
        </w:trPr>
        <w:tc>
          <w:tcPr>
            <w:tcW w:w="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 be</w:t>
            </w:r>
          </w:p>
        </w:tc>
        <w:tc>
          <w:tcPr>
            <w:tcW w:w="8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Paid</w:t>
            </w:r>
          </w:p>
        </w:tc>
        <w:tc>
          <w:tcPr>
            <w:tcW w:w="8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$0.0001 par</w:t>
            </w:r>
          </w:p>
        </w:tc>
        <w:tc>
          <w:tcPr>
            <w:tcW w:w="9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value per</w:t>
            </w:r>
          </w:p>
        </w:tc>
        <w:tc>
          <w:tcPr>
            <w:tcW w:w="9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share, 2018</w:t>
            </w:r>
          </w:p>
        </w:tc>
        <w:tc>
          <w:tcPr>
            <w:tcW w:w="9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Equity</w:t>
            </w:r>
          </w:p>
        </w:tc>
        <w:tc>
          <w:tcPr>
            <w:tcW w:w="9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Incentive Plan</w:t>
            </w: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00" w:type="dxa"/>
            <w:vAlign w:val="bottom"/>
            <w:tcBorders>
              <w:left w:val="single" w:sz="8" w:color="auto"/>
              <w:bottom w:val="single" w:sz="8" w:color="auto"/>
              <w:right w:val="single" w:sz="8" w:color="auto"/>
            </w:tcBorders>
          </w:tcPr>
          <w:p>
            <w:pPr>
              <w:spacing w:after="0"/>
              <w:rPr>
                <w:sz w:val="15"/>
                <w:szCs w:val="15"/>
                <w:color w:val="auto"/>
              </w:rPr>
            </w:pPr>
          </w:p>
        </w:tc>
        <w:tc>
          <w:tcPr>
            <w:tcW w:w="1940" w:type="dxa"/>
            <w:vAlign w:val="bottom"/>
            <w:tcBorders>
              <w:bottom w:val="single" w:sz="8" w:color="auto"/>
            </w:tcBorders>
            <w:gridSpan w:val="2"/>
          </w:tcPr>
          <w:p>
            <w:pPr>
              <w:ind w:left="100"/>
              <w:spacing w:after="0" w:line="183" w:lineRule="exact"/>
              <w:rPr>
                <w:sz w:val="20"/>
                <w:szCs w:val="20"/>
                <w:color w:val="auto"/>
              </w:rPr>
            </w:pPr>
            <w:r>
              <w:rPr>
                <w:rFonts w:ascii="Times New Roman" w:cs="Times New Roman" w:eastAsia="Times New Roman" w:hAnsi="Times New Roman"/>
                <w:sz w:val="16"/>
                <w:szCs w:val="16"/>
                <w:color w:val="auto"/>
              </w:rPr>
              <w:t>Total Offering Amounts</w:t>
            </w: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1,799,532</w:t>
            </w: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$9,771,458.76</w:t>
            </w:r>
          </w:p>
        </w:tc>
        <w:tc>
          <w:tcPr>
            <w:tcW w:w="10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$1,496.01</w:t>
            </w:r>
          </w:p>
        </w:tc>
        <w:tc>
          <w:tcPr>
            <w:tcW w:w="0" w:type="dxa"/>
            <w:vAlign w:val="bottom"/>
          </w:tcPr>
          <w:p>
            <w:pPr>
              <w:spacing w:after="0"/>
              <w:rPr>
                <w:sz w:val="1"/>
                <w:szCs w:val="1"/>
                <w:color w:val="auto"/>
              </w:rPr>
            </w:pPr>
          </w:p>
        </w:tc>
      </w:tr>
      <w:tr>
        <w:trPr>
          <w:trHeight w:val="183"/>
        </w:trPr>
        <w:tc>
          <w:tcPr>
            <w:tcW w:w="600" w:type="dxa"/>
            <w:vAlign w:val="bottom"/>
            <w:tcBorders>
              <w:left w:val="single" w:sz="8" w:color="auto"/>
              <w:bottom w:val="single" w:sz="8" w:color="auto"/>
              <w:right w:val="single" w:sz="8" w:color="auto"/>
            </w:tcBorders>
          </w:tcPr>
          <w:p>
            <w:pPr>
              <w:spacing w:after="0"/>
              <w:rPr>
                <w:sz w:val="15"/>
                <w:szCs w:val="15"/>
                <w:color w:val="auto"/>
              </w:rPr>
            </w:pPr>
          </w:p>
        </w:tc>
        <w:tc>
          <w:tcPr>
            <w:tcW w:w="1940" w:type="dxa"/>
            <w:vAlign w:val="bottom"/>
            <w:tcBorders>
              <w:bottom w:val="single" w:sz="8" w:color="auto"/>
            </w:tcBorders>
            <w:gridSpan w:val="2"/>
          </w:tcPr>
          <w:p>
            <w:pPr>
              <w:ind w:left="100"/>
              <w:spacing w:after="0" w:line="183" w:lineRule="exact"/>
              <w:rPr>
                <w:sz w:val="20"/>
                <w:szCs w:val="20"/>
                <w:color w:val="auto"/>
              </w:rPr>
            </w:pPr>
            <w:r>
              <w:rPr>
                <w:rFonts w:ascii="Times New Roman" w:cs="Times New Roman" w:eastAsia="Times New Roman" w:hAnsi="Times New Roman"/>
                <w:sz w:val="16"/>
                <w:szCs w:val="16"/>
                <w:color w:val="auto"/>
              </w:rPr>
              <w:t>Total Fees Previously Paid</w:t>
            </w: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600" w:type="dxa"/>
            <w:vAlign w:val="bottom"/>
            <w:tcBorders>
              <w:left w:val="single" w:sz="8" w:color="auto"/>
              <w:bottom w:val="single" w:sz="8" w:color="auto"/>
              <w:right w:val="single" w:sz="8" w:color="auto"/>
            </w:tcBorders>
          </w:tcPr>
          <w:p>
            <w:pPr>
              <w:spacing w:after="0"/>
              <w:rPr>
                <w:sz w:val="15"/>
                <w:szCs w:val="15"/>
                <w:color w:val="auto"/>
              </w:rPr>
            </w:pPr>
          </w:p>
        </w:tc>
        <w:tc>
          <w:tcPr>
            <w:tcW w:w="1940" w:type="dxa"/>
            <w:vAlign w:val="bottom"/>
            <w:tcBorders>
              <w:bottom w:val="single" w:sz="8" w:color="auto"/>
            </w:tcBorders>
            <w:gridSpan w:val="2"/>
          </w:tcPr>
          <w:p>
            <w:pPr>
              <w:ind w:left="100"/>
              <w:spacing w:after="0" w:line="183" w:lineRule="exact"/>
              <w:rPr>
                <w:sz w:val="20"/>
                <w:szCs w:val="20"/>
                <w:color w:val="auto"/>
              </w:rPr>
            </w:pPr>
            <w:r>
              <w:rPr>
                <w:rFonts w:ascii="Times New Roman" w:cs="Times New Roman" w:eastAsia="Times New Roman" w:hAnsi="Times New Roman"/>
                <w:sz w:val="16"/>
                <w:szCs w:val="16"/>
                <w:color w:val="auto"/>
              </w:rPr>
              <w:t>Total Fee Offsets</w:t>
            </w: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600" w:type="dxa"/>
            <w:vAlign w:val="bottom"/>
            <w:tcBorders>
              <w:left w:val="single" w:sz="8" w:color="auto"/>
              <w:bottom w:val="single" w:sz="8" w:color="auto"/>
              <w:right w:val="single" w:sz="8" w:color="auto"/>
            </w:tcBorders>
          </w:tcPr>
          <w:p>
            <w:pPr>
              <w:spacing w:after="0"/>
              <w:rPr>
                <w:sz w:val="15"/>
                <w:szCs w:val="15"/>
                <w:color w:val="auto"/>
              </w:rPr>
            </w:pPr>
          </w:p>
        </w:tc>
        <w:tc>
          <w:tcPr>
            <w:tcW w:w="1940" w:type="dxa"/>
            <w:vAlign w:val="bottom"/>
            <w:tcBorders>
              <w:bottom w:val="single" w:sz="8" w:color="auto"/>
            </w:tcBorders>
            <w:gridSpan w:val="2"/>
          </w:tcPr>
          <w:p>
            <w:pPr>
              <w:ind w:left="100"/>
              <w:spacing w:after="0" w:line="183" w:lineRule="exact"/>
              <w:rPr>
                <w:sz w:val="20"/>
                <w:szCs w:val="20"/>
                <w:color w:val="auto"/>
              </w:rPr>
            </w:pPr>
            <w:r>
              <w:rPr>
                <w:rFonts w:ascii="Times New Roman" w:cs="Times New Roman" w:eastAsia="Times New Roman" w:hAnsi="Times New Roman"/>
                <w:sz w:val="16"/>
                <w:szCs w:val="16"/>
                <w:color w:val="auto"/>
              </w:rPr>
              <w:t>Net Fee Due</w:t>
            </w: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$1,496.01</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540" w:right="219" w:hanging="331"/>
        <w:spacing w:after="0" w:line="253"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promulgated under the Securities Act of 1933, as amended, this Registration Statement shall also cover any additional shares of Common Stock, par value $0.0001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of Y-mAbs Therapeutics, Inc. (the “</w:t>
      </w:r>
      <w:r>
        <w:rPr>
          <w:rFonts w:ascii="Times New Roman" w:cs="Times New Roman" w:eastAsia="Times New Roman" w:hAnsi="Times New Roman"/>
          <w:sz w:val="17"/>
          <w:szCs w:val="17"/>
          <w:b w:val="1"/>
          <w:bCs w:val="1"/>
          <w:i w:val="1"/>
          <w:iCs w:val="1"/>
          <w:color w:val="auto"/>
        </w:rPr>
        <w:t>Registrant</w:t>
      </w:r>
      <w:r>
        <w:rPr>
          <w:rFonts w:ascii="Times New Roman" w:cs="Times New Roman" w:eastAsia="Times New Roman" w:hAnsi="Times New Roman"/>
          <w:sz w:val="17"/>
          <w:szCs w:val="17"/>
          <w:color w:val="auto"/>
        </w:rPr>
        <w:t>”) that become issuable under the plans set forth herein by reason of any stock dividend, stock split, recapitalization, or other similar transaction effected that results in an increase to the number of outstanding shares of Common Stock, as applicable.</w:t>
      </w:r>
    </w:p>
    <w:p>
      <w:pPr>
        <w:jc w:val="both"/>
        <w:ind w:left="540" w:right="239" w:hanging="331"/>
        <w:spacing w:after="0" w:line="249"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in accordance with Rules 457(c) and 457(h) solely for purposes of calculating the registration fee based on the average of the high and low prices of the Common Stock as reported on the Nasdaq Global Select Market on February 28, 2025.</w:t>
      </w:r>
    </w:p>
    <w:p>
      <w:pPr>
        <w:jc w:val="both"/>
        <w:ind w:left="540" w:right="219" w:hanging="331"/>
        <w:spacing w:after="0" w:line="251"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1,799,532 additional shares of Common Stock that were automatically added to the shares authorized for issuance under the Registrant’s 2018 Equity Incentive Plan (the “</w:t>
      </w:r>
      <w:r>
        <w:rPr>
          <w:rFonts w:ascii="Times New Roman" w:cs="Times New Roman" w:eastAsia="Times New Roman" w:hAnsi="Times New Roman"/>
          <w:sz w:val="17"/>
          <w:szCs w:val="17"/>
          <w:b w:val="1"/>
          <w:bCs w:val="1"/>
          <w:i w:val="1"/>
          <w:iCs w:val="1"/>
          <w:color w:val="auto"/>
        </w:rPr>
        <w:t>2018 EIP</w:t>
      </w:r>
      <w:r>
        <w:rPr>
          <w:rFonts w:ascii="Times New Roman" w:cs="Times New Roman" w:eastAsia="Times New Roman" w:hAnsi="Times New Roman"/>
          <w:sz w:val="17"/>
          <w:szCs w:val="17"/>
          <w:color w:val="auto"/>
        </w:rPr>
        <w:t>”) on January 1, 2024, pursuant to an annual “evergreen” increase provision contained in the 2018 EIP. Pursuant to such provision, the number of shares reserved for issuance under the 2018 EIP will automatically increase on the first day of each calendar year, starting on January 1, 2019 and continuing through January 1, 2028, by the lesser of (a) four percent (4%) of the total number of shares of the Registrant’s common stock of all classes outstanding on December 31st of the immediately preceding calendar year; and</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 smaller number of shares determined by the Registrant’s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jpeg"/><Relationship Id="rId44" Type="http://schemas.openxmlformats.org/officeDocument/2006/relationships/image" Target="media/image22.png"/><Relationship Id="rId45" Type="http://schemas.openxmlformats.org/officeDocument/2006/relationships/image" Target="media/image23.jpeg"/><Relationship Id="rId46" Type="http://schemas.openxmlformats.org/officeDocument/2006/relationships/image" Target="media/image24.jpeg"/><Relationship Id="rId47" Type="http://schemas.openxmlformats.org/officeDocument/2006/relationships/image" Target="media/image25.png"/><Relationship Id="rId48" Type="http://schemas.openxmlformats.org/officeDocument/2006/relationships/image" Target="media/image26.jpe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13" Type="http://schemas.openxmlformats.org/officeDocument/2006/relationships/hyperlink" Target="https://www.sec.gov/Archives/edgar/data/1722964/000110465919016819/a19-7005_2s8.htm" TargetMode="External"/><Relationship Id="rId14" Type="http://schemas.openxmlformats.org/officeDocument/2006/relationships/hyperlink" Target="https://www.sec.gov/Archives/edgar/data/1722964/000155837023005146/tmb-20230330xs8.htm" TargetMode="External"/><Relationship Id="rId15" Type="http://schemas.openxmlformats.org/officeDocument/2006/relationships/hyperlink" Target="https://www.sec.gov/Archives/edgar/data/0001722964/000155837024002210/tmb-20240229xs8.htm" TargetMode="External"/><Relationship Id="rId16" Type="http://schemas.openxmlformats.org/officeDocument/2006/relationships/hyperlink" Target="https://www.sec.gov/ix?doc=/Archives/edgar/data/1722964/000155837025002105/ymab-20241231x10k.htm" TargetMode="External"/><Relationship Id="rId17" Type="http://schemas.openxmlformats.org/officeDocument/2006/relationships/hyperlink" Target="https://www.sec.gov/ix?doc=/Archives/edgar/data/0001722964/000155837025000105/ymab-20250106x8k.htm" TargetMode="External"/><Relationship Id="rId18" Type="http://schemas.openxmlformats.org/officeDocument/2006/relationships/hyperlink" Target="https://www.sec.gov/Archives/edgar/data/1722964/000155837025002105/ymab-20241231xex4d2.htm" TargetMode="External"/><Relationship Id="rId20" Type="http://schemas.openxmlformats.org/officeDocument/2006/relationships/hyperlink" Target="https://www.sec.gov/Archives/edgar/data/1722964/000110465918058483/a18-5676_14ex3d1.htm" TargetMode="External"/><Relationship Id="rId21" Type="http://schemas.openxmlformats.org/officeDocument/2006/relationships/hyperlink" Target="https://www.sec.gov/Archives/edgar/data/1722964/000110465918058483/a18-5676_14ex3d2.htm" TargetMode="External"/><Relationship Id="rId22" Type="http://schemas.openxmlformats.org/officeDocument/2006/relationships/hyperlink" Target="https://www.sec.gov/Archives/edgar/data/1722964/000104746918006039/a2236615zex-4_1.htm" TargetMode="External"/><Relationship Id="rId23" Type="http://schemas.openxmlformats.org/officeDocument/2006/relationships/hyperlink" Target="https://www.sec.gov/Archives/edgar/data/1722964/000104746918005786/a2236551zex-10_9.htm" TargetMode="External"/><Relationship Id="rId24" Type="http://schemas.openxmlformats.org/officeDocument/2006/relationships/hyperlink" Target="https://www.sec.gov/Archives/edgar/data/1722964/000155837022016659/ymab-20220930xex10d1.htm" TargetMode="External"/><Relationship Id="rId25" Type="http://schemas.openxmlformats.org/officeDocument/2006/relationships/hyperlink" Target="https://www.sec.gov/Archives/edgar/data/1722964/000155837022016659/ymab-20220930xex10d2.htm" TargetMode="External"/><Relationship Id="rId26" Type="http://schemas.openxmlformats.org/officeDocument/2006/relationships/hyperlink" Target="https://www.sec.gov/Archives/edgar/data/1722964/000104746918005786/a2236551zex-10_16.htm" TargetMode="External"/><Relationship Id="rId27" Type="http://schemas.openxmlformats.org/officeDocument/2006/relationships/hyperlink" Target="https://www.sec.gov/Archives/edgar/data/1722964/000104746918005786/a2236551zex-10_17.htm" TargetMode="External"/><Relationship Id="rId28" Type="http://schemas.openxmlformats.org/officeDocument/2006/relationships/hyperlink" Target="https://www.sec.gov/Archives/edgar/data/1722964/000155837024002188/ymab-20231231xex10d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2025-03-04T06:54:48Z</dcterms:created>
  <dcterms:modified xsi:type="dcterms:W3CDTF">2025-03-04T06:54:48Z</dcterms:modified>
</cp:coreProperties>
</file>