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66" w:lineRule="exact"/>
        <w:rPr>
          <w:sz w:val="24"/>
          <w:szCs w:val="24"/>
          <w:color w:val="auto"/>
        </w:rPr>
      </w:pPr>
    </w:p>
    <w:p>
      <w:pPr>
        <w:ind w:left="4060" w:right="3400" w:hanging="3746"/>
        <w:spacing w:after="0" w:line="428" w:lineRule="auto"/>
        <w:tabs>
          <w:tab w:leader="none" w:pos="636"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wp:posOffset>
            </wp:positionH>
            <wp:positionV relativeFrom="paragraph">
              <wp:posOffset>-310515</wp:posOffset>
            </wp:positionV>
            <wp:extent cx="60960" cy="61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126" w:lineRule="exact"/>
        <w:rPr>
          <w:sz w:val="24"/>
          <w:szCs w:val="24"/>
          <w:color w:val="auto"/>
        </w:rPr>
      </w:pPr>
    </w:p>
    <w:p>
      <w:pPr>
        <w:ind w:left="640" w:hanging="326"/>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wp:posOffset>
            </wp:positionH>
            <wp:positionV relativeFrom="paragraph">
              <wp:posOffset>-76835</wp:posOffset>
            </wp:positionV>
            <wp:extent cx="60960" cy="61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59" w:lineRule="exact"/>
        <w:rPr>
          <w:sz w:val="24"/>
          <w:szCs w:val="24"/>
          <w:color w:val="auto"/>
        </w:rPr>
      </w:pPr>
    </w:p>
    <w:tbl>
      <w:tblPr>
        <w:tblLayout w:type="fixed"/>
        <w:tblInd w:w="1020" w:type="dxa"/>
        <w:tblCellMar>
          <w:top w:w="0" w:type="dxa"/>
          <w:left w:w="0" w:type="dxa"/>
          <w:bottom w:w="0" w:type="dxa"/>
          <w:right w:w="0" w:type="dxa"/>
        </w:tblCellMar>
      </w:tblPr>
      <w:tr>
        <w:trPr>
          <w:trHeight w:val="164"/>
        </w:trPr>
        <w:tc>
          <w:tcPr>
            <w:tcW w:w="2800" w:type="dxa"/>
            <w:vAlign w:val="bottom"/>
          </w:tcPr>
          <w:p>
            <w:pPr>
              <w:spacing w:after="0"/>
              <w:rPr>
                <w:sz w:val="14"/>
                <w:szCs w:val="14"/>
                <w:color w:val="auto"/>
              </w:rPr>
            </w:pPr>
          </w:p>
        </w:tc>
        <w:tc>
          <w:tcPr>
            <w:tcW w:w="2300" w:type="dxa"/>
            <w:vAlign w:val="bottom"/>
            <w:gridSpan w:val="5"/>
          </w:tcPr>
          <w:p>
            <w:pPr>
              <w:ind w:left="100"/>
              <w:spacing w:after="0"/>
              <w:rPr>
                <w:sz w:val="20"/>
                <w:szCs w:val="20"/>
                <w:color w:val="auto"/>
              </w:rPr>
            </w:pPr>
            <w:r>
              <w:rPr>
                <w:rFonts w:ascii="Arial" w:cs="Arial" w:eastAsia="Arial" w:hAnsi="Arial"/>
                <w:sz w:val="13"/>
                <w:szCs w:val="13"/>
                <w:b w:val="1"/>
                <w:bCs w:val="1"/>
                <w:color w:val="auto"/>
              </w:rPr>
              <w:t>For the transition period from</w:t>
            </w: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to</w:t>
            </w:r>
          </w:p>
        </w:tc>
      </w:tr>
      <w:tr>
        <w:trPr>
          <w:trHeight w:val="229"/>
        </w:trPr>
        <w:tc>
          <w:tcPr>
            <w:tcW w:w="2800" w:type="dxa"/>
            <w:vAlign w:val="bottom"/>
          </w:tcPr>
          <w:p>
            <w:pPr>
              <w:spacing w:after="0"/>
              <w:rPr>
                <w:sz w:val="19"/>
                <w:szCs w:val="19"/>
                <w:color w:val="auto"/>
              </w:rPr>
            </w:pPr>
          </w:p>
        </w:tc>
        <w:tc>
          <w:tcPr>
            <w:tcW w:w="2300" w:type="dxa"/>
            <w:vAlign w:val="bottom"/>
            <w:gridSpan w:val="5"/>
          </w:tcPr>
          <w:p>
            <w:pPr>
              <w:jc w:val="center"/>
              <w:ind w:left="220"/>
              <w:spacing w:after="0"/>
              <w:rPr>
                <w:sz w:val="20"/>
                <w:szCs w:val="20"/>
                <w:color w:val="auto"/>
              </w:rPr>
            </w:pPr>
            <w:r>
              <w:rPr>
                <w:rFonts w:ascii="Arial" w:cs="Arial" w:eastAsia="Arial" w:hAnsi="Arial"/>
                <w:sz w:val="13"/>
                <w:szCs w:val="13"/>
                <w:b w:val="1"/>
                <w:bCs w:val="1"/>
                <w:color w:val="auto"/>
                <w:w w:val="87"/>
              </w:rPr>
              <w:t>Commission file number 001-38650</w:t>
            </w:r>
          </w:p>
        </w:tc>
        <w:tc>
          <w:tcPr>
            <w:tcW w:w="3080" w:type="dxa"/>
            <w:vAlign w:val="bottom"/>
          </w:tcPr>
          <w:p>
            <w:pPr>
              <w:spacing w:after="0"/>
              <w:rPr>
                <w:sz w:val="19"/>
                <w:szCs w:val="19"/>
                <w:color w:val="auto"/>
              </w:rPr>
            </w:pPr>
          </w:p>
        </w:tc>
      </w:tr>
      <w:tr>
        <w:trPr>
          <w:trHeight w:val="371"/>
        </w:trPr>
        <w:tc>
          <w:tcPr>
            <w:tcW w:w="8180" w:type="dxa"/>
            <w:vAlign w:val="bottom"/>
            <w:gridSpan w:val="7"/>
          </w:tcPr>
          <w:p>
            <w:pPr>
              <w:jc w:val="center"/>
              <w:spacing w:after="0"/>
              <w:rPr>
                <w:sz w:val="20"/>
                <w:szCs w:val="20"/>
                <w:color w:val="auto"/>
              </w:rPr>
            </w:pPr>
            <w:r>
              <w:rPr>
                <w:rFonts w:ascii="Arial" w:cs="Arial" w:eastAsia="Arial" w:hAnsi="Arial"/>
                <w:sz w:val="25"/>
                <w:szCs w:val="25"/>
                <w:b w:val="1"/>
                <w:bCs w:val="1"/>
                <w:color w:val="auto"/>
                <w:w w:val="91"/>
              </w:rPr>
              <w:t>Y-mAbs Therapeutics, Inc.</w:t>
            </w:r>
          </w:p>
        </w:tc>
      </w:tr>
      <w:tr>
        <w:trPr>
          <w:trHeight w:val="136"/>
        </w:trPr>
        <w:tc>
          <w:tcPr>
            <w:tcW w:w="2800" w:type="dxa"/>
            <w:vAlign w:val="bottom"/>
          </w:tcPr>
          <w:p>
            <w:pPr>
              <w:spacing w:after="0"/>
              <w:rPr>
                <w:sz w:val="11"/>
                <w:szCs w:val="11"/>
                <w:color w:val="auto"/>
              </w:rPr>
            </w:pPr>
          </w:p>
        </w:tc>
        <w:tc>
          <w:tcPr>
            <w:tcW w:w="5380" w:type="dxa"/>
            <w:vAlign w:val="bottom"/>
            <w:gridSpan w:val="6"/>
          </w:tcPr>
          <w:p>
            <w:pPr>
              <w:jc w:val="center"/>
              <w:ind w:right="2757"/>
              <w:spacing w:after="0"/>
              <w:rPr>
                <w:sz w:val="20"/>
                <w:szCs w:val="20"/>
                <w:color w:val="auto"/>
              </w:rPr>
            </w:pPr>
            <w:r>
              <w:rPr>
                <w:rFonts w:ascii="Arial" w:cs="Arial" w:eastAsia="Arial" w:hAnsi="Arial"/>
                <w:sz w:val="11"/>
                <w:szCs w:val="11"/>
                <w:color w:val="auto"/>
                <w:w w:val="89"/>
              </w:rPr>
              <w:t>(Exact name of registrant as specified in its charter)</w:t>
            </w:r>
          </w:p>
        </w:tc>
      </w:tr>
      <w:tr>
        <w:trPr>
          <w:trHeight w:val="210"/>
        </w:trPr>
        <w:tc>
          <w:tcPr>
            <w:tcW w:w="2800" w:type="dxa"/>
            <w:vAlign w:val="bottom"/>
          </w:tcPr>
          <w:p>
            <w:pPr>
              <w:jc w:val="center"/>
              <w:ind w:left="1110"/>
              <w:spacing w:after="0"/>
              <w:rPr>
                <w:sz w:val="20"/>
                <w:szCs w:val="20"/>
                <w:color w:val="auto"/>
              </w:rPr>
            </w:pPr>
            <w:r>
              <w:rPr>
                <w:rFonts w:ascii="Arial" w:cs="Arial" w:eastAsia="Arial" w:hAnsi="Arial"/>
                <w:sz w:val="13"/>
                <w:szCs w:val="13"/>
                <w:b w:val="1"/>
                <w:bCs w:val="1"/>
                <w:color w:val="auto"/>
                <w:w w:val="87"/>
              </w:rPr>
              <w:t>Delaware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jc w:val="right"/>
              <w:ind w:right="1657"/>
              <w:spacing w:after="0"/>
              <w:rPr>
                <w:sz w:val="20"/>
                <w:szCs w:val="20"/>
                <w:color w:val="auto"/>
              </w:rPr>
            </w:pPr>
            <w:r>
              <w:rPr>
                <w:rFonts w:ascii="Arial" w:cs="Arial" w:eastAsia="Arial" w:hAnsi="Arial"/>
                <w:sz w:val="13"/>
                <w:szCs w:val="13"/>
                <w:b w:val="1"/>
                <w:bCs w:val="1"/>
                <w:color w:val="auto"/>
              </w:rPr>
              <w:t>47-4619612</w:t>
            </w:r>
          </w:p>
        </w:tc>
      </w:tr>
      <w:tr>
        <w:trPr>
          <w:trHeight w:val="160"/>
        </w:trPr>
        <w:tc>
          <w:tcPr>
            <w:tcW w:w="5100" w:type="dxa"/>
            <w:vAlign w:val="bottom"/>
            <w:gridSpan w:val="6"/>
          </w:tcPr>
          <w:p>
            <w:pPr>
              <w:jc w:val="center"/>
              <w:ind w:right="1120"/>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3080" w:type="dxa"/>
            <w:vAlign w:val="bottom"/>
          </w:tcPr>
          <w:p>
            <w:pPr>
              <w:jc w:val="center"/>
              <w:ind w:right="897"/>
              <w:spacing w:after="0"/>
              <w:rPr>
                <w:sz w:val="20"/>
                <w:szCs w:val="20"/>
                <w:color w:val="auto"/>
              </w:rPr>
            </w:pPr>
            <w:r>
              <w:rPr>
                <w:rFonts w:ascii="Arial" w:cs="Arial" w:eastAsia="Arial" w:hAnsi="Arial"/>
                <w:sz w:val="13"/>
                <w:szCs w:val="13"/>
                <w:color w:val="auto"/>
                <w:w w:val="91"/>
              </w:rPr>
              <w:t>(I.R.S. Employer Identification No.)</w:t>
            </w:r>
          </w:p>
        </w:tc>
      </w:tr>
      <w:tr>
        <w:trPr>
          <w:trHeight w:val="270"/>
        </w:trPr>
        <w:tc>
          <w:tcPr>
            <w:tcW w:w="5100" w:type="dxa"/>
            <w:vAlign w:val="bottom"/>
            <w:gridSpan w:val="6"/>
          </w:tcPr>
          <w:p>
            <w:pPr>
              <w:jc w:val="center"/>
              <w:ind w:right="1120"/>
              <w:spacing w:after="0"/>
              <w:rPr>
                <w:sz w:val="20"/>
                <w:szCs w:val="20"/>
                <w:color w:val="auto"/>
              </w:rPr>
            </w:pPr>
            <w:r>
              <w:rPr>
                <w:rFonts w:ascii="Arial" w:cs="Arial" w:eastAsia="Arial" w:hAnsi="Arial"/>
                <w:sz w:val="13"/>
                <w:szCs w:val="13"/>
                <w:b w:val="1"/>
                <w:bCs w:val="1"/>
                <w:color w:val="auto"/>
                <w:w w:val="88"/>
              </w:rPr>
              <w:t>230 Park Avenue, Suite 3350 New York, NY</w:t>
            </w:r>
          </w:p>
        </w:tc>
        <w:tc>
          <w:tcPr>
            <w:tcW w:w="3080" w:type="dxa"/>
            <w:vAlign w:val="bottom"/>
          </w:tcPr>
          <w:p>
            <w:pPr>
              <w:jc w:val="right"/>
              <w:ind w:right="1797"/>
              <w:spacing w:after="0"/>
              <w:rPr>
                <w:sz w:val="20"/>
                <w:szCs w:val="20"/>
                <w:color w:val="auto"/>
              </w:rPr>
            </w:pPr>
            <w:r>
              <w:rPr>
                <w:rFonts w:ascii="Arial" w:cs="Arial" w:eastAsia="Arial" w:hAnsi="Arial"/>
                <w:sz w:val="13"/>
                <w:szCs w:val="13"/>
                <w:b w:val="1"/>
                <w:bCs w:val="1"/>
                <w:color w:val="auto"/>
              </w:rPr>
              <w:t>10169</w:t>
            </w:r>
          </w:p>
        </w:tc>
      </w:tr>
      <w:tr>
        <w:trPr>
          <w:trHeight w:val="270"/>
        </w:trPr>
        <w:tc>
          <w:tcPr>
            <w:tcW w:w="5100" w:type="dxa"/>
            <w:vAlign w:val="bottom"/>
            <w:gridSpan w:val="6"/>
          </w:tcPr>
          <w:p>
            <w:pPr>
              <w:jc w:val="center"/>
              <w:ind w:right="1120"/>
              <w:spacing w:after="0"/>
              <w:rPr>
                <w:sz w:val="20"/>
                <w:szCs w:val="20"/>
                <w:color w:val="auto"/>
              </w:rPr>
            </w:pPr>
            <w:r>
              <w:rPr>
                <w:rFonts w:ascii="Arial" w:cs="Arial" w:eastAsia="Arial" w:hAnsi="Arial"/>
                <w:sz w:val="13"/>
                <w:szCs w:val="13"/>
                <w:color w:val="auto"/>
                <w:w w:val="90"/>
              </w:rPr>
              <w:t>(Address of Principal Executive Offices)</w:t>
            </w:r>
          </w:p>
        </w:tc>
        <w:tc>
          <w:tcPr>
            <w:tcW w:w="3080" w:type="dxa"/>
            <w:vAlign w:val="bottom"/>
          </w:tcPr>
          <w:p>
            <w:pPr>
              <w:jc w:val="center"/>
              <w:ind w:right="897"/>
              <w:spacing w:after="0"/>
              <w:rPr>
                <w:sz w:val="20"/>
                <w:szCs w:val="20"/>
                <w:color w:val="auto"/>
              </w:rPr>
            </w:pPr>
            <w:r>
              <w:rPr>
                <w:rFonts w:ascii="Arial" w:cs="Arial" w:eastAsia="Arial" w:hAnsi="Arial"/>
                <w:sz w:val="13"/>
                <w:szCs w:val="13"/>
                <w:color w:val="auto"/>
                <w:w w:val="91"/>
              </w:rPr>
              <w:t>(Zip Code)</w:t>
            </w:r>
          </w:p>
        </w:tc>
      </w:tr>
      <w:tr>
        <w:trPr>
          <w:trHeight w:val="229"/>
        </w:trPr>
        <w:tc>
          <w:tcPr>
            <w:tcW w:w="8180" w:type="dxa"/>
            <w:vAlign w:val="bottom"/>
            <w:gridSpan w:val="7"/>
          </w:tcPr>
          <w:p>
            <w:pPr>
              <w:jc w:val="center"/>
              <w:spacing w:after="0"/>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(646)-885-8505</w:t>
            </w:r>
          </w:p>
        </w:tc>
      </w:tr>
      <w:tr>
        <w:trPr>
          <w:trHeight w:val="230"/>
        </w:trPr>
        <w:tc>
          <w:tcPr>
            <w:tcW w:w="8180" w:type="dxa"/>
            <w:vAlign w:val="bottom"/>
            <w:gridSpan w:val="7"/>
          </w:tcPr>
          <w:p>
            <w:pPr>
              <w:jc w:val="center"/>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299"/>
        </w:trPr>
        <w:tc>
          <w:tcPr>
            <w:tcW w:w="2800" w:type="dxa"/>
            <w:vAlign w:val="bottom"/>
          </w:tcPr>
          <w:p>
            <w:pPr>
              <w:jc w:val="center"/>
              <w:ind w:left="490"/>
              <w:spacing w:after="0"/>
              <w:rPr>
                <w:sz w:val="20"/>
                <w:szCs w:val="20"/>
                <w:color w:val="auto"/>
              </w:rPr>
            </w:pPr>
            <w:r>
              <w:rPr>
                <w:rFonts w:ascii="Arial" w:cs="Arial" w:eastAsia="Arial" w:hAnsi="Arial"/>
                <w:sz w:val="11"/>
                <w:szCs w:val="11"/>
                <w:b w:val="1"/>
                <w:bCs w:val="1"/>
                <w:color w:val="auto"/>
                <w:w w:val="85"/>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1"/>
              </w:rPr>
              <w:t>Trading Symbol</w:t>
            </w:r>
          </w:p>
        </w:tc>
        <w:tc>
          <w:tcPr>
            <w:tcW w:w="3080" w:type="dxa"/>
            <w:vAlign w:val="bottom"/>
          </w:tcPr>
          <w:p>
            <w:pPr>
              <w:jc w:val="center"/>
              <w:ind w:right="257"/>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2800" w:type="dxa"/>
            <w:vAlign w:val="bottom"/>
            <w:tcBorders>
              <w:top w:val="single" w:sz="8" w:color="auto"/>
            </w:tcBorders>
          </w:tcPr>
          <w:p>
            <w:pPr>
              <w:jc w:val="center"/>
              <w:ind w:left="490"/>
              <w:spacing w:after="0"/>
              <w:rPr>
                <w:sz w:val="20"/>
                <w:szCs w:val="20"/>
                <w:color w:val="auto"/>
              </w:rPr>
            </w:pPr>
            <w:r>
              <w:rPr>
                <w:rFonts w:ascii="Arial" w:cs="Arial" w:eastAsia="Arial" w:hAnsi="Arial"/>
                <w:sz w:val="14"/>
                <w:szCs w:val="14"/>
                <w:color w:val="auto"/>
                <w:w w:val="92"/>
              </w:rPr>
              <w:t>Common Stock, $0.0001 par value</w:t>
            </w: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YMAB</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tcPr>
          <w:p>
            <w:pPr>
              <w:jc w:val="center"/>
              <w:ind w:right="237"/>
              <w:spacing w:after="0"/>
              <w:rPr>
                <w:sz w:val="20"/>
                <w:szCs w:val="20"/>
                <w:color w:val="auto"/>
              </w:rPr>
            </w:pPr>
            <w:r>
              <w:rPr>
                <w:rFonts w:ascii="Arial" w:cs="Arial" w:eastAsia="Arial" w:hAnsi="Arial"/>
                <w:sz w:val="14"/>
                <w:szCs w:val="14"/>
                <w:color w:val="auto"/>
                <w:w w:val="96"/>
              </w:rPr>
              <w:t>NASDAQ Global Select Market</w:t>
            </w:r>
          </w:p>
        </w:tc>
      </w:tr>
    </w:tbl>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Securities registered pursuant to Section 12(g) of the Act:</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(Title of class)</w:t>
      </w:r>
    </w:p>
    <w:p>
      <w:pPr>
        <w:spacing w:after="0" w:line="8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96" w:lineRule="exact"/>
        <w:rPr>
          <w:sz w:val="24"/>
          <w:szCs w:val="24"/>
          <w:color w:val="auto"/>
        </w:rPr>
      </w:pPr>
    </w:p>
    <w:p>
      <w:pPr>
        <w:ind w:left="4640"/>
        <w:spacing w:after="0" w:line="175" w:lineRule="exact"/>
        <w:tabs>
          <w:tab w:leader="none" w:pos="5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96" w:lineRule="exact"/>
        <w:rPr>
          <w:sz w:val="24"/>
          <w:szCs w:val="24"/>
          <w:color w:val="auto"/>
        </w:rPr>
      </w:pPr>
    </w:p>
    <w:p>
      <w:pPr>
        <w:ind w:left="4640"/>
        <w:spacing w:after="0" w:line="175" w:lineRule="exact"/>
        <w:tabs>
          <w:tab w:leader="none" w:pos="5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ind w:right="280"/>
        <w:spacing w:after="0" w:line="23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w:t>
      </w:r>
    </w:p>
    <w:p>
      <w:pPr>
        <w:spacing w:after="0" w:line="100" w:lineRule="exact"/>
        <w:rPr>
          <w:sz w:val="24"/>
          <w:szCs w:val="24"/>
          <w:color w:val="auto"/>
        </w:rPr>
      </w:pPr>
    </w:p>
    <w:p>
      <w:pPr>
        <w:jc w:val="center"/>
        <w:spacing w:after="0" w:line="175" w:lineRule="exact"/>
        <w:tabs>
          <w:tab w:leader="none" w:pos="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ind w:right="80"/>
        <w:spacing w:after="0" w:line="236"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6" w:lineRule="exact"/>
        <w:rPr>
          <w:sz w:val="24"/>
          <w:szCs w:val="24"/>
          <w:color w:val="auto"/>
        </w:rPr>
      </w:pPr>
    </w:p>
    <w:p>
      <w:pPr>
        <w:jc w:val="center"/>
        <w:spacing w:after="0" w:line="175" w:lineRule="exact"/>
        <w:tabs>
          <w:tab w:leader="none" w:pos="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spacing w:after="0" w:line="162"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(§299.405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Unicode MS" w:cs="Arial Unicode MS" w:eastAsia="Arial Unicode MS" w:hAnsi="Arial Unicode MS"/>
          <w:sz w:val="12"/>
          <w:szCs w:val="12"/>
          <w:color w:val="auto"/>
        </w:rPr>
        <w:t>⌧</w:t>
      </w:r>
    </w:p>
    <w:p>
      <w:pPr>
        <w:spacing w:after="0" w:line="56" w:lineRule="exact"/>
        <w:rPr>
          <w:sz w:val="24"/>
          <w:szCs w:val="24"/>
          <w:color w:val="auto"/>
        </w:rPr>
      </w:pPr>
    </w:p>
    <w:p>
      <w:pPr>
        <w:ind w:right="6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p>
      <w:pPr>
        <w:ind w:left="420"/>
        <w:spacing w:after="0" w:line="175" w:lineRule="exact"/>
        <w:tabs>
          <w:tab w:leader="none" w:pos="2500" w:val="left"/>
          <w:tab w:leader="none" w:pos="4140" w:val="left"/>
          <w:tab w:leader="none" w:pos="6000" w:val="left"/>
          <w:tab w:leader="none" w:pos="8280" w:val="left"/>
        </w:tabs>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80" w:lineRule="exact"/>
        <w:rPr>
          <w:sz w:val="24"/>
          <w:szCs w:val="24"/>
          <w:color w:val="auto"/>
        </w:rPr>
      </w:pPr>
    </w:p>
    <w:p>
      <w:pPr>
        <w:ind w:right="3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p>
    <w:p>
      <w:pPr>
        <w:spacing w:after="0" w:line="42" w:lineRule="exact"/>
        <w:rPr>
          <w:sz w:val="24"/>
          <w:szCs w:val="24"/>
          <w:color w:val="auto"/>
        </w:rPr>
      </w:pPr>
    </w:p>
    <w:p>
      <w:pPr>
        <w:ind w:left="4640"/>
        <w:spacing w:after="0" w:line="175" w:lineRule="exact"/>
        <w:tabs>
          <w:tab w:leader="none" w:pos="5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ind w:right="40"/>
        <w:spacing w:after="0" w:line="236"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73" w:lineRule="exact"/>
        <w:rPr>
          <w:sz w:val="24"/>
          <w:szCs w:val="24"/>
          <w:color w:val="auto"/>
        </w:rPr>
      </w:pPr>
    </w:p>
    <w:p>
      <w:pPr>
        <w:jc w:val="center"/>
        <w:spacing w:after="0" w:line="175" w:lineRule="exact"/>
        <w:tabs>
          <w:tab w:leader="none" w:pos="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ind w:right="40" w:firstLine="648"/>
        <w:spacing w:after="0" w:line="247" w:lineRule="auto"/>
        <w:rPr>
          <w:sz w:val="20"/>
          <w:szCs w:val="20"/>
          <w:color w:val="auto"/>
        </w:rPr>
      </w:pPr>
      <w:r>
        <w:rPr>
          <w:rFonts w:ascii="Arial" w:cs="Arial" w:eastAsia="Arial" w:hAnsi="Arial"/>
          <w:sz w:val="12"/>
          <w:szCs w:val="12"/>
          <w:color w:val="auto"/>
        </w:rPr>
        <w:t>As of June 30, 2020 the aggregate market value of the common stock held by non-affiliates of the registrant, based on the closing price of a share of common stock as reported by the NASDAQ Global Select Market on such date, was approximately $990.1 million.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 The number of outstanding shares of the registrant’s common stock as of February 22, 2021 was 43,526,254.</w:t>
      </w:r>
    </w:p>
    <w:p>
      <w:pPr>
        <w:spacing w:after="0" w:line="35" w:lineRule="exact"/>
        <w:rPr>
          <w:sz w:val="24"/>
          <w:szCs w:val="24"/>
          <w:color w:val="auto"/>
        </w:rPr>
      </w:pPr>
    </w:p>
    <w:p>
      <w:pPr>
        <w:ind w:left="6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right="100" w:firstLine="648"/>
        <w:spacing w:after="0" w:line="236" w:lineRule="auto"/>
        <w:rPr>
          <w:sz w:val="20"/>
          <w:szCs w:val="20"/>
          <w:color w:val="auto"/>
        </w:rPr>
      </w:pPr>
      <w:r>
        <w:rPr>
          <w:rFonts w:ascii="Arial" w:cs="Arial" w:eastAsia="Arial" w:hAnsi="Arial"/>
          <w:sz w:val="13"/>
          <w:szCs w:val="13"/>
          <w:color w:val="auto"/>
        </w:rPr>
        <w:t>Portions of the Registrant’s Definitive Proxy Statement relating to the 2021 Annual Meeting of Stockholders, which will be filed with the Securities and Exchange Commission within 120 days after the end of the Registrant’s fiscal year ended December 31,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473710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45085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40" w:top="665" w:right="87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7540" w:type="dxa"/>
            <w:vAlign w:val="bottom"/>
          </w:tcPr>
          <w:p>
            <w:pPr>
              <w:ind w:left="274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46"/>
        </w:trPr>
        <w:tc>
          <w:tcPr>
            <w:tcW w:w="7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Page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7540" w:type="dxa"/>
            <w:vAlign w:val="bottom"/>
          </w:tcPr>
          <w:p>
            <w:pPr>
              <w:ind w:left="80"/>
              <w:spacing w:after="0"/>
              <w:rPr>
                <w:sz w:val="20"/>
                <w:szCs w:val="20"/>
                <w:color w:val="auto"/>
              </w:rPr>
            </w:pPr>
            <w:r>
              <w:rPr>
                <w:rFonts w:ascii="Arial" w:cs="Arial" w:eastAsia="Arial" w:hAnsi="Arial"/>
                <w:sz w:val="18"/>
                <w:szCs w:val="18"/>
                <w:color w:val="auto"/>
              </w:rPr>
              <w:t>Business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754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1B.</w:t>
            </w:r>
          </w:p>
        </w:tc>
        <w:tc>
          <w:tcPr>
            <w:tcW w:w="7540" w:type="dxa"/>
            <w:vAlign w:val="bottom"/>
          </w:tcPr>
          <w:p>
            <w:pPr>
              <w:ind w:left="80"/>
              <w:spacing w:after="0"/>
              <w:rPr>
                <w:sz w:val="20"/>
                <w:szCs w:val="20"/>
                <w:color w:val="auto"/>
              </w:rPr>
            </w:pPr>
            <w:r>
              <w:rPr>
                <w:rFonts w:ascii="Arial" w:cs="Arial" w:eastAsia="Arial" w:hAnsi="Arial"/>
                <w:sz w:val="18"/>
                <w:szCs w:val="18"/>
                <w:color w:val="auto"/>
              </w:rPr>
              <w:t>Unresolved Staff Comments</w:t>
            </w: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754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754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7540" w:type="dxa"/>
            <w:vAlign w:val="bottom"/>
          </w:tcPr>
          <w:p>
            <w:pPr>
              <w:ind w:left="80"/>
              <w:spacing w:after="0"/>
              <w:rPr>
                <w:sz w:val="20"/>
                <w:szCs w:val="20"/>
                <w:color w:val="auto"/>
              </w:rPr>
            </w:pPr>
            <w:r>
              <w:rPr>
                <w:rFonts w:ascii="Arial" w:cs="Arial" w:eastAsia="Arial" w:hAnsi="Arial"/>
                <w:sz w:val="18"/>
                <w:szCs w:val="18"/>
                <w:color w:val="auto"/>
              </w:rPr>
              <w:t>Mine Safety Disclosures</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II</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7540" w:type="dxa"/>
            <w:vAlign w:val="bottom"/>
          </w:tcPr>
          <w:p>
            <w:pPr>
              <w:ind w:left="80"/>
              <w:spacing w:after="0"/>
              <w:rPr>
                <w:sz w:val="20"/>
                <w:szCs w:val="20"/>
                <w:color w:val="auto"/>
              </w:rPr>
            </w:pPr>
            <w:r>
              <w:rPr>
                <w:rFonts w:ascii="Arial" w:cs="Arial" w:eastAsia="Arial" w:hAnsi="Arial"/>
                <w:sz w:val="18"/>
                <w:szCs w:val="18"/>
                <w:color w:val="auto"/>
                <w:w w:val="92"/>
              </w:rPr>
              <w:t>Market for Registrant’s Common Equity, Related Stockholder Matters and Issuer Purchases of Equity</w:t>
            </w:r>
          </w:p>
        </w:tc>
        <w:tc>
          <w:tcPr>
            <w:tcW w:w="62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7540" w:type="dxa"/>
            <w:vAlign w:val="bottom"/>
          </w:tcPr>
          <w:p>
            <w:pPr>
              <w:ind w:left="80"/>
              <w:spacing w:after="0"/>
              <w:rPr>
                <w:sz w:val="20"/>
                <w:szCs w:val="20"/>
                <w:color w:val="auto"/>
              </w:rPr>
            </w:pPr>
            <w:r>
              <w:rPr>
                <w:rFonts w:ascii="Arial" w:cs="Arial" w:eastAsia="Arial" w:hAnsi="Arial"/>
                <w:sz w:val="18"/>
                <w:szCs w:val="18"/>
                <w:color w:val="auto"/>
              </w:rPr>
              <w:t>Selected Financial Data</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7.</w:t>
            </w:r>
          </w:p>
        </w:tc>
        <w:tc>
          <w:tcPr>
            <w:tcW w:w="754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7A.</w:t>
            </w:r>
          </w:p>
        </w:tc>
        <w:tc>
          <w:tcPr>
            <w:tcW w:w="754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8.</w:t>
            </w:r>
          </w:p>
        </w:tc>
        <w:tc>
          <w:tcPr>
            <w:tcW w:w="7540" w:type="dxa"/>
            <w:vAlign w:val="bottom"/>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9.</w:t>
            </w:r>
          </w:p>
        </w:tc>
        <w:tc>
          <w:tcPr>
            <w:tcW w:w="7540" w:type="dxa"/>
            <w:vAlign w:val="bottom"/>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9A.</w:t>
            </w:r>
          </w:p>
        </w:tc>
        <w:tc>
          <w:tcPr>
            <w:tcW w:w="754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9B.</w:t>
            </w:r>
          </w:p>
        </w:tc>
        <w:tc>
          <w:tcPr>
            <w:tcW w:w="754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III</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10.</w:t>
            </w:r>
          </w:p>
        </w:tc>
        <w:tc>
          <w:tcPr>
            <w:tcW w:w="7540" w:type="dxa"/>
            <w:vAlign w:val="bottom"/>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11.</w:t>
            </w:r>
          </w:p>
        </w:tc>
        <w:tc>
          <w:tcPr>
            <w:tcW w:w="7540" w:type="dxa"/>
            <w:vAlign w:val="bottom"/>
          </w:tcPr>
          <w:p>
            <w:pPr>
              <w:ind w:left="80"/>
              <w:spacing w:after="0"/>
              <w:rPr>
                <w:sz w:val="20"/>
                <w:szCs w:val="20"/>
                <w:color w:val="auto"/>
              </w:rPr>
            </w:pPr>
            <w:r>
              <w:rPr>
                <w:rFonts w:ascii="Arial" w:cs="Arial" w:eastAsia="Arial" w:hAnsi="Arial"/>
                <w:sz w:val="18"/>
                <w:szCs w:val="18"/>
                <w:color w:val="auto"/>
              </w:rPr>
              <w:t>Executive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12.</w:t>
            </w:r>
          </w:p>
        </w:tc>
        <w:tc>
          <w:tcPr>
            <w:tcW w:w="7540" w:type="dxa"/>
            <w:vAlign w:val="bottom"/>
          </w:tcPr>
          <w:p>
            <w:pPr>
              <w:ind w:left="80"/>
              <w:spacing w:after="0"/>
              <w:rPr>
                <w:sz w:val="20"/>
                <w:szCs w:val="20"/>
                <w:color w:val="auto"/>
              </w:rPr>
            </w:pPr>
            <w:r>
              <w:rPr>
                <w:rFonts w:ascii="Arial" w:cs="Arial" w:eastAsia="Arial" w:hAnsi="Arial"/>
                <w:sz w:val="18"/>
                <w:szCs w:val="18"/>
                <w:color w:val="auto"/>
                <w:w w:val="92"/>
              </w:rPr>
              <w:t>Security Ownership of Certain Beneficial Owners and Management and Related Stockholder Matters</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13.</w:t>
            </w:r>
          </w:p>
        </w:tc>
        <w:tc>
          <w:tcPr>
            <w:tcW w:w="7540" w:type="dxa"/>
            <w:vAlign w:val="bottom"/>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14.</w:t>
            </w:r>
          </w:p>
        </w:tc>
        <w:tc>
          <w:tcPr>
            <w:tcW w:w="7540" w:type="dxa"/>
            <w:vAlign w:val="bottom"/>
          </w:tcPr>
          <w:p>
            <w:pPr>
              <w:ind w:left="80"/>
              <w:spacing w:after="0"/>
              <w:rPr>
                <w:sz w:val="20"/>
                <w:szCs w:val="20"/>
                <w:color w:val="auto"/>
              </w:rPr>
            </w:pPr>
            <w:r>
              <w:rPr>
                <w:rFonts w:ascii="Arial" w:cs="Arial" w:eastAsia="Arial" w:hAnsi="Arial"/>
                <w:sz w:val="18"/>
                <w:szCs w:val="18"/>
                <w:color w:val="auto"/>
              </w:rPr>
              <w:t>Principal Accounting Fees and Services</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IV</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15.</w:t>
            </w:r>
          </w:p>
        </w:tc>
        <w:tc>
          <w:tcPr>
            <w:tcW w:w="7540" w:type="dxa"/>
            <w:vAlign w:val="bottom"/>
          </w:tcPr>
          <w:p>
            <w:pPr>
              <w:ind w:left="80"/>
              <w:spacing w:after="0"/>
              <w:rPr>
                <w:sz w:val="20"/>
                <w:szCs w:val="20"/>
                <w:color w:val="auto"/>
              </w:rPr>
            </w:pPr>
            <w:r>
              <w:rPr>
                <w:rFonts w:ascii="Arial" w:cs="Arial" w:eastAsia="Arial" w:hAnsi="Arial"/>
                <w:sz w:val="18"/>
                <w:szCs w:val="18"/>
                <w:color w:val="auto"/>
              </w:rPr>
              <w:t>Exhibits, Financial Statement Schedules</w:t>
            </w: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16.</w:t>
            </w:r>
          </w:p>
        </w:tc>
        <w:tc>
          <w:tcPr>
            <w:tcW w:w="7540" w:type="dxa"/>
            <w:vAlign w:val="bottom"/>
          </w:tcPr>
          <w:p>
            <w:pPr>
              <w:ind w:left="80"/>
              <w:spacing w:after="0"/>
              <w:rPr>
                <w:sz w:val="20"/>
                <w:szCs w:val="20"/>
                <w:color w:val="auto"/>
              </w:rPr>
            </w:pPr>
            <w:r>
              <w:rPr>
                <w:rFonts w:ascii="Arial" w:cs="Arial" w:eastAsia="Arial" w:hAnsi="Arial"/>
                <w:sz w:val="18"/>
                <w:szCs w:val="18"/>
                <w:color w:val="auto"/>
              </w:rPr>
              <w:t>Form 10-K Summary</w:t>
            </w: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All statements, other than statements of historical facts, contained in this Annual Report on Form 10-K,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6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forward-looking statements contained in this Annual Report on Form 10-K are made as of the date of this Annual Report on Form 10-K, and we undertake no obligation to publicly update or review any forward-looking statement, whether as a result of new information, future developments or otherwise.</w:t>
      </w:r>
    </w:p>
    <w:p>
      <w:pPr>
        <w:spacing w:after="0" w:line="18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Unless expressly indicated or the context requires otherwise, the terms "”Y-mAbs,” "company," "we," "us," and "our" in this document refer to Y-mAbs Therapeutics, Inc., a Delaware corporation, and, where appropriate, its subsidiaries.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84" w:lineRule="exact"/>
        <w:rPr>
          <w:sz w:val="20"/>
          <w:szCs w:val="20"/>
          <w:color w:val="auto"/>
        </w:rPr>
      </w:pPr>
    </w:p>
    <w:p>
      <w:pPr>
        <w:ind w:left="1100" w:right="139" w:hanging="388"/>
        <w:spacing w:after="0" w:line="287"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launch and commercialize DANYELZA® (naxitamab-gqgk), referred to as DANYELZA, for the treatment of relapsed/refractory high-risk neuroblastoma in bone and/or bone marrow, in the United States and in any other jurisdictions where we may receive marketing approval in the future;</w:t>
      </w:r>
    </w:p>
    <w:p>
      <w:pPr>
        <w:spacing w:after="0" w:line="2" w:lineRule="exact"/>
        <w:rPr>
          <w:rFonts w:ascii="Arial" w:cs="Arial" w:eastAsia="Arial" w:hAnsi="Arial"/>
          <w:sz w:val="16"/>
          <w:szCs w:val="16"/>
          <w:color w:val="auto"/>
        </w:rPr>
      </w:pPr>
    </w:p>
    <w:p>
      <w:pPr>
        <w:ind w:left="1100" w:right="1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obtain regulatory approval and develop and commercialize our lead product candidate omburtamab and other product candidates, including the potential clinical efficacy, safety and other benefits thereof;</w:t>
      </w:r>
    </w:p>
    <w:p>
      <w:pPr>
        <w:spacing w:after="0" w:line="1" w:lineRule="exact"/>
        <w:rPr>
          <w:rFonts w:ascii="Arial" w:cs="Arial" w:eastAsia="Arial" w:hAnsi="Arial"/>
          <w:sz w:val="18"/>
          <w:szCs w:val="18"/>
          <w:color w:val="auto"/>
        </w:rPr>
      </w:pPr>
    </w:p>
    <w:p>
      <w:pPr>
        <w:ind w:left="1100" w:right="6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DANYELZA or any current or future product candidate for which we may receive marketing approval;</w:t>
      </w:r>
    </w:p>
    <w:p>
      <w:pPr>
        <w:ind w:left="1100" w:right="3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resubmission and potential approval of our Biological License Application, or BLA, for omburtamab;</w:t>
      </w:r>
    </w:p>
    <w:p>
      <w:pPr>
        <w:ind w:left="1100" w:right="1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DANYELZA, omburtamab and any current or future product candidate for which we may receive marketing approval, including our plans with respect to the focus and activities of our sales force, the nature of our marketing, market access and patient support activities of DANYELZA and related assumptions;</w:t>
      </w:r>
    </w:p>
    <w:p>
      <w:pPr>
        <w:spacing w:after="0" w:line="1" w:lineRule="exact"/>
        <w:rPr>
          <w:rFonts w:ascii="Arial" w:cs="Arial" w:eastAsia="Arial" w:hAnsi="Arial"/>
          <w:sz w:val="18"/>
          <w:szCs w:val="18"/>
          <w:color w:val="auto"/>
        </w:rPr>
      </w:pPr>
    </w:p>
    <w:p>
      <w:pPr>
        <w:ind w:left="1100" w:right="15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coverage and reimbursement of, and the extent to which patient assistance programs are utilized for DANYELZA, omburtamab or any current or future product candidate for which we may receive marketing approval;</w:t>
      </w:r>
    </w:p>
    <w:p>
      <w:pPr>
        <w:spacing w:after="0" w:line="1" w:lineRule="exact"/>
        <w:rPr>
          <w:rFonts w:ascii="Arial" w:cs="Arial" w:eastAsia="Arial" w:hAnsi="Arial"/>
          <w:sz w:val="18"/>
          <w:szCs w:val="18"/>
          <w:color w:val="auto"/>
        </w:rPr>
      </w:pPr>
    </w:p>
    <w:p>
      <w:pPr>
        <w:ind w:left="1100" w:right="7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future clinical trials for DANYELZA and our lead product candidate omburtamab and other product candidates, whether conducted by us or by any of our collaborators, including the timing of initiation of these trials, the pace of enrollment, the completion of enrollment, the availability of data from these trials, the expected dates of Biological License Application, or BLA, submission and approval by the United States Food and Drug Administration, or FDA, and equivalent foreign regulatory authorities and of the anticipated results;</w:t>
      </w:r>
    </w:p>
    <w:p>
      <w:pPr>
        <w:spacing w:after="0" w:line="2" w:lineRule="exact"/>
        <w:rPr>
          <w:rFonts w:ascii="Arial" w:cs="Arial" w:eastAsia="Arial" w:hAnsi="Arial"/>
          <w:sz w:val="18"/>
          <w:szCs w:val="18"/>
          <w:color w:val="auto"/>
        </w:rPr>
      </w:pPr>
    </w:p>
    <w:p>
      <w:pPr>
        <w:ind w:left="1100" w:right="9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business, operations and clinical development plans and timelines could be adversely affected by the effects of health epidemics, including the recent COVID-19 pandemic, on the manufacturing, clinical trial and other business activities performed by us or by third parties with whom we conduct business, including our contract manufacturers, or CMOs, contract research organizations, or CROs, shippers and others;</w:t>
      </w:r>
    </w:p>
    <w:p>
      <w:pPr>
        <w:spacing w:after="0" w:line="1" w:lineRule="exact"/>
        <w:rPr>
          <w:rFonts w:ascii="Arial" w:cs="Arial" w:eastAsia="Arial" w:hAnsi="Arial"/>
          <w:sz w:val="18"/>
          <w:szCs w:val="18"/>
          <w:color w:val="auto"/>
        </w:rPr>
      </w:pPr>
    </w:p>
    <w:p>
      <w:pPr>
        <w:ind w:left="1100" w:right="3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integrate, manage and retain qualified personnel or key employees or our employees may not be able to come to work as a result of COVID-19;</w:t>
      </w:r>
    </w:p>
    <w:p>
      <w:pPr>
        <w:ind w:left="1100" w:right="45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1" w:lineRule="exact"/>
        <w:rPr>
          <w:rFonts w:ascii="Arial" w:cs="Arial" w:eastAsia="Arial" w:hAnsi="Arial"/>
          <w:sz w:val="18"/>
          <w:szCs w:val="18"/>
          <w:color w:val="auto"/>
        </w:rPr>
      </w:pPr>
    </w:p>
    <w:p>
      <w:pPr>
        <w:ind w:left="1100" w:right="21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ind w:left="1100" w:right="39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ind w:left="1100" w:right="9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in our internal control over financial reporting and failure to comply with Section 404(b) of the Sarbanes-Oxley Act;</w:t>
      </w:r>
    </w:p>
    <w:p>
      <w:pPr>
        <w:ind w:left="1100" w:hanging="38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100" w:right="619" w:hanging="388"/>
        <w:spacing w:after="0" w:line="281"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intellectual property position and strategy and the scope of protection we are able to establish and maintain for the intellectual property rights covering our product candidates and technology;</w:t>
      </w:r>
    </w:p>
    <w:p>
      <w:pPr>
        <w:spacing w:after="0" w:line="1" w:lineRule="exact"/>
        <w:rPr>
          <w:rFonts w:ascii="Arial" w:cs="Arial" w:eastAsia="Arial" w:hAnsi="Arial"/>
          <w:sz w:val="16"/>
          <w:szCs w:val="16"/>
          <w:color w:val="auto"/>
        </w:rPr>
      </w:pPr>
    </w:p>
    <w:p>
      <w:pPr>
        <w:ind w:left="1100" w:right="879" w:hanging="388"/>
        <w:spacing w:after="0" w:line="26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899" w:hanging="388"/>
        <w:spacing w:after="0" w:line="258"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 w:lineRule="exact"/>
        <w:rPr>
          <w:rFonts w:ascii="Arial" w:cs="Arial" w:eastAsia="Arial" w:hAnsi="Arial"/>
          <w:sz w:val="18"/>
          <w:szCs w:val="18"/>
          <w:color w:val="auto"/>
        </w:rPr>
      </w:pPr>
    </w:p>
    <w:p>
      <w:pPr>
        <w:ind w:left="1100" w:right="279" w:hanging="388"/>
        <w:spacing w:after="0" w:line="265"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continue to maintain and leverage our relationship with Memorial Sloan Kettering Cancer Center, or MSK, including our exclusive rights to the MSK License and current and future technology and our relationship with MSK as a user of DANYELZA and any future products;</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9" w:lineRule="exact"/>
        <w:rPr>
          <w:rFonts w:ascii="Arial" w:cs="Arial" w:eastAsia="Arial" w:hAnsi="Arial"/>
          <w:sz w:val="18"/>
          <w:szCs w:val="18"/>
          <w:color w:val="auto"/>
        </w:rPr>
      </w:pPr>
    </w:p>
    <w:p>
      <w:pPr>
        <w:ind w:left="1100" w:hanging="388"/>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related to the use of our cash and cash equivalents, how long that cash is expected to last;</w:t>
      </w:r>
    </w:p>
    <w:p>
      <w:pPr>
        <w:spacing w:after="0" w:line="32" w:lineRule="exact"/>
        <w:rPr>
          <w:rFonts w:ascii="Arial" w:cs="Arial" w:eastAsia="Arial" w:hAnsi="Arial"/>
          <w:sz w:val="16"/>
          <w:szCs w:val="16"/>
          <w:color w:val="auto"/>
        </w:rPr>
      </w:pP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w:t>
      </w:r>
    </w:p>
    <w:p>
      <w:pPr>
        <w:spacing w:after="0" w:line="9" w:lineRule="exact"/>
        <w:rPr>
          <w:rFonts w:ascii="Arial" w:cs="Arial" w:eastAsia="Arial" w:hAnsi="Arial"/>
          <w:sz w:val="18"/>
          <w:szCs w:val="18"/>
          <w:color w:val="auto"/>
        </w:rPr>
      </w:pPr>
    </w:p>
    <w:p>
      <w:pPr>
        <w:ind w:left="1100" w:right="6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1100" w:right="43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business, financial condition and results of operations from the global COVID-19 pandemic, including the pace of global economic recovery from the pandemic;</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9" w:lineRule="exact"/>
        <w:rPr>
          <w:rFonts w:ascii="Arial" w:cs="Arial" w:eastAsia="Arial" w:hAnsi="Arial"/>
          <w:sz w:val="18"/>
          <w:szCs w:val="18"/>
          <w:color w:val="auto"/>
        </w:rPr>
      </w:pPr>
    </w:p>
    <w:p>
      <w:pPr>
        <w:ind w:left="1100" w:right="1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and difficulty to find a suitable replacement for, a small number of third party contract manufacturing organizations that we currently use for the complex and difficult manufacture of our product candidates;</w:t>
      </w:r>
    </w:p>
    <w:p>
      <w:pPr>
        <w:spacing w:after="0" w:line="1" w:lineRule="exact"/>
        <w:rPr>
          <w:rFonts w:ascii="Arial" w:cs="Arial" w:eastAsia="Arial" w:hAnsi="Arial"/>
          <w:sz w:val="18"/>
          <w:szCs w:val="18"/>
          <w:color w:val="auto"/>
        </w:rPr>
      </w:pPr>
    </w:p>
    <w:p>
      <w:pPr>
        <w:ind w:left="1100" w:right="359" w:hanging="388"/>
        <w:spacing w:after="0" w:line="281"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comply with healthcare laws and regulations in the United States and any foreign countries, including, without limitation, those applying to the marketing and sale of pharmaceutical products;</w:t>
      </w:r>
    </w:p>
    <w:p>
      <w:pPr>
        <w:spacing w:after="0" w:line="1" w:lineRule="exact"/>
        <w:rPr>
          <w:rFonts w:ascii="Arial" w:cs="Arial" w:eastAsia="Arial" w:hAnsi="Arial"/>
          <w:sz w:val="16"/>
          <w:szCs w:val="16"/>
          <w:color w:val="auto"/>
        </w:rPr>
      </w:pPr>
    </w:p>
    <w:p>
      <w:pPr>
        <w:ind w:left="1100" w:right="13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our prior initial public offering, or IPO, in 2018 and our public offering in 2019; and</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 section herein entitled “Risk Factors”.</w:t>
      </w:r>
    </w:p>
    <w:p>
      <w:pPr>
        <w:spacing w:after="0" w:line="21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are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39" w:lineRule="exact"/>
        <w:rPr>
          <w:sz w:val="20"/>
          <w:szCs w:val="20"/>
          <w:color w:val="auto"/>
        </w:rPr>
      </w:pPr>
    </w:p>
    <w:p>
      <w:pPr>
        <w:ind w:left="60" w:right="159" w:firstLine="648"/>
        <w:spacing w:after="0" w:line="237" w:lineRule="auto"/>
        <w:rPr>
          <w:sz w:val="20"/>
          <w:szCs w:val="20"/>
          <w:color w:val="auto"/>
        </w:rPr>
      </w:pPr>
      <w:r>
        <w:rPr>
          <w:rFonts w:ascii="Arial" w:cs="Arial" w:eastAsia="Arial" w:hAnsi="Arial"/>
          <w:sz w:val="18"/>
          <w:szCs w:val="18"/>
          <w:color w:val="auto"/>
        </w:rPr>
        <w:t>On November 25, 2020, DANYELZA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(naxitamab-gqgk) was approved by the United States Food and Drug Administration, or the FDA,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small quantities of product in February 2021.</w:t>
      </w:r>
    </w:p>
    <w:p>
      <w:pPr>
        <w:spacing w:after="0" w:line="20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DANYELZA is also currently being investigated in three Phase 2 clinical studies for the treatment of patients with first-line NB, third-line NB, and in relapsed osteosarcoma. In addition, we have an ongoing Phase 2 trial at Memorial Sloan Kettering Cancer Center, or MSK, with our GD2-GD3 Vaccine for the treatment of Stage 4 high-risk NB. We believe the GD2-GD3 Vaccine can potentially serve as an add-on treatment to DANYELZA.</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We submitted a Biologics License Application, or BLA, to the FDA for radiolabeled 131I-omburtamab for central nervous system, or CNS, leptomeningeal metastases, or LM, from NB in August 2020, and received a Refusal to File letter from the FDA in October 2020. We are in the process of preparing a resubmission of the BLA and we plan to continue to discuss our resubmission plans with the FDA, including a meeting in March 2021 in order to amend the BLA. Assuming a positive outcome of these discussions, we expect to resubmit our BLA for omburtamab by the end of the second quarter of 2021 or the third quarter of 2021. The reason for the FDA’s decision to issue the Refusal to File letter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have a meeting with the FDA scheduled for March 26, 2021, to discuss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we can provide no assurance that the FDA will agree with our proposal or that we will be successful in resubmitting our BLA for omburtamab in this timeline.</w:t>
      </w:r>
    </w:p>
    <w:p>
      <w:pPr>
        <w:spacing w:after="0" w:line="176" w:lineRule="exact"/>
        <w:rPr>
          <w:sz w:val="20"/>
          <w:szCs w:val="20"/>
          <w:color w:val="auto"/>
        </w:rPr>
      </w:pPr>
    </w:p>
    <w:p>
      <w:pPr>
        <w:jc w:val="both"/>
        <w:ind w:left="60" w:right="339" w:firstLine="648"/>
        <w:spacing w:after="0" w:line="229" w:lineRule="auto"/>
        <w:rPr>
          <w:sz w:val="20"/>
          <w:szCs w:val="20"/>
          <w:color w:val="auto"/>
        </w:rPr>
      </w:pPr>
      <w:r>
        <w:rPr>
          <w:rFonts w:ascii="Arial" w:cs="Arial" w:eastAsia="Arial" w:hAnsi="Arial"/>
          <w:sz w:val="18"/>
          <w:szCs w:val="18"/>
          <w:color w:val="auto"/>
        </w:rPr>
        <w:t>Additionally, we are conducting clinical studies with omburtamab in diffuse intrinsic pontine glioma, or DIPG, and desmoplastic small round cell tumor, or DSRCT. We also have an omburtamab follow-on product candidate,</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 in Phase 1 for the treatment of medulloblastoma, and in Phase I in adults targeting B7-H3 positive CNS/LM tumors.</w:t>
      </w:r>
    </w:p>
    <w:p>
      <w:pPr>
        <w:spacing w:after="0" w:line="202"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We are advancing a new generation of T cell engaging bispecific antibodies, or BsAbs, that may destroy tumor cells by recruitment of host T cells. Our Y-BiClone format contains two binding arms for the tumor target and two binding arms for T cells. This format was designed to have the small binding affinity necessary to recruit T cells. We have successfully opened an investigational new drug application, or IND, for our Phase 2 trial with nivatrotamab, our GD2 BsAb product candidate, in Small Cell Lung Cancer, or SCLC. In addition a Phase 1/2 trial with nivatrotamab, for the treatment of refractory GD2 positive adult and pediatric solid tumors is ongoing. We are also advancing a CD33 BsAb for the treatment of hematological cancers expressing CD33, a transmembrane receptor expressed on cells of myeloid lineage, which we expect to enter clinical trials in 2021. We are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68"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Based on the SADA technology, we are using our proprietary radioimmunotherapy SADA platform to advance a series of antibody constructs, where bispecific antibody fragments bind to the tumor before a radioactive payload is injected in a two-step approach. We also refer to the SADA technology as Liquid Radiation</w:t>
      </w:r>
      <w:r>
        <w:rPr>
          <w:rFonts w:ascii="Arial" w:cs="Arial" w:eastAsia="Arial" w:hAnsi="Arial"/>
          <w:sz w:val="23"/>
          <w:szCs w:val="23"/>
          <w:color w:val="auto"/>
          <w:vertAlign w:val="superscript"/>
        </w:rPr>
        <w:t>TM</w:t>
      </w:r>
      <w:r>
        <w:rPr>
          <w:rFonts w:ascii="Arial" w:cs="Arial" w:eastAsia="Arial" w:hAnsi="Arial"/>
          <w:sz w:val="16"/>
          <w:szCs w:val="16"/>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 GD2-SADA in 2021. We believe the SADA technology could potentially improve the efficacy of radiolabeled therapeutics in tumors that have not historically demonstrated meaningful responses to radiolabeled agents.</w:t>
      </w:r>
    </w:p>
    <w:p>
      <w:pPr>
        <w:spacing w:after="0" w:line="177"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DANYELZA</w:t>
      </w:r>
    </w:p>
    <w:p>
      <w:pPr>
        <w:spacing w:after="0" w:line="229" w:lineRule="exact"/>
        <w:rPr>
          <w:sz w:val="20"/>
          <w:szCs w:val="20"/>
          <w:color w:val="auto"/>
        </w:rPr>
      </w:pPr>
    </w:p>
    <w:p>
      <w:pPr>
        <w:jc w:val="both"/>
        <w:ind w:left="60" w:right="299" w:firstLine="693"/>
        <w:spacing w:after="0" w:line="311" w:lineRule="auto"/>
        <w:rPr>
          <w:sz w:val="20"/>
          <w:szCs w:val="20"/>
          <w:color w:val="auto"/>
        </w:rPr>
      </w:pPr>
      <w:r>
        <w:rPr>
          <w:rFonts w:ascii="Arial" w:cs="Arial" w:eastAsia="Arial" w:hAnsi="Arial"/>
          <w:sz w:val="16"/>
          <w:szCs w:val="16"/>
          <w:color w:val="auto"/>
        </w:rPr>
        <w:t>DANYELZA, our first FDA-approved product is a recombinant humanized immunoglobulin G, subtype 1k, or IgG1κ, monoclonal antibody or mAb that targets ganglioside GD2, which is highly expressed in various neuroectoderm-derived tumors and sarcomas. DANYELZA received regulatory approval by the FDA on November 25,</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2020 for the treatment, in combination with GM-CSF, of pediatric patients 1 year of age and older and adult patients with R/R high-risk NB in the bone or bone marrow who have demonstrated a partial response, minor response, or stable disease to prior therapy.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DANYELZA is currently being studied in several clinical trials, including a pivotal-stage multicenter trial (Study</w:t>
      </w:r>
    </w:p>
    <w:p>
      <w:pPr>
        <w:spacing w:after="0" w:line="35" w:lineRule="exact"/>
        <w:rPr>
          <w:sz w:val="20"/>
          <w:szCs w:val="20"/>
          <w:color w:val="auto"/>
        </w:rPr>
      </w:pPr>
    </w:p>
    <w:p>
      <w:pPr>
        <w:ind w:left="60" w:right="139" w:hanging="10"/>
        <w:spacing w:after="0" w:line="255"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is also designed to satisfy the confirmatory study and post-marketing requirements by the FDA, a Phase 2 clinical trial (Study 16-1643) in front-line NB, a pilot study (Study 17-251) of chemoimmunotherapy for high-risk NB and a Phase 2 clinical trial (Study 15-096) for relapsed osteosarcoma.</w:t>
      </w:r>
    </w:p>
    <w:p>
      <w:pPr>
        <w:spacing w:after="0" w:line="19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believe DANYELZA has multiple potential advantages over other GD2-targeting antibody-based therapies. In particular, its toxicity profile allows for doses two-and-a-half times greater than existing GD2-targeting antibody-based therapies. Unlike currently approved GD2-targeting therapies for NB, which require 10 to 20 hours of infusion and hospitalization for several days, DANYELZA is administered in approximately 30 to 60 minutes in an outpatient setting. We believe this significantly shorter administration time is an important advantage considering the overall pain associated with treatment.</w:t>
      </w:r>
    </w:p>
    <w:p>
      <w:pPr>
        <w:spacing w:after="0" w:line="192"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DANYELZA has been administered to more than 400 patients to date, which formed the safety portion of our BLA submission. Other than DANYELZA, there are no FDA-approved therapies for primary refractory or second-line pediatric NB patients. DANYELZA has also received orphan drug designation, or ODD, and rare pediatric disease designation, or RPDD, from the FDA for the treatment of NB. In addition, on August 20, 2018, DANYELZA received breakthrough therapy designation, or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Finally, in November 2018, the European Commission granted orphan medicinal product designation, or OMPD, for naxitamab for the treatment of NB. While our current clinical efforts for DANYELZA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Omburtamab</w:t>
      </w:r>
    </w:p>
    <w:p>
      <w:pPr>
        <w:spacing w:after="0" w:line="229"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7"/>
          <w:szCs w:val="17"/>
          <w:color w:val="auto"/>
        </w:rPr>
        <w:t xml:space="preserve">Omburtamab, our lead product candidate, is a murine monoclonal antibody that targets B7-H3, an immune checkpoint molecule that is widely expressed in tumor cells of several cancer types.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which is omburtamab radiolabeled with Iodine-131, is currently being studied in several clinical trials including pivotal-stage development Study 101 and Study 03-133 for the treatment of pediatric patients who have CNS/LM from NB. An analysis of 107 patients with pediatric CNS/LM from NB who were treated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Study 03-133 demonstrated a median overall survival, or OS, of 50.8 months, as compared to historical median OS of approximately six to nine months.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has received ODD and RPDD from the FDA for the treatment of NB, and BTD for the treatment of pediatric patients who have CNS/LM from NB. We submitted a BLA to the FDA for </w:t>
      </w:r>
      <w:r>
        <w:rPr>
          <w:rFonts w:ascii="Arial" w:cs="Arial" w:eastAsia="Arial" w:hAnsi="Arial"/>
          <w:sz w:val="25"/>
          <w:szCs w:val="25"/>
          <w:color w:val="auto"/>
          <w:vertAlign w:val="superscript"/>
        </w:rPr>
        <w:t>131</w:t>
      </w:r>
      <w:r>
        <w:rPr>
          <w:rFonts w:ascii="Arial" w:cs="Arial" w:eastAsia="Arial" w:hAnsi="Arial"/>
          <w:sz w:val="17"/>
          <w:szCs w:val="17"/>
          <w:color w:val="auto"/>
        </w:rPr>
        <w:t>I-omburtamab for CNS/LM from NB in August 2020 and received a Refusal to File letter from the FDA in October 2020. The reason for the FDA’s decision to issue the Refusal to File letter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have a meeting with the FDA scheduled for March 26, 2021, to discuss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we can provide no assurance that the FDA will agree with our proposal or that we will be successful in resubmitting our BLA for omburtamab in this timeline.</w:t>
      </w:r>
    </w:p>
    <w:p>
      <w:pPr>
        <w:spacing w:after="0" w:line="195" w:lineRule="exact"/>
        <w:rPr>
          <w:sz w:val="20"/>
          <w:szCs w:val="20"/>
          <w:color w:val="auto"/>
        </w:rPr>
      </w:pPr>
    </w:p>
    <w:p>
      <w:pPr>
        <w:ind w:left="60" w:right="139" w:firstLine="648"/>
        <w:spacing w:after="0" w:line="226" w:lineRule="auto"/>
        <w:rPr>
          <w:sz w:val="20"/>
          <w:szCs w:val="20"/>
          <w:color w:val="auto"/>
        </w:rPr>
      </w:pPr>
      <w:r>
        <w:rPr>
          <w:rFonts w:ascii="Arial" w:cs="Arial" w:eastAsia="Arial" w:hAnsi="Arial"/>
          <w:sz w:val="23"/>
          <w:szCs w:val="23"/>
          <w:color w:val="auto"/>
          <w:vertAlign w:val="superscript"/>
        </w:rPr>
        <w:t>124</w:t>
      </w:r>
      <w:r>
        <w:rPr>
          <w:rFonts w:ascii="Arial" w:cs="Arial" w:eastAsia="Arial" w:hAnsi="Arial"/>
          <w:sz w:val="16"/>
          <w:szCs w:val="16"/>
          <w:color w:val="auto"/>
        </w:rPr>
        <w:t xml:space="preserve">I-omburtamab, which is omburtamab radiolabeled with Iodine-124, is currently being studied for the treatment of Diffuse Intrinsic Pontine Glioma, or DIPG. </w:t>
      </w:r>
      <w:r>
        <w:rPr>
          <w:rFonts w:ascii="Arial" w:cs="Arial" w:eastAsia="Arial" w:hAnsi="Arial"/>
          <w:sz w:val="23"/>
          <w:szCs w:val="23"/>
          <w:color w:val="auto"/>
          <w:vertAlign w:val="superscript"/>
        </w:rPr>
        <w:t>131</w:t>
      </w:r>
      <w:r>
        <w:rPr>
          <w:rFonts w:ascii="Arial" w:cs="Arial" w:eastAsia="Arial" w:hAnsi="Arial"/>
          <w:sz w:val="16"/>
          <w:szCs w:val="16"/>
          <w:color w:val="auto"/>
        </w:rPr>
        <w:t>I-omburtamab is currently also being studied for the treatment of Desmoplastic Small Round Cell Tumors, or DSRCT. Both DIPG and DSRCT are rare, and often fatal, cancers. While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our current clinical efforts are focused on rare pediatric cancers, we believe we can potentially expand omburtamab’s application to the treatment of CNS/LM resulting from other adult and pediatric solid tumors expressing B7-H3. We estimate that, in the United States and the EU in 2019, there were more than 30,000 new patients diagnosed with cancer that has metastasized to the CNS/LM, of which the vast majority express B7-H3.</w:t>
      </w:r>
    </w:p>
    <w:p>
      <w:pPr>
        <w:spacing w:after="0" w:line="161" w:lineRule="exact"/>
        <w:rPr>
          <w:sz w:val="20"/>
          <w:szCs w:val="20"/>
          <w:color w:val="auto"/>
        </w:rPr>
      </w:pPr>
    </w:p>
    <w:p>
      <w:pPr>
        <w:ind w:left="60" w:right="99" w:firstLine="648"/>
        <w:spacing w:after="0" w:line="217" w:lineRule="auto"/>
        <w:rPr>
          <w:sz w:val="20"/>
          <w:szCs w:val="20"/>
          <w:color w:val="auto"/>
        </w:rPr>
      </w:pPr>
      <w:r>
        <w:rPr>
          <w:rFonts w:ascii="Arial" w:cs="Arial" w:eastAsia="Arial" w:hAnsi="Arial"/>
          <w:sz w:val="18"/>
          <w:szCs w:val="18"/>
          <w:color w:val="auto"/>
        </w:rPr>
        <w:t xml:space="preserve">On December 31, 2019, we submitted an Investigational New Drug application, or IND, for </w:t>
      </w:r>
      <w:r>
        <w:rPr>
          <w:rFonts w:ascii="Arial" w:cs="Arial" w:eastAsia="Arial" w:hAnsi="Arial"/>
          <w:sz w:val="26"/>
          <w:szCs w:val="26"/>
          <w:color w:val="auto"/>
          <w:vertAlign w:val="superscript"/>
        </w:rPr>
        <w:t>177</w:t>
      </w:r>
      <w:r>
        <w:rPr>
          <w:rFonts w:ascii="Arial" w:cs="Arial" w:eastAsia="Arial" w:hAnsi="Arial"/>
          <w:sz w:val="18"/>
          <w:szCs w:val="18"/>
          <w:color w:val="auto"/>
        </w:rPr>
        <w:t xml:space="preserve">Lu-omburtamab-DTPA, for the treatment of medulloblastoma and we opened the IND for patients in October 2020. We expect to enroll the first patients in this trial before the end of first quarter of 2021. We have also opened a Phase 1 study with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 targeting B7-H3 positive CNS/LM tumors in adults. We expect to enroll the first patients in this trial in the first quarter of 2021.</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Y-BiClone Platform</w:t>
      </w:r>
    </w:p>
    <w:p>
      <w:pPr>
        <w:spacing w:after="0" w:line="229"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We are advancing a new generation of T cell engaging bispecific antibodies, or BsAbs, that may destroy tumor cells by recruitment of host T cells. The Y-BiClone format contains two binding arms for the tumor target and two binding arms for T cells. This format was designed to have the minimal binding affinity necessary to recruit T cells. We have successfully opened an IND for our Phase 2 trial with nivatrotamab, our GD2 BsAb product candidate, in Small Cell Lung Cancer, or SCLC. In addition a Phase 1/2 trial with nivatrotamab, for the treatment of refractory GD2 positive adult and pediatric solid tumors is ongoing. Our nivatrotamab program thus addresses large patient populations. In pre-clinical studies, nivatrotamab demonstrated the potential for improved tumor-binding, longer serum half-life and significantly greater T-cell mediated killing compared to existing bispecific constructs. In addition, we are advancing a CD33 BsAb for the treatment of hematological cancers expressing CD33, a transmembrane receptor expressed on cells of myeloid lineage, which we expect to enter clinical testing in 2021. We are also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Active INDs</w:t>
      </w:r>
    </w:p>
    <w:p>
      <w:pPr>
        <w:spacing w:after="0" w:line="22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We currently have eight active INDs related to our product candidates. The table below sets forth the product candidate, date of the initial submission of the IND to the FDA, as well as the current sponsor, the subject matter and the current status of each such IND.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80" w:type="dxa"/>
            <w:vAlign w:val="bottom"/>
          </w:tcPr>
          <w:p>
            <w:pPr>
              <w:spacing w:after="0"/>
              <w:rPr>
                <w:sz w:val="14"/>
                <w:szCs w:val="14"/>
                <w:color w:val="auto"/>
              </w:rPr>
            </w:pPr>
          </w:p>
        </w:tc>
        <w:tc>
          <w:tcPr>
            <w:tcW w:w="1640" w:type="dxa"/>
            <w:vAlign w:val="bottom"/>
          </w:tcPr>
          <w:p>
            <w:pPr>
              <w:ind w:left="56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4"/>
                <w:szCs w:val="14"/>
                <w:color w:val="auto"/>
              </w:rPr>
            </w:pPr>
          </w:p>
        </w:tc>
        <w:tc>
          <w:tcPr>
            <w:tcW w:w="1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Subject Matter of IND</w:t>
            </w:r>
          </w:p>
        </w:tc>
        <w:tc>
          <w:tcPr>
            <w:tcW w:w="180" w:type="dxa"/>
            <w:vAlign w:val="bottom"/>
          </w:tcPr>
          <w:p>
            <w:pPr>
              <w:spacing w:after="0"/>
              <w:rPr>
                <w:sz w:val="14"/>
                <w:szCs w:val="14"/>
                <w:color w:val="auto"/>
              </w:rPr>
            </w:pPr>
          </w:p>
        </w:tc>
        <w:tc>
          <w:tcPr>
            <w:tcW w:w="1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Initial Submission</w:t>
            </w:r>
          </w:p>
        </w:tc>
        <w:tc>
          <w:tcPr>
            <w:tcW w:w="180" w:type="dxa"/>
            <w:vAlign w:val="bottom"/>
          </w:tcPr>
          <w:p>
            <w:pPr>
              <w:spacing w:after="0"/>
              <w:rPr>
                <w:sz w:val="14"/>
                <w:szCs w:val="14"/>
                <w:color w:val="auto"/>
              </w:rPr>
            </w:pPr>
          </w:p>
        </w:tc>
        <w:tc>
          <w:tcPr>
            <w:tcW w:w="1640" w:type="dxa"/>
            <w:vAlign w:val="bottom"/>
          </w:tcPr>
          <w:p>
            <w:pPr>
              <w:ind w:left="560"/>
              <w:spacing w:after="0"/>
              <w:rPr>
                <w:sz w:val="20"/>
                <w:szCs w:val="20"/>
                <w:color w:val="auto"/>
              </w:rPr>
            </w:pPr>
            <w:r>
              <w:rPr>
                <w:rFonts w:ascii="Arial" w:cs="Arial" w:eastAsia="Arial" w:hAnsi="Arial"/>
                <w:sz w:val="14"/>
                <w:szCs w:val="14"/>
                <w:b w:val="1"/>
                <w:bCs w:val="1"/>
                <w:color w:val="auto"/>
              </w:rPr>
              <w:t>Sponsor</w:t>
            </w: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DANYELZA</w:t>
            </w:r>
          </w:p>
        </w:tc>
        <w:tc>
          <w:tcPr>
            <w:tcW w:w="1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June 14, 2011</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MSK</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NB and other GD2</w:t>
            </w:r>
          </w:p>
        </w:tc>
        <w:tc>
          <w:tcPr>
            <w:tcW w:w="1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Clinical trials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positive tumors</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20" w:type="dxa"/>
            <w:vAlign w:val="bottom"/>
            <w:shd w:val="clear" w:color="auto" w:fill="CCEEFF"/>
          </w:tcPr>
          <w:p>
            <w:pPr>
              <w:spacing w:after="0" w:line="191" w:lineRule="exact"/>
              <w:rPr>
                <w:sz w:val="20"/>
                <w:szCs w:val="20"/>
                <w:color w:val="auto"/>
              </w:rPr>
            </w:pPr>
            <w:r>
              <w:rPr>
                <w:rFonts w:ascii="Arial" w:cs="Arial" w:eastAsia="Arial" w:hAnsi="Arial"/>
                <w:sz w:val="16"/>
                <w:szCs w:val="16"/>
                <w:color w:val="auto"/>
              </w:rPr>
              <w:t>Omburtamab (</w:t>
            </w:r>
            <w:r>
              <w:rPr>
                <w:rFonts w:ascii="Arial" w:cs="Arial" w:eastAsia="Arial" w:hAnsi="Arial"/>
                <w:sz w:val="22"/>
                <w:szCs w:val="22"/>
                <w:color w:val="auto"/>
                <w:vertAlign w:val="superscript"/>
              </w:rPr>
              <w:t>131</w:t>
            </w:r>
            <w:r>
              <w:rPr>
                <w:rFonts w:ascii="Arial" w:cs="Arial" w:eastAsia="Arial" w:hAnsi="Arial"/>
                <w:sz w:val="16"/>
                <w:szCs w:val="16"/>
                <w:color w:val="auto"/>
              </w:rPr>
              <w:t>I-</w:t>
            </w:r>
          </w:p>
        </w:tc>
        <w:tc>
          <w:tcPr>
            <w:tcW w:w="184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September 22, 2000</w:t>
            </w:r>
          </w:p>
        </w:tc>
        <w:tc>
          <w:tcPr>
            <w:tcW w:w="182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Y-mAbs (MSK</w:t>
            </w:r>
          </w:p>
        </w:tc>
        <w:tc>
          <w:tcPr>
            <w:tcW w:w="182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CNS/LM from NB,</w:t>
            </w:r>
          </w:p>
        </w:tc>
        <w:tc>
          <w:tcPr>
            <w:tcW w:w="178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Clinical trials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2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w w:val="88"/>
              </w:rPr>
              <w:t xml:space="preserve">omburtamab and </w:t>
            </w:r>
            <w:r>
              <w:rPr>
                <w:rFonts w:ascii="Arial" w:cs="Arial" w:eastAsia="Arial" w:hAnsi="Arial"/>
                <w:sz w:val="26"/>
                <w:szCs w:val="26"/>
                <w:color w:val="auto"/>
                <w:w w:val="88"/>
                <w:vertAlign w:val="superscript"/>
              </w:rPr>
              <w:t>124</w:t>
            </w:r>
            <w:r>
              <w:rPr>
                <w:rFonts w:ascii="Arial" w:cs="Arial" w:eastAsia="Arial" w:hAnsi="Arial"/>
                <w:sz w:val="18"/>
                <w:szCs w:val="18"/>
                <w:color w:val="auto"/>
                <w:w w:val="88"/>
              </w:rPr>
              <w:t>I-</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original sponsor)</w:t>
            </w: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DSRCT, DIPG and</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omburtamab)</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other B7-H3 positive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tumors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DANYELZA</w:t>
            </w:r>
          </w:p>
        </w:tc>
        <w:tc>
          <w:tcPr>
            <w:tcW w:w="1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September 5, 2017</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Pediatric NB</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Nivatrotamab</w:t>
            </w:r>
          </w:p>
        </w:tc>
        <w:tc>
          <w:tcPr>
            <w:tcW w:w="1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April 20, 2018</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 (MSK</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GD2 positive solid</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original sponsor)</w:t>
            </w: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tumors</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Nivatrotamab</w:t>
            </w:r>
          </w:p>
        </w:tc>
        <w:tc>
          <w:tcPr>
            <w:tcW w:w="1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December 18, 2020</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SCLC</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Obtained IND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January 2021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23"/>
                <w:szCs w:val="23"/>
                <w:color w:val="auto"/>
                <w:vertAlign w:val="superscript"/>
              </w:rPr>
              <w:t>177</w:t>
            </w:r>
            <w:r>
              <w:rPr>
                <w:rFonts w:ascii="Arial" w:cs="Arial" w:eastAsia="Arial" w:hAnsi="Arial"/>
                <w:sz w:val="16"/>
                <w:szCs w:val="16"/>
                <w:color w:val="auto"/>
              </w:rPr>
              <w:t>Lu-omburtamab-</w:t>
            </w:r>
          </w:p>
        </w:tc>
        <w:tc>
          <w:tcPr>
            <w:tcW w:w="1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December 31, 2019</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Medulloblastoma</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Obtained IND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DTPA</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23"/>
                <w:szCs w:val="23"/>
                <w:color w:val="auto"/>
                <w:vertAlign w:val="superscript"/>
              </w:rPr>
              <w:t>177</w:t>
            </w:r>
            <w:r>
              <w:rPr>
                <w:rFonts w:ascii="Arial" w:cs="Arial" w:eastAsia="Arial" w:hAnsi="Arial"/>
                <w:sz w:val="16"/>
                <w:szCs w:val="16"/>
                <w:color w:val="auto"/>
              </w:rPr>
              <w:t>Lu-omburtamab-</w:t>
            </w:r>
          </w:p>
        </w:tc>
        <w:tc>
          <w:tcPr>
            <w:tcW w:w="1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September 25, 2020</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B7-H3 positive</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Obtained IND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DTPA</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CNS/LM tumors in</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adults patients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GD2-GD3 Vaccine</w:t>
            </w:r>
          </w:p>
        </w:tc>
        <w:tc>
          <w:tcPr>
            <w:tcW w:w="1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 29, 2008</w:t>
            </w: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MSK</w:t>
            </w: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Pediatric NB</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Clinical trial ongoing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SADA Technology</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w:t>
      </w:r>
    </w:p>
    <w:p>
      <w:pPr>
        <w:spacing w:after="0" w:line="18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We are using the SADA Technology to advance a series of antibody constructs based on the SADA technology, where bispecific antibody fragments bind to the tumor before a radioactive payload is injected in a two-step approach. We also refer to the SADA technology as Liquid Radiation</w:t>
      </w:r>
      <w:r>
        <w:rPr>
          <w:rFonts w:ascii="Arial" w:cs="Arial" w:eastAsia="Arial" w:hAnsi="Arial"/>
          <w:sz w:val="23"/>
          <w:szCs w:val="23"/>
          <w:color w:val="auto"/>
          <w:vertAlign w:val="superscript"/>
        </w:rPr>
        <w:t>TM</w:t>
      </w:r>
      <w:r>
        <w:rPr>
          <w:rFonts w:ascii="Arial" w:cs="Arial" w:eastAsia="Arial" w:hAnsi="Arial"/>
          <w:sz w:val="16"/>
          <w:szCs w:val="16"/>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 GD2-SADA in 2021. We believe the SADA technology could potentially improve the efficacy of radiolabeled therapeutics in tumors that have not historically demonstrated meaningful responses to radiolabeled agents.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3435350</wp:posOffset>
            </wp:positionV>
            <wp:extent cx="4972050" cy="1482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2050" cy="148272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1240790</wp:posOffset>
            </wp:positionV>
            <wp:extent cx="4920615" cy="1783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061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MSK License Agreements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We believe that our strong relationship with MSK, one of the world’s leading cancer treatment centers, and our access to certain of MSK’s 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Funding Activities</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Since our inception in April 2015, we have raised approximately $373.8 million through private placements of our securities, our initial public offering in September 2018 and our public offering in November 2019. As of December 31, 2020, we had cash and cash equivalents of $114.6 million. This number does not include any proceeds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from the sale of our PRV to United Therapeutics, which we received upon FDA approval of DANYELZA and sold for $105 million. Pursuant to the agreement with MSK, we were entitled to retain 60% of the net proceeds from monetization of the PRV, and the remaining 40% was due to MSK. We received our portion of the net proceeds of from the sale of the PRV in the amount of approximately $62.0 million when the transaction was consummated in January 2021. This number does also not include proceeds from our secondary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 million, when the transaction closed in February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following table sets forth DANYELZA and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117475</wp:posOffset>
            </wp:positionV>
            <wp:extent cx="5031740" cy="4963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31740"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0" w:hanging="150"/>
        <w:spacing w:after="0"/>
        <w:tabs>
          <w:tab w:leader="none" w:pos="200" w:val="left"/>
        </w:tabs>
        <w:numPr>
          <w:ilvl w:val="0"/>
          <w:numId w:val="6"/>
        </w:numPr>
        <w:rPr>
          <w:rFonts w:ascii="Arial" w:cs="Arial" w:eastAsia="Arial" w:hAnsi="Arial"/>
          <w:sz w:val="10"/>
          <w:szCs w:val="10"/>
          <w:color w:val="auto"/>
        </w:rPr>
      </w:pPr>
      <w:r>
        <w:rPr>
          <w:rFonts w:ascii="Arial" w:cs="Arial" w:eastAsia="Arial" w:hAnsi="Arial"/>
          <w:sz w:val="10"/>
          <w:szCs w:val="10"/>
          <w:color w:val="auto"/>
        </w:rPr>
        <w:t>DANYELZA was approved by the FDA in November 2020. Pivotal registration studies supporting the BLA submission, comprised of Study 12-230 measuring pharmacokinetic, toxicity and efficacy</w:t>
      </w:r>
    </w:p>
    <w:p>
      <w:pPr>
        <w:spacing w:after="0" w:line="14" w:lineRule="exact"/>
        <w:rPr>
          <w:rFonts w:ascii="Arial" w:cs="Arial" w:eastAsia="Arial" w:hAnsi="Arial"/>
          <w:sz w:val="10"/>
          <w:szCs w:val="10"/>
          <w:color w:val="auto"/>
        </w:rPr>
      </w:pPr>
    </w:p>
    <w:p>
      <w:pPr>
        <w:ind w:left="60" w:right="59"/>
        <w:spacing w:after="0" w:line="236" w:lineRule="auto"/>
        <w:rPr>
          <w:rFonts w:ascii="Arial" w:cs="Arial" w:eastAsia="Arial" w:hAnsi="Arial"/>
          <w:sz w:val="10"/>
          <w:szCs w:val="10"/>
          <w:color w:val="auto"/>
        </w:rPr>
      </w:pPr>
      <w:r>
        <w:rPr>
          <w:rFonts w:ascii="Arial" w:cs="Arial" w:eastAsia="Arial" w:hAnsi="Arial"/>
          <w:sz w:val="11"/>
          <w:szCs w:val="11"/>
          <w:color w:val="auto"/>
        </w:rPr>
        <w:t>and an additional pivotal multicenter Phase 2 study, Study 201, designed to prove comparability between study sites using a current good manufacturing practices, or cGMP, commercial manufacturer. Study 201 has also been designed to satisfy the confirmatory study and post-marketing requirements by the FDA.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hanging="150"/>
        <w:spacing w:after="0"/>
        <w:tabs>
          <w:tab w:leader="none" w:pos="20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Initial study represents pediatric and young adult patients.</w:t>
      </w:r>
    </w:p>
    <w:p>
      <w:pPr>
        <w:spacing w:after="0" w:line="3" w:lineRule="exact"/>
        <w:rPr>
          <w:rFonts w:ascii="Arial" w:cs="Arial" w:eastAsia="Arial" w:hAnsi="Arial"/>
          <w:sz w:val="11"/>
          <w:szCs w:val="11"/>
          <w:color w:val="auto"/>
        </w:rPr>
      </w:pPr>
    </w:p>
    <w:p>
      <w:pPr>
        <w:ind w:left="200" w:hanging="150"/>
        <w:spacing w:after="0" w:line="230" w:lineRule="auto"/>
        <w:tabs>
          <w:tab w:leader="none" w:pos="20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the radioactive isotope of iodine used to radiolabel omburtamab.</w:t>
      </w:r>
    </w:p>
    <w:p>
      <w:pPr>
        <w:jc w:val="both"/>
        <w:ind w:left="60" w:right="99" w:hanging="10"/>
        <w:spacing w:after="0" w:line="230" w:lineRule="auto"/>
        <w:tabs>
          <w:tab w:leader="none" w:pos="213" w:val="left"/>
        </w:tabs>
        <w:numPr>
          <w:ilvl w:val="0"/>
          <w:numId w:val="7"/>
        </w:numPr>
        <w:rPr>
          <w:rFonts w:ascii="Arial" w:cs="Arial" w:eastAsia="Arial" w:hAnsi="Arial"/>
          <w:sz w:val="11"/>
          <w:szCs w:val="11"/>
          <w:color w:val="auto"/>
        </w:rPr>
      </w:pPr>
      <w:r>
        <w:rPr>
          <w:rFonts w:ascii="Arial" w:cs="Arial" w:eastAsia="Arial" w:hAnsi="Arial"/>
          <w:sz w:val="11"/>
          <w:szCs w:val="11"/>
          <w:color w:val="auto"/>
        </w:rPr>
        <w:t>Pivotal registration study designed to support a BLA submission to the FDA, comprised of Study 03-133 measuring pharmacokinetic, toxicity and efficacy and an additional pivotal multicenter Phase 2 study, Study 101, designed to prove comparability between study sites using a cGMP commercial manufacturer. Study 101 has also been designed to satisfy potential confirmatory study and post-marketing requirements by the FDA.</w:t>
      </w:r>
    </w:p>
    <w:p>
      <w:pPr>
        <w:ind w:left="200" w:hanging="150"/>
        <w:spacing w:after="0" w:line="181" w:lineRule="auto"/>
        <w:tabs>
          <w:tab w:leader="none" w:pos="200" w:val="left"/>
        </w:tabs>
        <w:numPr>
          <w:ilvl w:val="0"/>
          <w:numId w:val="7"/>
        </w:numPr>
        <w:rPr>
          <w:rFonts w:ascii="Arial" w:cs="Arial" w:eastAsia="Arial" w:hAnsi="Arial"/>
          <w:sz w:val="10"/>
          <w:szCs w:val="10"/>
          <w:color w:val="auto"/>
        </w:rPr>
      </w:pPr>
      <w:r>
        <w:rPr>
          <w:rFonts w:ascii="Arial" w:cs="Arial" w:eastAsia="Arial" w:hAnsi="Arial"/>
          <w:sz w:val="14"/>
          <w:szCs w:val="14"/>
          <w:color w:val="auto"/>
          <w:vertAlign w:val="superscript"/>
        </w:rPr>
        <w:t>177</w:t>
      </w:r>
      <w:r>
        <w:rPr>
          <w:rFonts w:ascii="Arial" w:cs="Arial" w:eastAsia="Arial" w:hAnsi="Arial"/>
          <w:sz w:val="10"/>
          <w:szCs w:val="10"/>
          <w:color w:val="auto"/>
        </w:rPr>
        <w:t>Lu-omburtamab-DTPA is a DTPA-conjugated omburtamab labeled with Lutetium-177.</w:t>
      </w:r>
    </w:p>
    <w:p>
      <w:pPr>
        <w:ind w:left="200" w:hanging="150"/>
        <w:spacing w:after="0"/>
        <w:tabs>
          <w:tab w:leader="none" w:pos="20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These studies are being planned for potential indication expansion for frontline and in combination with chemotherapy.</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Key elements of our strategy to achieve this goal are:</w:t>
      </w:r>
    </w:p>
    <w:p>
      <w:pPr>
        <w:spacing w:after="0" w:line="221" w:lineRule="exact"/>
        <w:rPr>
          <w:sz w:val="20"/>
          <w:szCs w:val="20"/>
          <w:color w:val="auto"/>
        </w:rPr>
      </w:pPr>
    </w:p>
    <w:p>
      <w:pPr>
        <w:ind w:left="1040" w:right="99" w:hanging="315"/>
        <w:spacing w:after="0" w:line="269"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Independently commercialize DANYELZA in indications and territories where we believe we can maximize the value. </w:t>
      </w:r>
      <w:r>
        <w:rPr>
          <w:rFonts w:ascii="Arial" w:cs="Arial" w:eastAsia="Arial" w:hAnsi="Arial"/>
          <w:sz w:val="17"/>
          <w:szCs w:val="17"/>
          <w:color w:val="auto"/>
        </w:rPr>
        <w:t>On November 25, 2020, DANYELZA received approval by the FDA following an</w:t>
      </w:r>
      <w:r>
        <w:rPr>
          <w:rFonts w:ascii="Arial" w:cs="Arial" w:eastAsia="Arial" w:hAnsi="Arial"/>
          <w:sz w:val="17"/>
          <w:szCs w:val="17"/>
          <w:b w:val="1"/>
          <w:bCs w:val="1"/>
          <w:color w:val="auto"/>
        </w:rPr>
        <w:t xml:space="preserve"> </w:t>
      </w:r>
      <w:r>
        <w:rPr>
          <w:rFonts w:ascii="Arial" w:cs="Arial" w:eastAsia="Arial" w:hAnsi="Arial"/>
          <w:sz w:val="17"/>
          <w:szCs w:val="17"/>
          <w:color w:val="auto"/>
        </w:rPr>
        <w:t>expedited regulatory pathway and priority review under the BTD granted in 2018. We initiated commercialization of DANYELZA in the United States following the FDA approval. We plan to independently commercialize DANYELZA focusing on already-identified key treatment centers such as MSK, as well as educating doctors, patients and payors about DANYELZA and its current and future indication to drive acceptance and uptake. We believe that we will need to engage a small number of physician specialists for training regarding the appropriate administration and use of DANYELZA. The sales call points for DANYELZA in the United States and the European Union are highly concentrated and generally addressable by a relatively small commercial organization, which we believe will allow us the flexibility to cost-effectively build our own commercial capability. Finally, we have already and we intend to form in the future commercial and development collaborations for indications and in territories that are better served by the resources of larger biopharmaceutical companies.</w:t>
      </w:r>
    </w:p>
    <w:p>
      <w:pPr>
        <w:spacing w:after="0" w:line="175" w:lineRule="exact"/>
        <w:rPr>
          <w:rFonts w:ascii="Arial" w:cs="Arial" w:eastAsia="Arial" w:hAnsi="Arial"/>
          <w:sz w:val="17"/>
          <w:szCs w:val="17"/>
          <w:color w:val="auto"/>
        </w:rPr>
      </w:pPr>
    </w:p>
    <w:p>
      <w:pPr>
        <w:ind w:left="1040" w:right="179" w:hanging="315"/>
        <w:spacing w:after="0" w:line="255"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Rapidly and concurrently advance our lead product candidate, omburtamab, to regulatory approval. </w:t>
      </w:r>
      <w:r>
        <w:rPr>
          <w:rFonts w:ascii="Arial" w:cs="Arial" w:eastAsia="Arial" w:hAnsi="Arial"/>
          <w:sz w:val="16"/>
          <w:szCs w:val="16"/>
          <w:color w:val="auto"/>
        </w:rPr>
        <w:t xml:space="preserve">We are currently in pivotal stage development for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for the treatment of pediatric CNS/LM from NB and we are advancing this lead product candidate through an expedited regulatory pathway and we expect that it will be eligible for priority review under the BTD granted in 2017. We expect to resubmit the BLA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the treatment of pediatric CNS/LM from NB via a rolling submission by the end of the second quarter of 2021 or the third quarter of 2021. We intend to commercialize omburtamab in the United States as soon as possible after obtaining FDA approval, if such approval occurs.</w:t>
      </w:r>
    </w:p>
    <w:p>
      <w:pPr>
        <w:spacing w:after="0" w:line="188" w:lineRule="exact"/>
        <w:rPr>
          <w:rFonts w:ascii="Arial" w:cs="Arial" w:eastAsia="Arial" w:hAnsi="Arial"/>
          <w:sz w:val="16"/>
          <w:szCs w:val="16"/>
          <w:color w:val="auto"/>
        </w:rPr>
      </w:pPr>
    </w:p>
    <w:p>
      <w:pPr>
        <w:ind w:left="1040" w:right="159" w:hanging="315"/>
        <w:spacing w:after="0" w:line="275"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Expand the indications and target patient populations for our existing product candidates. </w:t>
      </w:r>
      <w:r>
        <w:rPr>
          <w:rFonts w:ascii="Arial" w:cs="Arial" w:eastAsia="Arial" w:hAnsi="Arial"/>
          <w:sz w:val="16"/>
          <w:szCs w:val="16"/>
          <w:color w:val="auto"/>
        </w:rPr>
        <w:t>Our goal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maximize the potential of our existing product candidates in areas where there is a significant unmet medical need by exploring additional indications, as well as expanding the target population within existing indications. For example, we are developing DANYELZA for the treatment of front-line NB and relapsed osteosarcoma and we intend to discuss our BLA strategy in these indications with the FDA. We are also currently developing radiolabeled omburtamab in clinical trials for the treatment of pediatric patients with DIPG, currently in Phase 1 and DSRCT, currently in Phase 2. After completing our BLA resubmission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175" w:lineRule="exact"/>
        <w:rPr>
          <w:rFonts w:ascii="Arial" w:cs="Arial" w:eastAsia="Arial" w:hAnsi="Arial"/>
          <w:sz w:val="16"/>
          <w:szCs w:val="16"/>
          <w:color w:val="auto"/>
        </w:rPr>
      </w:pPr>
    </w:p>
    <w:p>
      <w:pPr>
        <w:ind w:left="1040" w:right="79" w:hanging="315"/>
        <w:spacing w:after="0" w:line="298"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Advance our novel BsAb product candidates that we believe may offer potential substantial benefits over existing bispecific constructs. </w:t>
      </w:r>
      <w:r>
        <w:rPr>
          <w:rFonts w:ascii="Arial" w:cs="Arial" w:eastAsia="Arial" w:hAnsi="Arial"/>
          <w:sz w:val="16"/>
          <w:szCs w:val="16"/>
          <w:color w:val="auto"/>
        </w:rPr>
        <w:t>We are also advancing a promising pipeline of BsAbs that we believe</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potential to overcome limitations associated with existing BsAb constructs. Nivatrotamab, our first BsAb product candidate that has entered the clinic is a bivalent humanized anti-GD2 and anti-CD3 BsAb. We are also advancing our CD33-BsAb product candidate for the treatment of hematological</w:t>
      </w:r>
    </w:p>
    <w:p>
      <w:pPr>
        <w:sectPr>
          <w:pgSz w:w="11900" w:h="16838" w:orient="portrait"/>
          <w:cols w:equalWidth="0" w:num="1">
            <w:col w:w="9019"/>
          </w:cols>
          <w:pgMar w:left="1440" w:top="517"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99"/>
        <w:spacing w:after="0" w:line="308" w:lineRule="auto"/>
        <w:rPr>
          <w:sz w:val="20"/>
          <w:szCs w:val="20"/>
          <w:color w:val="auto"/>
        </w:rPr>
      </w:pPr>
      <w:r>
        <w:rPr>
          <w:rFonts w:ascii="Arial" w:cs="Arial" w:eastAsia="Arial" w:hAnsi="Arial"/>
          <w:sz w:val="17"/>
          <w:szCs w:val="17"/>
          <w:color w:val="auto"/>
        </w:rPr>
        <w:t>cancers expressing CD33 and expect to file an IND in 2021. Further, we plan to utilize our access to the MULTI-TAG technology platform to create a diverse platform of dimerized BiTEs.</w:t>
      </w:r>
    </w:p>
    <w:p>
      <w:pPr>
        <w:spacing w:after="0" w:line="142" w:lineRule="exact"/>
        <w:rPr>
          <w:sz w:val="20"/>
          <w:szCs w:val="20"/>
          <w:color w:val="auto"/>
        </w:rPr>
      </w:pPr>
    </w:p>
    <w:p>
      <w:pPr>
        <w:ind w:left="1040" w:right="99" w:hanging="315"/>
        <w:spacing w:after="0" w:line="269"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relationships with leading academic and clinical institutions to develop additional product candidates. </w:t>
      </w:r>
      <w:r>
        <w:rPr>
          <w:rFonts w:ascii="Arial" w:cs="Arial" w:eastAsia="Arial" w:hAnsi="Arial"/>
          <w:sz w:val="17"/>
          <w:szCs w:val="17"/>
          <w:color w:val="auto"/>
        </w:rPr>
        <w:t>We intend to continue to partner with leading centers, such as MSK, for cancer</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treatments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57"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Cancer is a major public health problem in the United States and worldwide. The American Cancer Society, or ACS, estimated that approximately 40% of all men and women in the United States will be diagnosed with cancer during their lifetime (based on 2011-2013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an estimated 1.8 million new cancer cases will be diagnosed in the United States and over 600,000 people will have died from cancer in 2020. Thus, there remains a significant need for novel and improved treatment options for cancer patients.</w:t>
      </w:r>
    </w:p>
    <w:p>
      <w:pPr>
        <w:spacing w:after="0" w:line="16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Over a course of more than 20 years, cancer research and treatment has shifted to more targeted therapies, such as monoclonal antibodies, and immuno-oncology, a new field of cancer therapy focused on enhancing antitumor immune responses.</w:t>
      </w:r>
    </w:p>
    <w:p>
      <w:pPr>
        <w:spacing w:after="0" w:line="178"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76"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57" w:lineRule="auto"/>
        <w:rPr>
          <w:sz w:val="20"/>
          <w:szCs w:val="20"/>
          <w:color w:val="auto"/>
        </w:rPr>
      </w:pPr>
      <w:r>
        <w:rPr>
          <w:rFonts w:ascii="Arial" w:cs="Arial" w:eastAsia="Arial" w:hAnsi="Arial"/>
          <w:sz w:val="18"/>
          <w:szCs w:val="18"/>
          <w:color w:val="auto"/>
        </w:rPr>
        <w:t>radiation therapy, surgery, or a combination of these, proves unsuccessful, second-line therapy may be administered. Second-line therapies often consist of more chemotherapy, surgery, antibody drugs, tumor-targeted therapies such as monoclonal antibodies and small molecule inhibitors, or a combination of these. Third-line therapies can include bone marrow transplantation, antibody and small molecule targeted therapies, more invasive forms of surgery, and new technologies.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 agent. The adaptive immune system includes B cells, which secrete antibodies and T cells, which can be either helper T cells, suppressor T-cells or cytotoxic T cells.</w:t>
      </w:r>
    </w:p>
    <w:p>
      <w:pPr>
        <w:spacing w:after="0" w:line="17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61"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Different types of antibodies include: (i) Monoclonal Antibodies—laboratory-made antibodies typically derived from immune cells of mammals that have been immunized with a desired antigen and are all clones of a unique parent;</w:t>
      </w:r>
    </w:p>
    <w:p>
      <w:pPr>
        <w:ind w:left="60" w:right="139" w:hanging="10"/>
        <w:spacing w:after="0" w:line="268" w:lineRule="auto"/>
        <w:tabs>
          <w:tab w:leader="none" w:pos="325" w:val="left"/>
        </w:tabs>
        <w:numPr>
          <w:ilvl w:val="0"/>
          <w:numId w:val="10"/>
        </w:numPr>
        <w:rPr>
          <w:rFonts w:ascii="Arial" w:cs="Arial" w:eastAsia="Arial" w:hAnsi="Arial"/>
          <w:sz w:val="17"/>
          <w:szCs w:val="17"/>
          <w:color w:val="auto"/>
        </w:rPr>
      </w:pPr>
      <w:r>
        <w:rPr>
          <w:rFonts w:ascii="Arial" w:cs="Arial" w:eastAsia="Arial" w:hAnsi="Arial"/>
          <w:sz w:val="17"/>
          <w:szCs w:val="17"/>
          <w:color w:val="auto"/>
        </w:rPr>
        <w:t>Humanized/Chimeric Antibodies—antibodies with both mouse and human antibody proteins that are humanized (i.e., engineered to replace mouse components with more human components) to reduce the immune system response against antibodies identified as foreign (i.e., from a different species) in nature; (iii) Naked Monoclonal Antibodies— antibodies without any drug or radioactive material attached and which are the most common type of antibodies in treating cancer; (iv) Antibody Drug Conjugates, or ADCs—monoclonal antibodies that are joined to a chemotherapy drug, a radioactive particle or cancer cell killing agent, in which the monoclonal antibody is used as a homing device to deliver these substances directly to the cancer cell; and (v) Bispecific antibodies comprised of two different monoclonal antibody constructs, which allows the antibody to bind to two specific therapeutic targets at the same time, typically one target on the tumor cell and one target on an immune system cell.</w:t>
      </w:r>
    </w:p>
    <w:p>
      <w:pPr>
        <w:spacing w:after="0" w:line="18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Antibodies may function through multiple mechanisms simultaneously, including binding to cancer cells and flagging for B cells and T 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92"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 and Product Candidates</w:t>
      </w:r>
    </w:p>
    <w:p>
      <w:pPr>
        <w:spacing w:after="0" w:line="229" w:lineRule="exact"/>
        <w:rPr>
          <w:sz w:val="20"/>
          <w:szCs w:val="20"/>
          <w:color w:val="auto"/>
        </w:rPr>
      </w:pPr>
    </w:p>
    <w:p>
      <w:pPr>
        <w:ind w:left="60" w:right="779" w:firstLine="648"/>
        <w:spacing w:after="0" w:line="342" w:lineRule="auto"/>
        <w:rPr>
          <w:sz w:val="20"/>
          <w:szCs w:val="20"/>
          <w:color w:val="auto"/>
        </w:rPr>
      </w:pPr>
      <w:r>
        <w:rPr>
          <w:rFonts w:ascii="Arial" w:cs="Arial" w:eastAsia="Arial" w:hAnsi="Arial"/>
          <w:sz w:val="16"/>
          <w:szCs w:val="16"/>
          <w:color w:val="auto"/>
        </w:rPr>
        <w:t>We have one FDA-approved product and a broad and advanced product pipeline including late-stage and clinically validated product candidates primarily targeting tumors that express GD2 and B7-H3, respectively.</w:t>
      </w:r>
    </w:p>
    <w:p>
      <w:pPr>
        <w:spacing w:after="0" w:line="124"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On November 25, 2020, DANYELZA, was approved by the United States Food and Drug Administration, or the FDA, in combination with granulocyte-macrophage colony-stimulating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Our lead product candidate omburtamab is currently in pivotal stage development for pediatric CNS/LM from NB—a rare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and life-threatening pediatric cancer for which no FDA approved products currently exist. We expect to resubmit the BLA for omburtamab via a rolling submission in the end of the second quarter of 2021 or the third quarter of 2021.</w:t>
      </w:r>
    </w:p>
    <w:p>
      <w:pPr>
        <w:spacing w:after="0" w:line="14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7"/>
          <w:szCs w:val="17"/>
          <w:color w:val="auto"/>
        </w:rPr>
        <w:t xml:space="preserve">We began to commercialize DANYELZA in the United States upon receipt of FDA approval in November 2020 and we plan to also commercialize omburtamab in the United States as soon as possible after obtaining FDA approval, if such approval occurs. DANYELZA and omburtamab are also in mid-stage clinical development for additional cancers, and we have initiated clinical development for both product candidates in several other indications. Furthermore, we have two omburtamab follow-on product candidates, firstly </w:t>
      </w:r>
      <w:r>
        <w:rPr>
          <w:rFonts w:ascii="Arial" w:cs="Arial" w:eastAsia="Arial" w:hAnsi="Arial"/>
          <w:sz w:val="25"/>
          <w:szCs w:val="25"/>
          <w:color w:val="auto"/>
          <w:vertAlign w:val="superscript"/>
        </w:rPr>
        <w:t>177</w:t>
      </w:r>
      <w:r>
        <w:rPr>
          <w:rFonts w:ascii="Arial" w:cs="Arial" w:eastAsia="Arial" w:hAnsi="Arial"/>
          <w:sz w:val="17"/>
          <w:szCs w:val="17"/>
          <w:color w:val="auto"/>
        </w:rPr>
        <w:t>Lu-omburtamab-DTPA for which the INDs for patients with medulloblastoma and adult patients with B7-H3 positive CNS/LM tumors were cleared in October 2020, and secondly, huB7-H3, a humanized version of omburtamab, which is in pre-clinical development. Both product candidates are targeting pediatric oncology as well as larger indications within adult patient populations.</w:t>
      </w:r>
    </w:p>
    <w:p>
      <w:pPr>
        <w:spacing w:after="0" w:line="192"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have successfully opened an IND for our Phase 2 trial with nivatrotamab, our GD2 BsAb product candidate, in Small Cell Lung Cancer. In addition a Phase 1/2 trial with nivatrotamab, for the treatment of refractory GD2 positive adult and pediatric solid tumors is ongoing. Our nivatrotamab program thus addresses large patient populations. In pre-clinical studies, nivatrotamab demonstrated the potential for improved tumor-binding and significantly greater T cell mediated killing compared to existing bispecific constructs. Furthermore, the IgG format exhibits longer halflife as compared to e.g. BITE’s hence allowing for weekly or even more sparce dosing. We are also advancing a pipeline of novel BsAbs through late pre-clinical development, including our CD33-BsAb product candidate for the treatment of hematological cancers expressing CD33, a transmembrane receptor expressed on cells of myeloid lineage.</w:t>
      </w:r>
    </w:p>
    <w:p>
      <w:pPr>
        <w:spacing w:after="0" w:line="165"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In addition, we have an ongoing Phase 2 trial at MSK, with our GD2-GD3 Vaccine for the treatment of Stage 4 high-risk NB. We believe that the GD2-GD3 Vaccine can potentially serve as an add-on treatment to DANYELZA.</w:t>
      </w:r>
    </w:p>
    <w:p>
      <w:pPr>
        <w:spacing w:after="0" w:line="124"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have exclusive worldwide commercial rights to all of our current product candidates and we have granted commercialization partners certain exclusive rights to develop and commercialize DANYELZA and omburtamab in select jurisdictions, including Greater China, Israel and certain Eastern European countries.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DANYELZA Overview</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DANYELZA is a humanized monoclonal antibody approved by the FDA in combination with granulocyte-macrophage colony-stimulating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and being evaluated for the treatment of other GD2-positive tumors, including osteosarcoma. DANYELZA targets GD2, which, based on our research, is expressed on almost all of NB cancer cells regardless of disease stage and in almost all osteosarcomas. DANYELZA was granted BTD for treatment of patients with pediatric R/R high-risk NB in 2018.</w:t>
      </w:r>
    </w:p>
    <w:p>
      <w:pPr>
        <w:spacing w:after="0" w:line="177"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92"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In November 2018, the European Commission granted orphan medicinal product designation, or OMPD, for naxitamab for the treatment of NB. DANYELZA also received ODD and RPDD from the FDA for the treatment of NB in 2013 and 2017, respectively. The RPDD qualified us for receipt of a PRV upon approval of DANYELZA for treatment of NB, and we did receive such PRV in November 2020. DANYELZA has been administered to more than 400 patients in clinical trials to date.</w:t>
      </w:r>
    </w:p>
    <w:p>
      <w:pPr>
        <w:spacing w:after="0" w:line="188"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In pediatric R/R high-risk NB, we believe that DANYELZA has multiple potential advantages over other GD2 targeting antibody-based therapies. In particular, the modest toxicity it exhibits allows for doses 2.5 times greater than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other GD2 targeting antibody-based therapies. DANYELZA also has a significantly shorter infusion time (approximately 30 to 60 minutes compared to 10 to 20 hours for other GD2 targeting antibody-based therapies being used in front-line therapy), which we believe is important given the pain associated with the therapy and the ability to be administered in an outpatient setting.</w:t>
      </w:r>
    </w:p>
    <w:p>
      <w:pPr>
        <w:spacing w:after="0" w:line="187"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In addition, DANYELZA is currently being evaluated in a Phase 2 clinical study (Study 16-1643) in front-line NB, a pilot study (Study 17-251) of chemoimmunotherapy for high-risk NB and a Phase 2 clinical study (Study 15-096) in second-line relapsed osteosarcoma patients.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We believe that monoclonal antibodies such as DANYELZA that target ganglioside GD2 are one of the most promising cancer immunotherapy approaches. Gangliosides, including GD2, GM2, GD3, NGcGM3 and OAcGD2, have been shown to be expressed at very high levels in tumor cells of several types of cancers.</w:t>
      </w:r>
    </w:p>
    <w:p>
      <w:pPr>
        <w:spacing w:after="0" w:line="16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As a potential target molecule for anti-tumor therapy, GD2 has certain advantages when compared to other tumor-associated gangliosides because it is highly expressed in tumor cells of several types of cancers and is not expressed at all, or expressed at very low levels, in normal cells. The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5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DANYELZA are currently focused on rare pediatric cancers, we believe we have the potential to expand DANYELZA’s application beyond pediatric cancers to the treatment of adults with cancers that express GD2.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DANYELZA—mechanism of action</w:t>
      </w:r>
    </w:p>
    <w:p>
      <w:pPr>
        <w:spacing w:after="0" w:line="225"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Our pre-clinical studies have shown that DANYELZA binds to GD2 molecules on tumor cells with high affinity and a slow off-rate, which indicates DANYELZA’s strong binding ability. In mice that have been transplanted with human NB tissue, DANYELZA demonstrated dose-dependent inhibition of tumor growth (i.e., the effect of DANYELZA varied with dosage) and generally increased survival. In vitro studies show that when DANYELZA binds to tumor cells, it induces tumor cell death through antibody-dependent cell-mediated cytotoxicity and complement-dependent cytotoxicity. DANYELZA may also inhibit tumor cell migration through its inhibitory effect on GD2 molecules, which are involved in tumor cell adhesion and migration. In vitro studies also show that Granulocyte-Macrophage Colony Stimulating Factor, or GM-CSF, enhances the activity of DANYELZA in a dose-dependent manner and is therefore generally combined with DANYELZA in our clinical trials.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DANYELZA for the treatment of pediatric relapsed or refractory high-risk neuroblastoma</w:t>
      </w:r>
    </w:p>
    <w:p>
      <w:pPr>
        <w:spacing w:after="0" w:line="215" w:lineRule="exact"/>
        <w:rPr>
          <w:sz w:val="20"/>
          <w:szCs w:val="20"/>
          <w:color w:val="auto"/>
        </w:rPr>
      </w:pPr>
    </w:p>
    <w:p>
      <w:pPr>
        <w:ind w:left="60" w:right="79" w:firstLine="648"/>
        <w:spacing w:after="0" w:line="258" w:lineRule="auto"/>
        <w:rPr>
          <w:sz w:val="20"/>
          <w:szCs w:val="20"/>
          <w:color w:val="auto"/>
        </w:rPr>
      </w:pPr>
      <w:r>
        <w:rPr>
          <w:rFonts w:ascii="Arial" w:cs="Arial" w:eastAsia="Arial" w:hAnsi="Arial"/>
          <w:sz w:val="17"/>
          <w:szCs w:val="17"/>
          <w:color w:val="auto"/>
        </w:rPr>
        <w:t>On November 25, 2020 DANYELZA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received regulatory approval by the FDA in the United States for treatment in combination with GM-CSF of high-risk R/R NB. This approval was based primarily on interim data from the Study 201 and Study 12-230. In order to meet certain postmarketing commitments issued by the FDA, Study 201 with DANYELZA is currently still ongoing for pediatric R/R high-risk NB. DANYELZA was granted BTD in this indication in 2018. In November 2018, the European Commission granted orphan medicinal product designation, or OMPD, for naxitamab for the treatment of NB. DANYELZA has also received ODD and RPDD from the FDA for the treatment of NB in 2013 and 2017, respectively. The RPDD qualified us for receipt of a PRV upon approval of DANYELZA for treatment of NB by the FDA. The FDA has issued a post-marketing commitment to provide data on PFS, supporting the efficacy of the product. As of February 1, 2021 we have enrolled 54 patients and we anticipate completing the study no later than March 31, 2027. We believe DANYELZA has multiple potential advantages over other GD2 targeting antibodies such as higher doses and administration on an outpatient basis.</w:t>
      </w:r>
    </w:p>
    <w:p>
      <w:pPr>
        <w:spacing w:after="0" w:line="192"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In our studies to date, DANYELZA has demonstrated a manageable safety profile, which allows for 2.5 times greater dosing as compared to other GD2 targeting antibody-based therapies. This results in fewer doses per cycle and a significantly shorter infusion time (approximately 30 to 60 minutes versus 10 to 20 hours for dinutuximab). Notably, since severe pain is one of the most common side effects of treatment with GD2 targeting antibody-based therapies, we believe that the ability to reduce infusion time to approximately 30 to 60 minutes is very important for patients and may result in a significant reduction in demand for pain medication such as morphine. These factors allow DANYELZA to be administered in an outpatient setting whereas other GD2 targeting antibody-based therapies require hospitalization which usually lasts for four days or more.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six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64"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65"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8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There are approximately 700 children diagnosed with high-risk NB in the United States each year. We believe the European market is at least one and a half times the size of the U.S. market and that there are approximately 1,050 patients diagnosed with high-risk NB in Europe each year. We believe the current addressable market for DANYELZA consists of approximately 960 new front-line high-risk NB patients each year and 675 primary or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ten treatment cycles of DANYELZA, each cycle consisting of three doses.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99"/>
        <w:spacing w:after="0" w:line="277" w:lineRule="auto"/>
        <w:rPr>
          <w:sz w:val="20"/>
          <w:szCs w:val="20"/>
          <w:color w:val="auto"/>
        </w:rPr>
      </w:pPr>
      <w:r>
        <w:rPr>
          <w:rFonts w:ascii="Arial" w:cs="Arial" w:eastAsia="Arial" w:hAnsi="Arial"/>
          <w:sz w:val="18"/>
          <w:szCs w:val="18"/>
          <w:i w:val="1"/>
          <w:iCs w:val="1"/>
          <w:color w:val="auto"/>
        </w:rPr>
        <w:t>DANYELZA for Pediatric Relapsed or Refractory High-Risk Neuroblastoma—Current Treatment Landscape and Associated Limitations</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 treatment centers also use immunotherapy as part of the consolidation stage of treatment. Relapse is a frequent occurrence after consolidation.</w:t>
      </w:r>
    </w:p>
    <w:p>
      <w:pPr>
        <w:spacing w:after="0" w:line="181" w:lineRule="exact"/>
        <w:rPr>
          <w:sz w:val="20"/>
          <w:szCs w:val="20"/>
          <w:color w:val="auto"/>
        </w:rPr>
      </w:pPr>
    </w:p>
    <w:p>
      <w:pPr>
        <w:ind w:left="60" w:right="739" w:firstLine="648"/>
        <w:spacing w:after="0" w:line="308" w:lineRule="auto"/>
        <w:rPr>
          <w:sz w:val="20"/>
          <w:szCs w:val="20"/>
          <w:color w:val="auto"/>
        </w:rPr>
      </w:pPr>
      <w:r>
        <w:rPr>
          <w:rFonts w:ascii="Arial" w:cs="Arial" w:eastAsia="Arial" w:hAnsi="Arial"/>
          <w:sz w:val="17"/>
          <w:szCs w:val="17"/>
          <w:color w:val="auto"/>
        </w:rPr>
        <w:t>Other than DANYELZA, there are no approved therapies in the United States for R/R NB patients. Other treatments typically include chemotherapy, radiotherapy and other experimental therapies.</w:t>
      </w:r>
    </w:p>
    <w:p>
      <w:pPr>
        <w:spacing w:after="0" w:line="14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In 2015, the FDA and the EMA, approved Unituxin (dinutuximab), a monoclonal GD2 targeting antibody developed by United Therapeutics Corporation, or United Therapeutics, and administered in combination with GM-CSF, interleukin-2, or IL-2, and isotretinoin, also known as 13-cis-retinoic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In 2017 the EMA approved Dinutuximab beta Apeiron (also known as dinutuximab beta, ch14.18/CHO, Isqette and currently being commercialized under the name Qarziba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Europe),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DANYELZA for Pediatric Relapsed or Refractory High-Risk Neuroblastoma—Clinical Development Program</w:t>
      </w:r>
    </w:p>
    <w:p>
      <w:pPr>
        <w:spacing w:after="0" w:line="237"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An earlier murine version of DANYELZA was studied in 17 clinical trials at MSK with a total of more than 800 patients over the last 25 years. DANYELZA has been studied in several clinical trials for the treatment of pediatric R/R NB and other diseases, of which Study 201, Study 15-096, Study 16-1643 and Study 17-251 are currently ongoing. The accelerated approval of DANYELZA by the FDA was based primarily on interim data from Study 201 and Study 12-230.</w:t>
      </w:r>
    </w:p>
    <w:p>
      <w:pPr>
        <w:spacing w:after="0" w:line="157" w:lineRule="exact"/>
        <w:rPr>
          <w:sz w:val="20"/>
          <w:szCs w:val="20"/>
          <w:color w:val="auto"/>
        </w:rPr>
      </w:pPr>
    </w:p>
    <w:p>
      <w:pPr>
        <w:jc w:val="center"/>
        <w:ind w:left="1920" w:right="220"/>
        <w:spacing w:after="0" w:line="342" w:lineRule="auto"/>
        <w:rPr>
          <w:sz w:val="20"/>
          <w:szCs w:val="20"/>
          <w:color w:val="auto"/>
        </w:rPr>
      </w:pPr>
      <w:r>
        <w:rPr>
          <w:rFonts w:ascii="Arial" w:cs="Arial" w:eastAsia="Arial" w:hAnsi="Arial"/>
          <w:sz w:val="16"/>
          <w:szCs w:val="16"/>
          <w:i w:val="1"/>
          <w:iCs w:val="1"/>
          <w:color w:val="auto"/>
        </w:rPr>
        <w:t>Study 12-230: Phase 1/2 Study of Combination Therapy of Antibody Naxitamab with Granulocyte-Macrophage Colony Stimulating Factor (GM-CSF) in Patients with Relapsed/Refractory High-Risk Neuroblastoma</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Phase 1 Portion of Study 12-230</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maximum tolerated dosage, or MTD, of naxitamab when combined with GM-CSF.</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25" w:lineRule="exact"/>
        <w:rPr>
          <w:rFonts w:ascii="Arial" w:cs="Arial" w:eastAsia="Arial" w:hAnsi="Arial"/>
          <w:sz w:val="18"/>
          <w:szCs w:val="18"/>
          <w:color w:val="auto"/>
        </w:rPr>
      </w:pPr>
    </w:p>
    <w:p>
      <w:pPr>
        <w:ind w:left="1040" w:right="619" w:hanging="315"/>
        <w:spacing w:after="0" w:line="342"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study markers of granulocyte-mediated cytotoxicity and NK-mediated cytotoxicity, anti-naxitamab immunity, and anti-tumor immunity before and after treatment with naxitamab/GM-CSF.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 addition to satisfying certain other criteria, patients must be over one year of age and must have been diagnosed with NB as defined by a) histopathology, or b) BM metastases or Meta-iodobenzylguanidine, or MIBG, avid lesion(s) plus high urine catecholamine levels.</w:t>
      </w:r>
    </w:p>
    <w:p>
      <w:pPr>
        <w:spacing w:after="0" w:line="184"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Patients will be mainly children and adolescents.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who completed 4 cycles without PD were eligible to continue treatment for up to 24 months. For the Phase 2 part of study, patient were eligible to continue treatment for up to 4 cycles after major clinical response was obtained again with a maximum treatment period of 24 months.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121920</wp:posOffset>
            </wp:positionV>
            <wp:extent cx="4714875" cy="140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487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Phase 2 Portion of Study 12-230</w:t>
      </w:r>
    </w:p>
    <w:p>
      <w:pPr>
        <w:spacing w:after="0" w:line="229"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The Study 12-230 protocol was amended in May 2016 to include an expansion Phase 2 portion. In October 2020, topline results from the first 71 patients (including 29 NED patients) in this Phase 2 study were presented, which continued to show response rates at the same levels as in the dose escalation part of the study with 13 of 15 evaluable, or 87% of, primary refractory patients responding and 7 of 23 evaluable, or 30% of, secondary refractory patients responding.</w:t>
      </w:r>
    </w:p>
    <w:p>
      <w:pPr>
        <w:spacing w:after="0" w:line="157" w:lineRule="exact"/>
        <w:rPr>
          <w:sz w:val="20"/>
          <w:szCs w:val="20"/>
          <w:color w:val="auto"/>
        </w:rPr>
      </w:pPr>
    </w:p>
    <w:p>
      <w:pPr>
        <w:ind w:left="60" w:right="339" w:firstLine="648"/>
        <w:spacing w:after="0" w:line="283" w:lineRule="auto"/>
        <w:rPr>
          <w:sz w:val="20"/>
          <w:szCs w:val="20"/>
          <w:color w:val="auto"/>
        </w:rPr>
      </w:pPr>
      <w:r>
        <w:rPr>
          <w:rFonts w:ascii="Arial" w:cs="Arial" w:eastAsia="Arial" w:hAnsi="Arial"/>
          <w:sz w:val="16"/>
          <w:szCs w:val="16"/>
          <w:color w:val="auto"/>
        </w:rPr>
        <w:t>The expansion Phase 2 single-arm portion of Study 12-230 was designed to assess the anti-NB activity of naxitamab and GM-CSF in patients who presented with lesions that could be objectively measured and/or monitored by</w:t>
      </w:r>
    </w:p>
    <w:p>
      <w:pPr>
        <w:ind w:left="60" w:right="99"/>
        <w:spacing w:after="0" w:line="207" w:lineRule="auto"/>
        <w:rPr>
          <w:sz w:val="20"/>
          <w:szCs w:val="20"/>
          <w:color w:val="auto"/>
        </w:rPr>
      </w:pPr>
      <w:r>
        <w:rPr>
          <w:rFonts w:ascii="Arial" w:cs="Arial" w:eastAsia="Arial" w:hAnsi="Arial"/>
          <w:sz w:val="26"/>
          <w:szCs w:val="26"/>
          <w:color w:val="auto"/>
          <w:vertAlign w:val="superscript"/>
        </w:rPr>
        <w:t>123</w:t>
      </w:r>
      <w:r>
        <w:rPr>
          <w:rFonts w:ascii="Arial" w:cs="Arial" w:eastAsia="Arial" w:hAnsi="Arial"/>
          <w:sz w:val="18"/>
          <w:szCs w:val="18"/>
          <w:color w:val="auto"/>
        </w:rPr>
        <w:t xml:space="preserve">I-MIBG scans and who were deemed to have measurable disease and be eligible for response classification by the INRC classification incorporating </w:t>
      </w:r>
      <w:r>
        <w:rPr>
          <w:rFonts w:ascii="Arial" w:cs="Arial" w:eastAsia="Arial" w:hAnsi="Arial"/>
          <w:sz w:val="26"/>
          <w:szCs w:val="26"/>
          <w:color w:val="auto"/>
          <w:vertAlign w:val="superscript"/>
        </w:rPr>
        <w:t>123</w:t>
      </w:r>
      <w:r>
        <w:rPr>
          <w:rFonts w:ascii="Arial" w:cs="Arial" w:eastAsia="Arial" w:hAnsi="Arial"/>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high-risk of relapse.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Objectives</w:t>
      </w:r>
    </w:p>
    <w:p>
      <w:pPr>
        <w:spacing w:after="0" w:line="225" w:lineRule="exact"/>
        <w:rPr>
          <w:sz w:val="20"/>
          <w:szCs w:val="20"/>
          <w:color w:val="auto"/>
        </w:rPr>
      </w:pPr>
    </w:p>
    <w:p>
      <w:pPr>
        <w:ind w:left="1040" w:right="379" w:hanging="315"/>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Group 1: (NED patients) To assess the impact of naxitamab and GM-CSF on PFS in patients in greater than or equal to second CR/very good partial response, or VGPR, but at high-risk of another relapse.</w:t>
      </w:r>
    </w:p>
    <w:p>
      <w:pPr>
        <w:spacing w:after="0" w:line="123" w:lineRule="exact"/>
        <w:rPr>
          <w:rFonts w:ascii="Arial" w:cs="Arial" w:eastAsia="Arial" w:hAnsi="Arial"/>
          <w:sz w:val="16"/>
          <w:szCs w:val="16"/>
          <w:color w:val="auto"/>
        </w:rPr>
      </w:pPr>
    </w:p>
    <w:p>
      <w:pPr>
        <w:ind w:left="1040" w:right="9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Group 2: To assess the activity of naxitamab and GM-CSF in patients who have primary refractory disease in the bone and BM by measuring response and by calculating PFS.</w:t>
      </w:r>
    </w:p>
    <w:p>
      <w:pPr>
        <w:spacing w:after="0" w:line="170" w:lineRule="exact"/>
        <w:rPr>
          <w:rFonts w:ascii="Arial" w:cs="Arial" w:eastAsia="Arial" w:hAnsi="Arial"/>
          <w:sz w:val="18"/>
          <w:szCs w:val="18"/>
          <w:color w:val="auto"/>
        </w:rPr>
      </w:pPr>
    </w:p>
    <w:p>
      <w:pPr>
        <w:ind w:left="1040" w:right="49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the bone and BM by measuring response and by calculating PFS.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patients with primary refractory or relapsed disease (groups 1 and 3):</w:t>
      </w:r>
    </w:p>
    <w:p>
      <w:pPr>
        <w:spacing w:after="0" w:line="225" w:lineRule="exact"/>
        <w:rPr>
          <w:sz w:val="20"/>
          <w:szCs w:val="20"/>
          <w:color w:val="auto"/>
        </w:rPr>
      </w:pPr>
    </w:p>
    <w:p>
      <w:pPr>
        <w:ind w:left="1700" w:hanging="327"/>
        <w:spacing w:after="0"/>
        <w:tabs>
          <w:tab w:leader="none" w:pos="170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color w:val="auto"/>
        </w:rPr>
        <w:t>To evaluate the PFS from the start of hu3F8+GM-CSF treatment.</w:t>
      </w:r>
    </w:p>
    <w:p>
      <w:pPr>
        <w:spacing w:after="0" w:line="7" w:lineRule="exact"/>
        <w:rPr>
          <w:rFonts w:ascii="Courier New" w:cs="Courier New" w:eastAsia="Courier New" w:hAnsi="Courier New"/>
          <w:sz w:val="18"/>
          <w:szCs w:val="18"/>
          <w:color w:val="auto"/>
        </w:rPr>
      </w:pPr>
    </w:p>
    <w:p>
      <w:pPr>
        <w:ind w:left="1700" w:hanging="327"/>
        <w:spacing w:after="0" w:line="232" w:lineRule="auto"/>
        <w:tabs>
          <w:tab w:leader="none" w:pos="170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color w:val="auto"/>
        </w:rPr>
        <w:t>To evaluate human anti-human antibody (HAHA).</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 patients in &gt;2nd CR (Group 2):</w:t>
      </w:r>
    </w:p>
    <w:p>
      <w:pPr>
        <w:spacing w:after="0" w:line="2" w:lineRule="exact"/>
        <w:rPr>
          <w:sz w:val="20"/>
          <w:szCs w:val="20"/>
          <w:color w:val="auto"/>
        </w:rPr>
      </w:pPr>
    </w:p>
    <w:p>
      <w:pPr>
        <w:ind w:left="1700" w:hanging="327"/>
        <w:spacing w:after="0"/>
        <w:tabs>
          <w:tab w:leader="none" w:pos="17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To evaluate PFS from the start of hu3F8+GM-CSF treatment.</w:t>
      </w:r>
    </w:p>
    <w:p>
      <w:pPr>
        <w:ind w:left="1700" w:hanging="327"/>
        <w:spacing w:after="0" w:line="232" w:lineRule="auto"/>
        <w:tabs>
          <w:tab w:leader="none" w:pos="17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Evaluate event free survival (EFS) from the start of hu3F8+GM-CSF treatment.</w:t>
      </w:r>
    </w:p>
    <w:p>
      <w:pPr>
        <w:spacing w:after="0" w:line="202" w:lineRule="exact"/>
        <w:rPr>
          <w:rFonts w:ascii="Courier New" w:cs="Courier New" w:eastAsia="Courier New" w:hAnsi="Courier New"/>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all patients: To evaluate the safety of naxitamab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Study 12-230 is now closed for recruitment.</w:t>
      </w:r>
    </w:p>
    <w:p>
      <w:pPr>
        <w:spacing w:after="0" w:line="225" w:lineRule="exact"/>
        <w:rPr>
          <w:sz w:val="20"/>
          <w:szCs w:val="20"/>
          <w:color w:val="auto"/>
        </w:rPr>
      </w:pPr>
    </w:p>
    <w:p>
      <w:pPr>
        <w:jc w:val="both"/>
        <w:ind w:left="1020" w:right="459" w:hanging="323"/>
        <w:spacing w:after="0" w:line="263" w:lineRule="auto"/>
        <w:rPr>
          <w:sz w:val="20"/>
          <w:szCs w:val="20"/>
          <w:color w:val="auto"/>
        </w:rPr>
      </w:pPr>
      <w:r>
        <w:rPr>
          <w:rFonts w:ascii="Arial" w:cs="Arial" w:eastAsia="Arial" w:hAnsi="Arial"/>
          <w:sz w:val="18"/>
          <w:szCs w:val="18"/>
          <w:i w:val="1"/>
          <w:iCs w:val="1"/>
          <w:color w:val="auto"/>
        </w:rPr>
        <w:t>Study 201: A Phase 2 Trial of Antibody Naxitamab and Granulocyte-Macrophage Colony Stimulating Factor (GM-CSF) in High-Risk Neuroblastoma Patients with Primary or Secondary Refractory Osteomedullary Disease</w:t>
      </w:r>
    </w:p>
    <w:p>
      <w:pPr>
        <w:spacing w:after="0" w:line="184" w:lineRule="exact"/>
        <w:rPr>
          <w:sz w:val="20"/>
          <w:szCs w:val="20"/>
          <w:color w:val="auto"/>
        </w:rPr>
      </w:pPr>
    </w:p>
    <w:p>
      <w:pPr>
        <w:jc w:val="both"/>
        <w:ind w:left="60" w:right="479" w:firstLine="648"/>
        <w:spacing w:after="0" w:line="286" w:lineRule="auto"/>
        <w:rPr>
          <w:sz w:val="20"/>
          <w:szCs w:val="20"/>
          <w:color w:val="auto"/>
        </w:rPr>
      </w:pPr>
      <w:r>
        <w:rPr>
          <w:rFonts w:ascii="Arial" w:cs="Arial" w:eastAsia="Arial" w:hAnsi="Arial"/>
          <w:sz w:val="17"/>
          <w:szCs w:val="17"/>
          <w:color w:val="auto"/>
        </w:rPr>
        <w:t>Study 201 is a single-arm multi-center pivotal study using current Good Manufacturing Practices, or cGMP, manufactured naxitamab, which commenced recruitment in the second quarter of 2018. We have completed the initial enrollment target of 37 patients and continue recruitment at all sites outside the U.S.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339" w:firstLine="648"/>
        <w:spacing w:after="0" w:line="215" w:lineRule="auto"/>
        <w:rPr>
          <w:sz w:val="20"/>
          <w:szCs w:val="20"/>
          <w:color w:val="auto"/>
        </w:rPr>
      </w:pPr>
      <w:r>
        <w:rPr>
          <w:rFonts w:ascii="Arial" w:cs="Arial" w:eastAsia="Arial" w:hAnsi="Arial"/>
          <w:sz w:val="18"/>
          <w:szCs w:val="18"/>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26"/>
          <w:szCs w:val="26"/>
          <w:color w:val="auto"/>
          <w:vertAlign w:val="superscript"/>
        </w:rPr>
        <w:t>123</w:t>
      </w:r>
      <w:r>
        <w:rPr>
          <w:rFonts w:ascii="Arial" w:cs="Arial" w:eastAsia="Arial" w:hAnsi="Arial"/>
          <w:sz w:val="18"/>
          <w:szCs w:val="18"/>
          <w:color w:val="auto"/>
        </w:rPr>
        <w:t xml:space="preserve">I-MIBG scan. Secondary refractory disease is defined as prior relapse and incomplete response to salvage therapy in BM as documented by histology and/or </w:t>
      </w:r>
      <w:r>
        <w:rPr>
          <w:rFonts w:ascii="Arial" w:cs="Arial" w:eastAsia="Arial" w:hAnsi="Arial"/>
          <w:sz w:val="26"/>
          <w:szCs w:val="26"/>
          <w:color w:val="auto"/>
          <w:vertAlign w:val="superscript"/>
        </w:rPr>
        <w:t>123</w:t>
      </w:r>
      <w:r>
        <w:rPr>
          <w:rFonts w:ascii="Arial" w:cs="Arial" w:eastAsia="Arial" w:hAnsi="Arial"/>
          <w:sz w:val="18"/>
          <w:szCs w:val="18"/>
          <w:color w:val="auto"/>
        </w:rPr>
        <w:t>I-MIBG scan. Patients must be older than one year of age.</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Study 201 follows the same treatment protocol as previously described for Study 12-230 above.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evaluate the efficacy of IV naxitamab and GM-CSF.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initiated Study 201 to form the primary basis for our BLA, to establish comparability of study population with Study 12-230 and to satisfy the confirmatory study and post-marketing requirements by the FDA. The FDA granted approval under the accelerated approval regulation. The postmarketing clinical trial required by the FDA to verify and to further characterize the clinical benefit of our ongoing Study 201, which will enroll a minimum of 80 patients and report ORR, DOR, PFS or OS. The ORR is the primary endpoint for the study, DOR is the secondary endpoint, PFS and OS are secondary endpoints in long-term follow up. As of February 1, 2021 we have enrolled 54 patients and we anticipate completing the study no later than March 31, 2027.</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Study 16-1643: Naxitamab/GM-CSF Immunotherapy Plus Isotretinoin for Consolidation of First Remission of</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Patients with High-Risk Neuroblastoma: A Phase 2 Study</w:t>
      </w:r>
    </w:p>
    <w:p>
      <w:pPr>
        <w:spacing w:after="0" w:line="211"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January 2021, 59 patients had completed enrollment in the study which constituted full accrual.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to satisfying certain other criteria, patients must have a diagnosis of NB as defined by</w:t>
      </w:r>
    </w:p>
    <w:p>
      <w:pPr>
        <w:spacing w:after="0" w:line="23" w:lineRule="exact"/>
        <w:rPr>
          <w:sz w:val="20"/>
          <w:szCs w:val="20"/>
          <w:color w:val="auto"/>
        </w:rPr>
      </w:pPr>
    </w:p>
    <w:p>
      <w:pPr>
        <w:ind w:left="60" w:right="299" w:hanging="10"/>
        <w:spacing w:after="0" w:line="255"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Patients will mainly be children and adolescents.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 administered at 160mg/m</w:t>
      </w:r>
      <w:r>
        <w:rPr>
          <w:rFonts w:ascii="Arial" w:cs="Arial" w:eastAsia="Arial" w:hAnsi="Arial"/>
          <w:sz w:val="23"/>
          <w:szCs w:val="23"/>
          <w:color w:val="auto"/>
          <w:vertAlign w:val="superscript"/>
        </w:rPr>
        <w:t>2</w:t>
      </w:r>
      <w:r>
        <w:rPr>
          <w:rFonts w:ascii="Arial" w:cs="Arial" w:eastAsia="Arial" w:hAnsi="Arial"/>
          <w:sz w:val="16"/>
          <w:szCs w:val="16"/>
          <w:color w:val="auto"/>
        </w:rPr>
        <w:t>/d,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the end of a treatment cycle of naxitamab and GM-CSF and start of next treatment cycle is two to four weeks through cycle 4, then the interval is up to six to eight weeks until cycle 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determine two years relapse-free survival.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left="60" w:right="4739" w:firstLine="665"/>
        <w:spacing w:after="0" w:line="500" w:lineRule="auto"/>
        <w:tabs>
          <w:tab w:leader="none" w:pos="10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To determine MRD by using BM specimens. </w:t>
      </w:r>
      <w:r>
        <w:rPr>
          <w:rFonts w:ascii="Arial" w:cs="Arial" w:eastAsia="Arial" w:hAnsi="Arial"/>
          <w:sz w:val="18"/>
          <w:szCs w:val="18"/>
          <w:u w:val="single" w:color="auto"/>
          <w:color w:val="auto"/>
        </w:rPr>
        <w:t>Safety Results</w:t>
      </w:r>
    </w:p>
    <w:p>
      <w:pPr>
        <w:spacing w:after="0" w:line="2"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One patient was reported with an unexpected neuropathic event. The patient suffered from short-term lower limb paralysis that resolved upon hospitalization treatment. The investigator described the event as myelitis.</w:t>
      </w:r>
    </w:p>
    <w:p>
      <w:pPr>
        <w:spacing w:after="0" w:line="146" w:lineRule="exact"/>
        <w:rPr>
          <w:sz w:val="20"/>
          <w:szCs w:val="20"/>
          <w:color w:val="auto"/>
        </w:rPr>
      </w:pPr>
    </w:p>
    <w:p>
      <w:pPr>
        <w:ind w:left="1020" w:right="219" w:hanging="323"/>
        <w:spacing w:after="0" w:line="277" w:lineRule="auto"/>
        <w:rPr>
          <w:sz w:val="20"/>
          <w:szCs w:val="20"/>
          <w:color w:val="auto"/>
        </w:rPr>
      </w:pPr>
      <w:r>
        <w:rPr>
          <w:rFonts w:ascii="Arial" w:cs="Arial" w:eastAsia="Arial" w:hAnsi="Arial"/>
          <w:sz w:val="18"/>
          <w:szCs w:val="18"/>
          <w:i w:val="1"/>
          <w:iCs w:val="1"/>
          <w:color w:val="auto"/>
        </w:rPr>
        <w:t>Study 11-009: Phase 1 Study of Naxitamab Monoclonal Antibody in Patients with High-Risk Neuroblastoma and GD2-Positive Tumors</w:t>
      </w:r>
    </w:p>
    <w:p>
      <w:pPr>
        <w:spacing w:after="0" w:line="170"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Study 11-009 is a Phase 1 clinical dose escalation study with IV naxitamab given as monotherapy in patients with high-risk NB or other GD2-positive tumors. Safety data from this study was used to support our BLA submission for naxitamab in pediatric R/R high-risk NB. The study closed accrual with 68 patients enrolled. The primary objective of the study is to establish the MTD of naxitamab. The secondary objectives are to study the pharmacokinetics, to assess activity of naxitamab against NB and other GD2-positive tumors, and to quantitate pain during naxitamab treatment.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Two patients experienced reversible DLT of elevated transaminases.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Study 17-251: Pilot Study of Naxitamab, Irinotecan/Temozolomide and Sargramostim (HITS)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Chemoimmunotherapy for High-Risk Neuroblastoma</w:t>
      </w:r>
    </w:p>
    <w:p>
      <w:pPr>
        <w:spacing w:after="0" w:line="21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Study 17-251 is a ongoing single arm pilot, Phase 2 study at MSK in high-risk R/R NB patients with soft tissue disease. Patients will be treated with naxitamab in combination with irinotecan, temozolomide and sargramostim, or HITS. As of January 2021, 46 patients have been enrolled in the study. If the regimen is found to be acceptable, then we plan to initiate a multicenter Phase 2 study.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119" w:firstLine="648"/>
        <w:spacing w:after="0" w:line="308" w:lineRule="auto"/>
        <w:rPr>
          <w:sz w:val="20"/>
          <w:szCs w:val="20"/>
          <w:color w:val="auto"/>
        </w:rPr>
      </w:pPr>
      <w:r>
        <w:rPr>
          <w:rFonts w:ascii="Arial" w:cs="Arial" w:eastAsia="Arial" w:hAnsi="Arial"/>
          <w:sz w:val="17"/>
          <w:szCs w:val="17"/>
          <w:color w:val="auto"/>
        </w:rPr>
        <w:t>In addition to satisfying certain other criteria, the patients must have a diagnosis of NB as defined by international criteria, including histopathology or bone marrow metastases plus high urine catecholamine levels.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High-risk NB is defined as any of the following:</w:t>
      </w:r>
    </w:p>
    <w:p>
      <w:pPr>
        <w:spacing w:after="0" w:line="225"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Stage 4 with MYCN amplification (any age)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Stage 4 without MYCN amplification (greater than one and a half years of age)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Stage 3 with MYCN amplification (unresectable; any age)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Stage 4S with MYCN amplification (any age)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Patients must have a history of tumor progression or relapse or failure to achieve CR following standard therapy.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Patients must also have evaluable disease documented after completion of prior systemic therapy.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jc w:val="both"/>
        <w:ind w:left="60" w:right="79" w:firstLine="648"/>
        <w:spacing w:after="0" w:line="202" w:lineRule="auto"/>
        <w:rPr>
          <w:sz w:val="20"/>
          <w:szCs w:val="20"/>
          <w:color w:val="auto"/>
        </w:rPr>
      </w:pPr>
      <w:r>
        <w:rPr>
          <w:rFonts w:ascii="Arial" w:cs="Arial" w:eastAsia="Arial" w:hAnsi="Arial"/>
          <w:sz w:val="17"/>
          <w:szCs w:val="17"/>
          <w:color w:val="auto"/>
        </w:rPr>
        <w:t>Each cycle consists of four doses of naxitamab, five doses each of irinotecan and temozolomide and five doses of sargramostim. Irinotecan 50mg/m</w:t>
      </w:r>
      <w:r>
        <w:rPr>
          <w:rFonts w:ascii="Arial" w:cs="Arial" w:eastAsia="Arial" w:hAnsi="Arial"/>
          <w:sz w:val="25"/>
          <w:szCs w:val="25"/>
          <w:color w:val="auto"/>
          <w:vertAlign w:val="superscript"/>
        </w:rPr>
        <w:t>2</w:t>
      </w:r>
      <w:r>
        <w:rPr>
          <w:rFonts w:ascii="Arial" w:cs="Arial" w:eastAsia="Arial" w:hAnsi="Arial"/>
          <w:sz w:val="17"/>
          <w:szCs w:val="17"/>
          <w:color w:val="auto"/>
        </w:rPr>
        <w:t>/day IV will be administered from day one through five concurrently with temozolomide 150mg/m</w:t>
      </w:r>
      <w:r>
        <w:rPr>
          <w:rFonts w:ascii="Arial" w:cs="Arial" w:eastAsia="Arial" w:hAnsi="Arial"/>
          <w:sz w:val="25"/>
          <w:szCs w:val="25"/>
          <w:color w:val="auto"/>
          <w:vertAlign w:val="superscript"/>
        </w:rPr>
        <w:t>2</w:t>
      </w:r>
      <w:r>
        <w:rPr>
          <w:rFonts w:ascii="Arial" w:cs="Arial" w:eastAsia="Arial" w:hAnsi="Arial"/>
          <w:sz w:val="17"/>
          <w:szCs w:val="17"/>
          <w:color w:val="auto"/>
        </w:rPr>
        <w:t>/day orally. Naxitamab 2.25mg/kg IV will be administered on days two, four, eight and 10.</w:t>
      </w:r>
    </w:p>
    <w:p>
      <w:pPr>
        <w:spacing w:after="0" w:line="2" w:lineRule="exact"/>
        <w:rPr>
          <w:sz w:val="20"/>
          <w:szCs w:val="20"/>
          <w:color w:val="auto"/>
        </w:rPr>
      </w:pPr>
    </w:p>
    <w:p>
      <w:pPr>
        <w:jc w:val="both"/>
        <w:ind w:left="60" w:right="399"/>
        <w:spacing w:after="0" w:line="254" w:lineRule="auto"/>
        <w:rPr>
          <w:sz w:val="20"/>
          <w:szCs w:val="20"/>
          <w:color w:val="auto"/>
        </w:rPr>
      </w:pPr>
      <w:r>
        <w:rPr>
          <w:rFonts w:ascii="Arial" w:cs="Arial" w:eastAsia="Arial" w:hAnsi="Arial"/>
          <w:sz w:val="16"/>
          <w:szCs w:val="16"/>
          <w:color w:val="auto"/>
        </w:rPr>
        <w:t>Sargramostim 250mg/m</w:t>
      </w:r>
      <w:r>
        <w:rPr>
          <w:rFonts w:ascii="Arial" w:cs="Arial" w:eastAsia="Arial" w:hAnsi="Arial"/>
          <w:sz w:val="23"/>
          <w:szCs w:val="23"/>
          <w:color w:val="auto"/>
          <w:vertAlign w:val="superscript"/>
        </w:rPr>
        <w:t>2</w:t>
      </w:r>
      <w:r>
        <w:rPr>
          <w:rFonts w:ascii="Arial" w:cs="Arial" w:eastAsia="Arial" w:hAnsi="Arial"/>
          <w:sz w:val="16"/>
          <w:szCs w:val="16"/>
          <w:color w:val="auto"/>
        </w:rPr>
        <w:t>/day subcutaneous will be administered from day six through 10. If patients do not experience significant toxicity they will commence a second cycle four to six weeks after the first cycle. If there is no progressive disease and patients do not experience significant toxicity they may receive combination therapy up to two years.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evaluate the safety of HITS in patients with NB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evaluate tumor responses to HITS in patients with NB</w:t>
      </w:r>
    </w:p>
    <w:p>
      <w:pPr>
        <w:spacing w:after="0" w:line="22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Currently, no published safety data is available for this study.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DANYELZA for the Treatment of Relapsed Osteosarcoma</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DANYELZA is currently being evaluated in an ongoing Phase 2 clinical study (Study 15-096) for the treatment of patients with relapsed osteosarcoma that have been rendered surgically free of evident disease. As of January 2021, 33 patients had been enrolled and we expect to enroll a total of 39 patients. The trial is designed to distinguish between 12-month EFS of 30% versus 50%.</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ind w:left="60" w:right="399" w:firstLine="648"/>
        <w:spacing w:after="0" w:line="257"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8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DANYELZA for Relapsed Osteosarcoma—Current Treatment Landscape and Associated Limitations</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 second recurrence, 26% and 0% for third recurrence, 28% and 13% for fourth recurrence, and 53% and 0% for fifth recurrence, respectively, in which a renewed surgical remission was achieved.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DANYELZA for Relapsed Osteosarcoma—Clinical Development Program</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Currently, DANYELZA is being evaluated in an ongoing Phase 2 clinical trial (Study 15-096) for the treatment of relapsed osteosarcoma. This Phase 2 clinical trial is designed to assess the efficacy of DANYELZA when combined with GM-CSF in patients with relapsed osteosarcoma who have been rendered surgically free of evident disease. The study commenced in July 2015, and as of January 2021, 33 patients had been enrolled. We expect to recruit a total of 39 patients at a total of three US sites. This trial is designed to distinguish between a 12-month EFS of 30% versus 50%.</w:t>
      </w:r>
    </w:p>
    <w:p>
      <w:pPr>
        <w:spacing w:after="0" w:line="161" w:lineRule="exact"/>
        <w:rPr>
          <w:sz w:val="20"/>
          <w:szCs w:val="20"/>
          <w:color w:val="auto"/>
        </w:rPr>
      </w:pPr>
    </w:p>
    <w:p>
      <w:pPr>
        <w:ind w:left="1020" w:right="619" w:hanging="323"/>
        <w:spacing w:after="0" w:line="308" w:lineRule="auto"/>
        <w:rPr>
          <w:sz w:val="20"/>
          <w:szCs w:val="20"/>
          <w:color w:val="auto"/>
        </w:rPr>
      </w:pPr>
      <w:r>
        <w:rPr>
          <w:rFonts w:ascii="Arial" w:cs="Arial" w:eastAsia="Arial" w:hAnsi="Arial"/>
          <w:sz w:val="17"/>
          <w:szCs w:val="17"/>
          <w:i w:val="1"/>
          <w:iCs w:val="1"/>
          <w:color w:val="auto"/>
        </w:rPr>
        <w:t>Study 15-096: A Phase 2 Study of Monoclonal Antibody Naxitamab with Granulocyte-Macrophage Colony Stimulating Factor (GM-CSF) in the Treatment of Recurrent Osteosarcoma</w:t>
      </w:r>
    </w:p>
    <w:p>
      <w:pPr>
        <w:spacing w:after="0" w:line="14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Study 15-096 is a Phase 2 clinical trial to assess the efficacy of the humanized anti-GD2 antibody, naxitamab, when combined with GM-CSF, in patients with recurrent osteosarcoma who have been rendered surgically free of evident disease.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78"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GM-CSF.</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Omburtamab Overview</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Omburtamab is a novel murine monoclonal antibody currently designed for compartmental immunotherapy, for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example in the CNS. Omburtamab targets B7-H3, an immune checkpoint molecule that is widely expressed in tumor cells</w:t>
      </w:r>
    </w:p>
    <w:p>
      <w:pPr>
        <w:ind w:left="60"/>
        <w:spacing w:after="0" w:line="226" w:lineRule="auto"/>
        <w:rPr>
          <w:sz w:val="20"/>
          <w:szCs w:val="20"/>
          <w:color w:val="auto"/>
        </w:rPr>
      </w:pPr>
      <w:r>
        <w:rPr>
          <w:rFonts w:ascii="Arial" w:cs="Arial" w:eastAsia="Arial" w:hAnsi="Arial"/>
          <w:sz w:val="16"/>
          <w:szCs w:val="16"/>
          <w:color w:val="auto"/>
        </w:rPr>
        <w:t>of several types of cancers. We have radiolabeled omburtamab with either Iodine-131 (</w:t>
      </w:r>
      <w:r>
        <w:rPr>
          <w:rFonts w:ascii="Arial" w:cs="Arial" w:eastAsia="Arial" w:hAnsi="Arial"/>
          <w:sz w:val="23"/>
          <w:szCs w:val="23"/>
          <w:color w:val="auto"/>
          <w:vertAlign w:val="superscript"/>
        </w:rPr>
        <w:t>131</w:t>
      </w:r>
      <w:r>
        <w:rPr>
          <w:rFonts w:ascii="Arial" w:cs="Arial" w:eastAsia="Arial" w:hAnsi="Arial"/>
          <w:sz w:val="16"/>
          <w:szCs w:val="16"/>
          <w:color w:val="auto"/>
        </w:rPr>
        <w:t>I-omburtamab) or Iodine-124</w:t>
      </w:r>
    </w:p>
    <w:p>
      <w:pPr>
        <w:ind w:left="60"/>
        <w:spacing w:after="0" w:line="196" w:lineRule="auto"/>
        <w:rPr>
          <w:sz w:val="20"/>
          <w:szCs w:val="20"/>
          <w:color w:val="auto"/>
        </w:rPr>
      </w:pPr>
      <w:r>
        <w:rPr>
          <w:rFonts w:ascii="Arial" w:cs="Arial" w:eastAsia="Arial" w:hAnsi="Arial"/>
          <w:sz w:val="16"/>
          <w:szCs w:val="16"/>
          <w:color w:val="auto"/>
        </w:rPr>
        <w:t>(</w:t>
      </w:r>
      <w:r>
        <w:rPr>
          <w:rFonts w:ascii="Arial" w:cs="Arial" w:eastAsia="Arial" w:hAnsi="Arial"/>
          <w:sz w:val="23"/>
          <w:szCs w:val="23"/>
          <w:color w:val="auto"/>
          <w:vertAlign w:val="superscript"/>
        </w:rPr>
        <w:t>124</w:t>
      </w:r>
      <w:r>
        <w:rPr>
          <w:rFonts w:ascii="Arial" w:cs="Arial" w:eastAsia="Arial" w:hAnsi="Arial"/>
          <w:sz w:val="16"/>
          <w:szCs w:val="16"/>
          <w:color w:val="auto"/>
        </w:rPr>
        <w:t xml:space="preserve">I-omburtamab). </w:t>
      </w:r>
      <w:r>
        <w:rPr>
          <w:rFonts w:ascii="Arial" w:cs="Arial" w:eastAsia="Arial" w:hAnsi="Arial"/>
          <w:sz w:val="23"/>
          <w:szCs w:val="23"/>
          <w:color w:val="auto"/>
          <w:vertAlign w:val="superscript"/>
        </w:rPr>
        <w:t>131</w:t>
      </w:r>
      <w:r>
        <w:rPr>
          <w:rFonts w:ascii="Arial" w:cs="Arial" w:eastAsia="Arial" w:hAnsi="Arial"/>
          <w:sz w:val="16"/>
          <w:szCs w:val="16"/>
          <w:color w:val="auto"/>
        </w:rPr>
        <w:t>I-omburtamab is currently in pivotal stage development for the treatment of pediatric CNS/LM from</w:t>
      </w:r>
    </w:p>
    <w:p>
      <w:pPr>
        <w:ind w:left="60"/>
        <w:spacing w:after="0" w:line="196" w:lineRule="auto"/>
        <w:rPr>
          <w:sz w:val="20"/>
          <w:szCs w:val="20"/>
          <w:color w:val="auto"/>
        </w:rPr>
      </w:pPr>
      <w:r>
        <w:rPr>
          <w:rFonts w:ascii="Arial" w:cs="Arial" w:eastAsia="Arial" w:hAnsi="Arial"/>
          <w:sz w:val="16"/>
          <w:szCs w:val="16"/>
          <w:color w:val="auto"/>
        </w:rPr>
        <w:t xml:space="preserve">NB and was granted BTD in this indication in 2017. In 2016, </w:t>
      </w:r>
      <w:r>
        <w:rPr>
          <w:rFonts w:ascii="Arial" w:cs="Arial" w:eastAsia="Arial" w:hAnsi="Arial"/>
          <w:sz w:val="23"/>
          <w:szCs w:val="23"/>
          <w:color w:val="auto"/>
          <w:vertAlign w:val="superscript"/>
        </w:rPr>
        <w:t>131</w:t>
      </w:r>
      <w:r>
        <w:rPr>
          <w:rFonts w:ascii="Arial" w:cs="Arial" w:eastAsia="Arial" w:hAnsi="Arial"/>
          <w:sz w:val="16"/>
          <w:szCs w:val="16"/>
          <w:color w:val="auto"/>
        </w:rPr>
        <w:t>I-omburtamab was granted ODD and RPDD, in each case,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treatment of NB. The RPDD qualifies us for receipt of a PRV upon approval of omburtamab for treatment of NB, if</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such approval occurs. An analysis of 107 patients treated through June 2019 demonstrated median OS of 50.8 months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(including a five-year median OS of approximately 44%), as compared to historical median OS of approximately six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nine months.</w:t>
      </w:r>
    </w:p>
    <w:p>
      <w:pPr>
        <w:spacing w:after="0" w:line="201"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7"/>
          <w:szCs w:val="17"/>
          <w:color w:val="auto"/>
        </w:rPr>
        <w:t xml:space="preserve">We submitted a BLA to the FDA for </w:t>
      </w:r>
      <w:r>
        <w:rPr>
          <w:rFonts w:ascii="Arial" w:cs="Arial" w:eastAsia="Arial" w:hAnsi="Arial"/>
          <w:sz w:val="25"/>
          <w:szCs w:val="25"/>
          <w:color w:val="auto"/>
          <w:vertAlign w:val="superscript"/>
        </w:rPr>
        <w:t>131</w:t>
      </w:r>
      <w:r>
        <w:rPr>
          <w:rFonts w:ascii="Arial" w:cs="Arial" w:eastAsia="Arial" w:hAnsi="Arial"/>
          <w:sz w:val="17"/>
          <w:szCs w:val="17"/>
          <w:color w:val="auto"/>
        </w:rPr>
        <w:t>I-omburtamab for CNS/LM from NB in August 2020 and received a Refusal to File from the FDA in October 2020. The reason for the FDA’s decision to issue the Refusal to File letter was that upon preliminary review, the FDA determined that certain parts of the Chemistry, Manufacturing and Control (CMC) Module and the Clinical Module of the BLA required further detail. We are in the process of preparing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 xml:space="preserve">resubmission of the BLA and we plan to continue to discuss our resubmission plans with the FDA, including a meeting in March 2021 in order to amend the BLA. We have been working closely with the FDA to resolve these issues and have a meeting with the FDA scheduled for March 26, 2021, to discuss the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we can provide no assurance that the FDA will agree with our proposal or that we will be successful in resubmitting our BLA for omburtamab in this timeline. In addition, radiolabeled omburtamab is in clinical development for two additional rare pediatric cancers, DSRCT, currently in Phase 2 and DIPG, currently in Phase 1. The most recent set of DSRCT data was presented in November 2019. We believe that we are well positioned to submit sBLAs in each of these two indications, assuming positive results in the respective Phase 2 clinical trials, after the potential approval of our BLA for </w:t>
      </w:r>
      <w:r>
        <w:rPr>
          <w:rFonts w:ascii="Arial" w:cs="Arial" w:eastAsia="Arial" w:hAnsi="Arial"/>
          <w:sz w:val="25"/>
          <w:szCs w:val="25"/>
          <w:color w:val="auto"/>
          <w:vertAlign w:val="superscript"/>
        </w:rPr>
        <w:t>131</w:t>
      </w:r>
      <w:r>
        <w:rPr>
          <w:rFonts w:ascii="Arial" w:cs="Arial" w:eastAsia="Arial" w:hAnsi="Arial"/>
          <w:sz w:val="17"/>
          <w:szCs w:val="17"/>
          <w:color w:val="auto"/>
        </w:rPr>
        <w:t>I-omburtamab for CNS/LM from NB. Further, we believe that omburtamab has the potential to address CNS/LM metastasis from several other tumors in children and adults that express B7-H3 such as prostate, ovarian, breast, colon, renal, non small cell lung, pancreatic, head and neck cancers, as well as melanoma, glioblastoma, and NB and other small round blue cell tumors of childhood.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B7-H3 Overview</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 regulate the immune system through both stimulatory and inhibitory signals. Inhibition of certain members of the B7 family has been shown to have significant anti-tumor effects in several solid tumor types. As such, we believe that B7-H3 is a promising target for designing targeted therapeutics with a range of modalities.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88" w:lineRule="exact"/>
        <w:rPr>
          <w:sz w:val="20"/>
          <w:szCs w:val="20"/>
          <w:color w:val="auto"/>
        </w:rPr>
      </w:pPr>
    </w:p>
    <w:p>
      <w:pPr>
        <w:ind w:left="60" w:right="59" w:firstLine="648"/>
        <w:spacing w:after="0" w:line="276" w:lineRule="auto"/>
        <w:rPr>
          <w:sz w:val="20"/>
          <w:szCs w:val="20"/>
          <w:color w:val="auto"/>
        </w:rPr>
      </w:pPr>
      <w:r>
        <w:rPr>
          <w:rFonts w:ascii="Arial" w:cs="Arial" w:eastAsia="Arial" w:hAnsi="Arial"/>
          <w:sz w:val="16"/>
          <w:szCs w:val="16"/>
          <w:color w:val="auto"/>
        </w:rPr>
        <w:t xml:space="preserve">We believe there is a large market opportunity for the treatment of solid tumors that express B7-H3, with hundreds of thousands of new cases estimated in the United States each year.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the underlying solid systemic tumor. As part of Study 03-133, we have also treated a small number of adult patients with solid tumors that have metastasized to the CNS/LM compartment with </w:t>
      </w:r>
      <w:r>
        <w:rPr>
          <w:rFonts w:ascii="Arial" w:cs="Arial" w:eastAsia="Arial" w:hAnsi="Arial"/>
          <w:sz w:val="23"/>
          <w:szCs w:val="23"/>
          <w:color w:val="auto"/>
          <w:vertAlign w:val="superscript"/>
        </w:rPr>
        <w:t>131</w:t>
      </w:r>
      <w:r>
        <w:rPr>
          <w:rFonts w:ascii="Arial" w:cs="Arial" w:eastAsia="Arial" w:hAnsi="Arial"/>
          <w:sz w:val="16"/>
          <w:szCs w:val="16"/>
          <w:color w:val="auto"/>
        </w:rPr>
        <w:t>I-omburtamab and preliminary indications potentially suggest promising results.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6"/>
          <w:szCs w:val="26"/>
          <w:b w:val="1"/>
          <w:bCs w:val="1"/>
          <w:i w:val="1"/>
          <w:iCs w:val="1"/>
          <w:color w:val="auto"/>
          <w:vertAlign w:val="superscript"/>
        </w:rPr>
        <w:t>131</w:t>
      </w:r>
      <w:r>
        <w:rPr>
          <w:rFonts w:ascii="Arial" w:cs="Arial" w:eastAsia="Arial" w:hAnsi="Arial"/>
          <w:sz w:val="18"/>
          <w:szCs w:val="18"/>
          <w:b w:val="1"/>
          <w:bCs w:val="1"/>
          <w:i w:val="1"/>
          <w:iCs w:val="1"/>
          <w:color w:val="auto"/>
        </w:rPr>
        <w:t xml:space="preserve">I-omburtamab and </w:t>
      </w:r>
      <w:r>
        <w:rPr>
          <w:rFonts w:ascii="Arial" w:cs="Arial" w:eastAsia="Arial" w:hAnsi="Arial"/>
          <w:sz w:val="26"/>
          <w:szCs w:val="26"/>
          <w:b w:val="1"/>
          <w:bCs w:val="1"/>
          <w:i w:val="1"/>
          <w:iCs w:val="1"/>
          <w:color w:val="auto"/>
          <w:vertAlign w:val="superscript"/>
        </w:rPr>
        <w:t>124</w:t>
      </w:r>
      <w:r>
        <w:rPr>
          <w:rFonts w:ascii="Arial" w:cs="Arial" w:eastAsia="Arial" w:hAnsi="Arial"/>
          <w:sz w:val="18"/>
          <w:szCs w:val="18"/>
          <w:b w:val="1"/>
          <w:bCs w:val="1"/>
          <w:i w:val="1"/>
          <w:iCs w:val="1"/>
          <w:color w:val="auto"/>
        </w:rPr>
        <w:t>I-omburtamab—Mechanism of Action</w:t>
      </w:r>
    </w:p>
    <w:p>
      <w:pPr>
        <w:spacing w:after="0" w:line="133"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and </w:t>
      </w:r>
      <w:r>
        <w:rPr>
          <w:rFonts w:ascii="Arial" w:cs="Arial" w:eastAsia="Arial" w:hAnsi="Arial"/>
          <w:sz w:val="23"/>
          <w:szCs w:val="23"/>
          <w:color w:val="auto"/>
          <w:vertAlign w:val="superscript"/>
        </w:rPr>
        <w:t>124</w:t>
      </w:r>
      <w:r>
        <w:rPr>
          <w:rFonts w:ascii="Arial" w:cs="Arial" w:eastAsia="Arial" w:hAnsi="Arial"/>
          <w:sz w:val="16"/>
          <w:szCs w:val="16"/>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consequences. Radiolabeling of omburtamab with either Iodine-124 or Iodine-131 takes place at qualified radiopharmacies according to a well-established procedure.</w:t>
      </w:r>
    </w:p>
    <w:p>
      <w:pPr>
        <w:spacing w:after="0" w:line="160" w:lineRule="exact"/>
        <w:rPr>
          <w:sz w:val="20"/>
          <w:szCs w:val="20"/>
          <w:color w:val="auto"/>
        </w:rPr>
      </w:pPr>
    </w:p>
    <w:p>
      <w:pPr>
        <w:ind w:left="60" w:right="1079"/>
        <w:spacing w:after="0" w:line="216" w:lineRule="auto"/>
        <w:rPr>
          <w:sz w:val="20"/>
          <w:szCs w:val="20"/>
          <w:color w:val="auto"/>
        </w:rPr>
      </w:pPr>
      <w:r>
        <w:rPr>
          <w:rFonts w:ascii="Arial" w:cs="Arial" w:eastAsia="Arial" w:hAnsi="Arial"/>
          <w:sz w:val="26"/>
          <w:szCs w:val="26"/>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93" w:lineRule="exact"/>
        <w:rPr>
          <w:sz w:val="20"/>
          <w:szCs w:val="20"/>
          <w:color w:val="auto"/>
        </w:rPr>
      </w:pPr>
    </w:p>
    <w:p>
      <w:pPr>
        <w:ind w:left="60" w:right="99" w:firstLine="648"/>
        <w:spacing w:after="0" w:line="209" w:lineRule="auto"/>
        <w:rPr>
          <w:sz w:val="20"/>
          <w:szCs w:val="20"/>
          <w:color w:val="auto"/>
        </w:rPr>
      </w:pP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is currently in pivotal stage development for the treatment of pediatric CNS/LM from NB, and was granted BTD in this indication in 2017. In 2016,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was granted ODD and RPDD, in each case, for the treatment of NB. The RPDD qualifies us for receipt of a PRV upon approval of omburtamab for treatment of NB, if such approval occurs. As of June 2019, 107 patients with pediatric CNS/LM from NB had been treated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Study 03-133. An analysis of these 107 patients demonstrated a median OS of 50.8 months (including an estimated five-year OS of approximately 44%), as compared to historical median OS of approximately six months.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can be administered as a push injection in an outpatient setting. We expect to resubmit the BLA for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for CNS/LM from NB via a rolling submission by the end of the second quarter of 2021 or the third quarter of 2021. We plan to commercialize </w:t>
      </w:r>
      <w:r>
        <w:rPr>
          <w:rFonts w:ascii="Arial" w:cs="Arial" w:eastAsia="Arial" w:hAnsi="Arial"/>
          <w:sz w:val="25"/>
          <w:szCs w:val="25"/>
          <w:color w:val="auto"/>
          <w:vertAlign w:val="superscript"/>
        </w:rPr>
        <w:t>131</w:t>
      </w:r>
      <w:r>
        <w:rPr>
          <w:rFonts w:ascii="Arial" w:cs="Arial" w:eastAsia="Arial" w:hAnsi="Arial"/>
          <w:sz w:val="17"/>
          <w:szCs w:val="17"/>
          <w:color w:val="auto"/>
        </w:rPr>
        <w:t>I-omburtamab in the United States as soon as possible after obtaining FDA approval, if such approval occurs.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CNS/LM from NB. The median OS after detection of the CNS/LM from NB is approximately six months even with early detection and intervention.</w:t>
      </w:r>
    </w:p>
    <w:p>
      <w:pPr>
        <w:spacing w:after="0" w:line="16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Omburtamab is currently being evaluated for the treatment of CNS/LM from NB. There are approximately 700 children diagnosed with NB in the United States each year. Of these, approximately 50-60% are high-risk, and of those at high-risk who relapse,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in the United States and Europe, combined.</w:t>
      </w:r>
    </w:p>
    <w:p>
      <w:pPr>
        <w:spacing w:after="0" w:line="168" w:lineRule="exact"/>
        <w:rPr>
          <w:sz w:val="20"/>
          <w:szCs w:val="20"/>
          <w:color w:val="auto"/>
        </w:rPr>
      </w:pPr>
    </w:p>
    <w:p>
      <w:pPr>
        <w:ind w:left="1020" w:right="579" w:hanging="323"/>
        <w:spacing w:after="0" w:line="216" w:lineRule="auto"/>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 Current Treatment Landscape and Associated Limitations</w:t>
      </w:r>
    </w:p>
    <w:p>
      <w:pPr>
        <w:spacing w:after="0" w:line="203"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There are currently no approved products for patients with R/R NB who have CNS/LM from NB.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92" w:lineRule="exact"/>
        <w:rPr>
          <w:sz w:val="20"/>
          <w:szCs w:val="20"/>
          <w:color w:val="auto"/>
        </w:rPr>
      </w:pPr>
    </w:p>
    <w:p>
      <w:pPr>
        <w:ind w:left="1040" w:right="93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uniformly poor outcomes associated with these different regimens highlight the significant unmet medical need for treatment of CNS/LM from NB:</w:t>
      </w:r>
    </w:p>
    <w:p>
      <w:pPr>
        <w:spacing w:after="0" w:line="170" w:lineRule="exact"/>
        <w:rPr>
          <w:sz w:val="20"/>
          <w:szCs w:val="20"/>
          <w:color w:val="auto"/>
        </w:rPr>
      </w:pPr>
    </w:p>
    <w:p>
      <w:pPr>
        <w:ind w:left="1380" w:right="379" w:hanging="655"/>
        <w:spacing w:after="0" w:line="272" w:lineRule="auto"/>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review of published research representing 83 patients treated between 1979 and 2013 showed a median OS of 5.6 months (95% CI of three to eight months) for patients with R/R NB who have CNS/LM from NB.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77" w:lineRule="exact"/>
        <w:rPr>
          <w:rFonts w:ascii="Arial" w:cs="Arial" w:eastAsia="Arial" w:hAnsi="Arial"/>
          <w:sz w:val="17"/>
          <w:szCs w:val="17"/>
          <w:color w:val="auto"/>
        </w:rPr>
      </w:pPr>
    </w:p>
    <w:p>
      <w:pPr>
        <w:ind w:left="1380" w:right="219" w:hanging="655"/>
        <w:spacing w:after="0" w:line="259"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176" w:lineRule="exact"/>
        <w:rPr>
          <w:rFonts w:ascii="Arial" w:cs="Arial" w:eastAsia="Arial" w:hAnsi="Arial"/>
          <w:sz w:val="18"/>
          <w:szCs w:val="18"/>
          <w:color w:val="auto"/>
        </w:rPr>
      </w:pPr>
    </w:p>
    <w:p>
      <w:pPr>
        <w:ind w:left="1380" w:right="419" w:hanging="655"/>
        <w:spacing w:after="0" w:line="216"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6"/>
          <w:szCs w:val="26"/>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193" w:lineRule="exact"/>
        <w:rPr>
          <w:sz w:val="20"/>
          <w:szCs w:val="20"/>
          <w:color w:val="auto"/>
        </w:rPr>
      </w:pPr>
    </w:p>
    <w:p>
      <w:pPr>
        <w:ind w:left="1020" w:right="579" w:hanging="323"/>
        <w:spacing w:after="0" w:line="216" w:lineRule="auto"/>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 Clinical Development Program</w:t>
      </w:r>
    </w:p>
    <w:p>
      <w:pPr>
        <w:spacing w:after="0" w:line="193"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6"/>
          <w:szCs w:val="16"/>
          <w:color w:val="auto"/>
        </w:rPr>
        <w:t xml:space="preserve">Currently,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is in pivotal stage development for the treatment of pediatric CNS/LM from NB as a monotherapy after patients have completed standard of care treatment. As of January 2021, 177 patients with pediatric CNS/LM from NB had been treated with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in Study 03-133. We are planning to treat a total of at least 32 patients in a multi-center pivotal Phase 2 trial (Study 101) with an interim analysis for the purposes of pharmacokinetic and dosimetry comparability between study sites using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from our cGMP commercial manufacturer, versus drug product previously produced by MSK. Study 101 has also been designed to satisfy potential confirmatory study and post-marketing requirement by the FDA, and, as a result, we will continue to recruit a total of at least 32 patients in the study even if we perform an interim analysis before. We expect a BLA re-submission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CNS/LM from NB via a rolling submission by the end of the second quarter of 2021 or the third quarter of 2021.</w:t>
      </w:r>
    </w:p>
    <w:p>
      <w:pPr>
        <w:spacing w:after="0" w:line="199" w:lineRule="exact"/>
        <w:rPr>
          <w:sz w:val="20"/>
          <w:szCs w:val="20"/>
          <w:color w:val="auto"/>
        </w:rPr>
      </w:pPr>
    </w:p>
    <w:p>
      <w:pPr>
        <w:ind w:left="1020" w:right="259" w:hanging="323"/>
        <w:spacing w:after="0" w:line="216" w:lineRule="auto"/>
        <w:rPr>
          <w:sz w:val="20"/>
          <w:szCs w:val="20"/>
          <w:color w:val="auto"/>
        </w:rPr>
      </w:pPr>
      <w:r>
        <w:rPr>
          <w:rFonts w:ascii="Arial" w:cs="Arial" w:eastAsia="Arial" w:hAnsi="Arial"/>
          <w:sz w:val="18"/>
          <w:szCs w:val="18"/>
          <w:i w:val="1"/>
          <w:iCs w:val="1"/>
          <w:color w:val="auto"/>
        </w:rPr>
        <w:t xml:space="preserve">Study 03-133: Phase 1/2 Study of Intrathecal Radioimmunotherapy using </w:t>
      </w: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Central Nervous System/Leptomeningeal Neoplasms</w:t>
      </w:r>
    </w:p>
    <w:p>
      <w:pPr>
        <w:spacing w:after="0" w:line="203" w:lineRule="exact"/>
        <w:rPr>
          <w:sz w:val="20"/>
          <w:szCs w:val="20"/>
          <w:color w:val="auto"/>
        </w:rPr>
      </w:pPr>
    </w:p>
    <w:p>
      <w:pPr>
        <w:ind w:left="60" w:right="119" w:firstLine="648"/>
        <w:spacing w:after="0" w:line="242" w:lineRule="auto"/>
        <w:rPr>
          <w:sz w:val="20"/>
          <w:szCs w:val="20"/>
          <w:color w:val="auto"/>
        </w:rPr>
      </w:pPr>
      <w:r>
        <w:rPr>
          <w:rFonts w:ascii="Arial" w:cs="Arial" w:eastAsia="Arial" w:hAnsi="Arial"/>
          <w:sz w:val="17"/>
          <w:szCs w:val="17"/>
          <w:color w:val="auto"/>
        </w:rPr>
        <w:t xml:space="preserve">The trial was originally designed as a Phase 1/2 clinical dose escalation study followed by cohort expansion at the recommended dose. To determine the MTD, patients received up to 70 millicurie, or mCi,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an outpatient setting. Based on treatment result of the 50 mCi dose to treat NB with CNS/LM metastasis and since no DLTs were experienced in the dose escalation part; the 50 mCi dose has been expanded as implemented by a protocol amendment. As of January 2021, 177 patients had been treated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Study 03-133. Of these, 107 patients were diagnosed with pediatric CNS/LM metastasis from NB. Study 03-133 is now closed for recruitment. We expect that the safety portion of our BLA will be comprised of data from more than 200 patients treated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or </w:t>
      </w:r>
      <w:r>
        <w:rPr>
          <w:rFonts w:ascii="Arial" w:cs="Arial" w:eastAsia="Arial" w:hAnsi="Arial"/>
          <w:sz w:val="25"/>
          <w:szCs w:val="25"/>
          <w:color w:val="auto"/>
          <w:vertAlign w:val="superscript"/>
        </w:rPr>
        <w:t>124</w:t>
      </w:r>
      <w:r>
        <w:rPr>
          <w:rFonts w:ascii="Arial" w:cs="Arial" w:eastAsia="Arial" w:hAnsi="Arial"/>
          <w:sz w:val="17"/>
          <w:szCs w:val="17"/>
          <w:color w:val="auto"/>
        </w:rPr>
        <w:t>I-omburtamab across multiple indications.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firstLine="648"/>
        <w:spacing w:after="0" w:line="342" w:lineRule="auto"/>
        <w:rPr>
          <w:sz w:val="20"/>
          <w:szCs w:val="20"/>
          <w:color w:val="auto"/>
        </w:rPr>
      </w:pPr>
      <w:r>
        <w:rPr>
          <w:rFonts w:ascii="Arial" w:cs="Arial" w:eastAsia="Arial" w:hAnsi="Arial"/>
          <w:sz w:val="16"/>
          <w:szCs w:val="16"/>
          <w:color w:val="auto"/>
        </w:rPr>
        <w:t>The table below presents a general clinical overview, including safety data, from Study 03-133 conducted from January 2004 through June 2019. The outlined information in the below table refers to patients treated in Study 03-133.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Omburtamab—Clinical Overview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Study 03-133—Patient Profile and AEs (January 2004 -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142875</wp:posOffset>
            </wp:positionV>
            <wp:extent cx="2160270" cy="4088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027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319" w:firstLine="648"/>
        <w:spacing w:after="0" w:line="257"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88" w:lineRule="exact"/>
        <w:rPr>
          <w:sz w:val="20"/>
          <w:szCs w:val="20"/>
          <w:color w:val="auto"/>
        </w:rPr>
      </w:pPr>
    </w:p>
    <w:p>
      <w:pPr>
        <w:ind w:left="60" w:right="199" w:firstLine="648"/>
        <w:spacing w:after="0" w:line="233" w:lineRule="auto"/>
        <w:rPr>
          <w:sz w:val="20"/>
          <w:szCs w:val="20"/>
          <w:color w:val="auto"/>
        </w:rPr>
      </w:pPr>
      <w:r>
        <w:rPr>
          <w:rFonts w:ascii="Arial" w:cs="Arial" w:eastAsia="Arial" w:hAnsi="Arial"/>
          <w:sz w:val="18"/>
          <w:szCs w:val="18"/>
          <w:color w:val="auto"/>
        </w:rPr>
        <w:t xml:space="preserve">Before enrollment in Study 03-133, most patients underwent biopsy or debulking surgery to remove brain metastases as much as possible, followed by radiation therapy and chemotherapy. A majority of the patients were also treated with an anti-GD2 immunotherapy such as naxitamab to control systemic disease after completing the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under Study 03-133. All patients had an intraventricular device implanted before enrollment in the study.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the maximum dose of previous radiotherapy to CNS, or had progressive systemic disease.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399" w:firstLine="648"/>
        <w:spacing w:after="0" w:line="210" w:lineRule="auto"/>
        <w:rPr>
          <w:sz w:val="20"/>
          <w:szCs w:val="20"/>
          <w:color w:val="auto"/>
        </w:rPr>
      </w:pPr>
      <w:r>
        <w:rPr>
          <w:rFonts w:ascii="Arial" w:cs="Arial" w:eastAsia="Arial" w:hAnsi="Arial"/>
          <w:sz w:val="18"/>
          <w:szCs w:val="18"/>
          <w:color w:val="auto"/>
        </w:rPr>
        <w:t xml:space="preserve">Patients are treated with up to two cycles (each consisting of a treatment dose and a dosimetry dose) of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6"/>
          <w:szCs w:val="26"/>
          <w:color w:val="auto"/>
          <w:vertAlign w:val="superscript"/>
        </w:rPr>
        <w:t>131</w:t>
      </w:r>
      <w:r>
        <w:rPr>
          <w:rFonts w:ascii="Arial" w:cs="Arial" w:eastAsia="Arial" w:hAnsi="Arial"/>
          <w:sz w:val="18"/>
          <w:szCs w:val="18"/>
          <w:color w:val="auto"/>
        </w:rPr>
        <w:t>I-omburtamab under Study 03-133 proceeds as follows:</w:t>
      </w:r>
    </w:p>
    <w:p>
      <w:pPr>
        <w:spacing w:after="0" w:line="195"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Week 1: </w:t>
      </w:r>
      <w:r>
        <w:rPr>
          <w:rFonts w:ascii="Arial" w:cs="Arial" w:eastAsia="Arial" w:hAnsi="Arial"/>
          <w:sz w:val="26"/>
          <w:szCs w:val="26"/>
          <w:color w:val="auto"/>
          <w:vertAlign w:val="superscript"/>
        </w:rPr>
        <w:t>131</w:t>
      </w:r>
      <w:r>
        <w:rPr>
          <w:rFonts w:ascii="Arial" w:cs="Arial" w:eastAsia="Arial" w:hAnsi="Arial"/>
          <w:sz w:val="18"/>
          <w:szCs w:val="18"/>
          <w:color w:val="auto"/>
        </w:rPr>
        <w:t>I-omburtamab (dosimetry dose: 2 mCi imaging test dose);</w:t>
      </w:r>
    </w:p>
    <w:p>
      <w:pPr>
        <w:spacing w:after="0" w:line="133"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Week 2: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dose: 30-50 mCi depending on age);</w:t>
      </w:r>
    </w:p>
    <w:p>
      <w:pPr>
        <w:spacing w:after="0" w:line="142"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Week 5: post-treatment evaluation comprised of magnetic resonance imaging, or MRI, of the head and spine, CSF cytology.</w:t>
      </w:r>
    </w:p>
    <w:p>
      <w:pPr>
        <w:sectPr>
          <w:pgSz w:w="11900" w:h="16838" w:orient="portrait"/>
          <w:cols w:equalWidth="0" w:num="1">
            <w:col w:w="9019"/>
          </w:cols>
          <w:pgMar w:left="1440" w:top="517" w:right="1440" w:bottom="1440" w:gutter="0" w:footer="0" w:header="0"/>
        </w:sectPr>
      </w:pPr>
    </w:p>
    <w:p>
      <w:pPr>
        <w:spacing w:after="0" w:line="180" w:lineRule="exact"/>
        <w:rPr>
          <w:sz w:val="20"/>
          <w:szCs w:val="20"/>
          <w:color w:val="auto"/>
        </w:rPr>
      </w:pPr>
    </w:p>
    <w:p>
      <w:pPr>
        <w:jc w:val="center"/>
        <w:ind w:left="260" w:right="20"/>
        <w:spacing w:after="0" w:line="282" w:lineRule="auto"/>
        <w:rPr>
          <w:sz w:val="20"/>
          <w:szCs w:val="20"/>
          <w:color w:val="auto"/>
        </w:rPr>
      </w:pPr>
      <w:r>
        <w:rPr>
          <w:rFonts w:ascii="Arial" w:cs="Arial" w:eastAsia="Arial" w:hAnsi="Arial"/>
          <w:sz w:val="18"/>
          <w:szCs w:val="18"/>
          <w:b w:val="1"/>
          <w:bCs w:val="1"/>
          <w:color w:val="auto"/>
        </w:rPr>
        <w:t>Administration of our radiolabeled omburtamab via 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-22225</wp:posOffset>
            </wp:positionV>
            <wp:extent cx="2305685" cy="2263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05685" cy="2263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579" w:firstLine="10"/>
        <w:spacing w:after="0" w:line="347" w:lineRule="auto"/>
        <w:rPr>
          <w:sz w:val="20"/>
          <w:szCs w:val="20"/>
          <w:color w:val="auto"/>
        </w:rPr>
      </w:pPr>
      <w:r>
        <w:rPr>
          <w:rFonts w:ascii="Arial" w:cs="Arial" w:eastAsia="Arial" w:hAnsi="Arial"/>
          <w:sz w:val="16"/>
          <w:szCs w:val="16"/>
          <w:b w:val="1"/>
          <w:bCs w:val="1"/>
          <w:color w:val="auto"/>
        </w:rPr>
        <w:t>PET scan of distribution of our radiolabeled omburtamab 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-51435</wp:posOffset>
            </wp:positionV>
            <wp:extent cx="1354455" cy="2254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54455" cy="2254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399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 CNS compartment potentially binding and killing</w:t>
      </w:r>
    </w:p>
    <w:p>
      <w:pPr>
        <w:spacing w:after="0" w:line="2"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4420" w:right="3419" w:hanging="3695"/>
        <w:spacing w:after="0" w:line="813" w:lineRule="auto"/>
        <w:tabs>
          <w:tab w:leader="none" w:pos="10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To define the clinical toxicities of intrathecal </w:t>
      </w:r>
      <w:r>
        <w:rPr>
          <w:rFonts w:ascii="Arial" w:cs="Arial" w:eastAsia="Arial" w:hAnsi="Arial"/>
          <w:sz w:val="23"/>
          <w:szCs w:val="23"/>
          <w:color w:val="auto"/>
          <w:vertAlign w:val="superscript"/>
        </w:rPr>
        <w:t>131</w:t>
      </w:r>
      <w:r>
        <w:rPr>
          <w:rFonts w:ascii="Arial" w:cs="Arial" w:eastAsia="Arial" w:hAnsi="Arial"/>
          <w:sz w:val="16"/>
          <w:szCs w:val="16"/>
          <w:color w:val="auto"/>
        </w:rPr>
        <w:t>I-omburtamab.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left="60" w:right="3939" w:firstLine="665"/>
        <w:spacing w:after="0" w:line="500" w:lineRule="auto"/>
        <w:tabs>
          <w:tab w:leader="none" w:pos="10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To collect neurocognitive and long-term follow-up data. </w:t>
      </w:r>
      <w:r>
        <w:rPr>
          <w:rFonts w:ascii="Arial" w:cs="Arial" w:eastAsia="Arial" w:hAnsi="Arial"/>
          <w:sz w:val="18"/>
          <w:szCs w:val="18"/>
          <w:u w:val="single" w:color="auto"/>
          <w:color w:val="auto"/>
        </w:rPr>
        <w:t>Safety Results</w:t>
      </w:r>
    </w:p>
    <w:p>
      <w:pPr>
        <w:spacing w:after="0" w:line="2"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6"/>
          <w:szCs w:val="16"/>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at dose levels six and seven (60 and 70 mCi, respectively). As a result, a dose of 50 mCi was chosen for the expansion cohort. Among the 107 patients treated with </w:t>
      </w:r>
      <w:r>
        <w:rPr>
          <w:rFonts w:ascii="Arial" w:cs="Arial" w:eastAsia="Arial" w:hAnsi="Arial"/>
          <w:sz w:val="23"/>
          <w:szCs w:val="23"/>
          <w:color w:val="auto"/>
          <w:vertAlign w:val="superscript"/>
        </w:rPr>
        <w:t>131</w:t>
      </w:r>
      <w:r>
        <w:rPr>
          <w:rFonts w:ascii="Arial" w:cs="Arial" w:eastAsia="Arial" w:hAnsi="Arial"/>
          <w:sz w:val="16"/>
          <w:szCs w:val="16"/>
          <w:color w:val="auto"/>
        </w:rPr>
        <w:t>I-omburtamab and diagnosed with pediatric CNS/LM metastasis from NB, a total of 340 injections were administered and myelosuppression was observed in approximately 88 patients. No increased risk of radionecrosis was observed.</w:t>
      </w:r>
    </w:p>
    <w:p>
      <w:pPr>
        <w:spacing w:after="0" w:line="202" w:lineRule="exact"/>
        <w:rPr>
          <w:sz w:val="20"/>
          <w:szCs w:val="20"/>
          <w:color w:val="auto"/>
        </w:rPr>
      </w:pPr>
    </w:p>
    <w:p>
      <w:pPr>
        <w:ind w:left="60" w:right="139" w:firstLine="648"/>
        <w:spacing w:after="0" w:line="266" w:lineRule="auto"/>
        <w:rPr>
          <w:sz w:val="20"/>
          <w:szCs w:val="20"/>
          <w:color w:val="auto"/>
        </w:rPr>
      </w:pPr>
      <w:r>
        <w:rPr>
          <w:rFonts w:ascii="Arial" w:cs="Arial" w:eastAsia="Arial" w:hAnsi="Arial"/>
          <w:sz w:val="16"/>
          <w:szCs w:val="16"/>
          <w:color w:val="auto"/>
        </w:rPr>
        <w:t xml:space="preserve">As of September 2018, 29% of the patients had an SAE that was considered related to treatment by the investigator. The SAEs considered related by investigator were mainly in the System organ Class: investigations reflecting </w:t>
      </w:r>
      <w:r>
        <w:rPr>
          <w:rFonts w:ascii="Arial" w:cs="Arial" w:eastAsia="Arial" w:hAnsi="Arial"/>
          <w:sz w:val="23"/>
          <w:szCs w:val="23"/>
          <w:color w:val="auto"/>
          <w:vertAlign w:val="superscript"/>
        </w:rPr>
        <w:t>131</w:t>
      </w:r>
      <w:r>
        <w:rPr>
          <w:rFonts w:ascii="Arial" w:cs="Arial" w:eastAsia="Arial" w:hAnsi="Arial"/>
          <w:sz w:val="16"/>
          <w:szCs w:val="16"/>
          <w:color w:val="auto"/>
        </w:rPr>
        <w:t>I-mediated myelosuppression, which were considered related for the majority of the events. Related SAEs of vomiting were reported in five patients (3.4%), headache and meningitis chemical by four patients (2.7%) each.</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Data reported as of June 2019 indicate that the median OS for the 107 patients diagnosed with pediatric CNS/LM metastasis from NB and treated under Study 03-133 was 50.8 months. Based on calculations per the Kaplan-Meier Plot, the estimated three-year OS of these 107 patients is 56% and the estimated five-year OS and ten-year OS is 44%, and 38%,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4791710" cy="2691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9171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199" w:lineRule="exact"/>
        <w:rPr>
          <w:rFonts w:ascii="Arial" w:cs="Arial" w:eastAsia="Arial" w:hAnsi="Arial"/>
          <w:sz w:val="14"/>
          <w:szCs w:val="14"/>
          <w:color w:val="auto"/>
        </w:rPr>
      </w:pPr>
    </w:p>
    <w:p>
      <w:pPr>
        <w:ind w:left="380" w:hanging="330"/>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21"/>
          <w:szCs w:val="21"/>
          <w:color w:val="auto"/>
          <w:vertAlign w:val="superscript"/>
        </w:rPr>
        <w:t>131</w:t>
      </w:r>
      <w:r>
        <w:rPr>
          <w:rFonts w:ascii="Arial" w:cs="Arial" w:eastAsia="Arial" w:hAnsi="Arial"/>
          <w:sz w:val="14"/>
          <w:szCs w:val="14"/>
          <w:color w:val="auto"/>
        </w:rPr>
        <w:t>I-omburtamab = Patients diagnosed with pediatric CNS/LM metastasis from NB treated under Study 03-133.</w:t>
      </w:r>
    </w:p>
    <w:p>
      <w:pPr>
        <w:spacing w:after="0" w:line="132"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The figure above compares median OS data from Study 03-133 with historical controls. Historical patient data extracted from three sources revealed median OS of 8.7 months in the literature, 4.7 months in the German NB Trials,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219"/>
        <w:spacing w:after="0" w:line="233" w:lineRule="auto"/>
        <w:rPr>
          <w:sz w:val="20"/>
          <w:szCs w:val="20"/>
          <w:color w:val="auto"/>
        </w:rPr>
      </w:pPr>
      <w:r>
        <w:rPr>
          <w:rFonts w:ascii="Arial" w:cs="Arial" w:eastAsia="Arial" w:hAnsi="Arial"/>
          <w:sz w:val="18"/>
          <w:szCs w:val="18"/>
          <w:color w:val="auto"/>
        </w:rPr>
        <w:t xml:space="preserve">and 5.5 months in the MSK historical cohort prior to the introduction of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83" w:lineRule="exact"/>
        <w:rPr>
          <w:sz w:val="20"/>
          <w:szCs w:val="20"/>
          <w:color w:val="auto"/>
        </w:rPr>
      </w:pPr>
    </w:p>
    <w:p>
      <w:pPr>
        <w:ind w:left="60" w:right="479" w:firstLine="648"/>
        <w:spacing w:after="0" w:line="231" w:lineRule="auto"/>
        <w:rPr>
          <w:sz w:val="20"/>
          <w:szCs w:val="20"/>
          <w:color w:val="auto"/>
        </w:rPr>
      </w:pPr>
      <w:r>
        <w:rPr>
          <w:rFonts w:ascii="Arial" w:cs="Arial" w:eastAsia="Arial" w:hAnsi="Arial"/>
          <w:sz w:val="18"/>
          <w:szCs w:val="18"/>
          <w:color w:val="auto"/>
        </w:rPr>
        <w:t xml:space="preserve">The chart below shows the historical comparable data and median OS following the introduction of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This represents 107 treated patients from Study 03-133 diagnosed with pediatric CNS/LM metastasis from NB, as at June 2019. The estimated three-year median OS was 56% and the five-year median OS was 44%. Survivors have been followed for up to 14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139065</wp:posOffset>
            </wp:positionV>
            <wp:extent cx="4046220" cy="2743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4622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20" w:right="319" w:hanging="323"/>
        <w:spacing w:after="0" w:line="222" w:lineRule="auto"/>
        <w:rPr>
          <w:sz w:val="20"/>
          <w:szCs w:val="20"/>
          <w:color w:val="auto"/>
        </w:rPr>
      </w:pPr>
      <w:r>
        <w:rPr>
          <w:rFonts w:ascii="Arial" w:cs="Arial" w:eastAsia="Arial" w:hAnsi="Arial"/>
          <w:sz w:val="18"/>
          <w:szCs w:val="18"/>
          <w:i w:val="1"/>
          <w:iCs w:val="1"/>
          <w:color w:val="auto"/>
        </w:rPr>
        <w:t xml:space="preserve">Study 101: A Multicenter Phase 2/3 Trial of the Efficacy and Safety of Intracerebroventricular Radioimmunotherapy using </w:t>
      </w: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Neuroblastoma Central Nervous System/Leptomeningeal Metastases</w:t>
      </w:r>
    </w:p>
    <w:p>
      <w:pPr>
        <w:spacing w:after="0" w:line="109" w:lineRule="exact"/>
        <w:rPr>
          <w:sz w:val="20"/>
          <w:szCs w:val="20"/>
          <w:color w:val="auto"/>
        </w:rPr>
      </w:pPr>
    </w:p>
    <w:p>
      <w:pPr>
        <w:ind w:left="60" w:right="79" w:firstLine="648"/>
        <w:spacing w:after="0" w:line="226" w:lineRule="auto"/>
        <w:rPr>
          <w:sz w:val="20"/>
          <w:szCs w:val="20"/>
          <w:color w:val="auto"/>
        </w:rPr>
      </w:pPr>
      <w:r>
        <w:rPr>
          <w:rFonts w:ascii="Arial" w:cs="Arial" w:eastAsia="Arial" w:hAnsi="Arial"/>
          <w:sz w:val="17"/>
          <w:szCs w:val="17"/>
          <w:color w:val="auto"/>
        </w:rPr>
        <w:t xml:space="preserve">Study 101 is an ongoing pivotal Phase </w:t>
      </w:r>
      <w:r>
        <w:rPr>
          <w:rFonts w:ascii="Arial" w:cs="Arial" w:eastAsia="Arial" w:hAnsi="Arial"/>
          <w:sz w:val="25"/>
          <w:szCs w:val="25"/>
          <w:color w:val="auto"/>
          <w:vertAlign w:val="superscript"/>
        </w:rPr>
        <w:t>2</w:t>
      </w:r>
      <w:r>
        <w:rPr>
          <w:rFonts w:ascii="Arial" w:cs="Arial" w:eastAsia="Arial" w:hAnsi="Arial"/>
          <w:sz w:val="17"/>
          <w:szCs w:val="17"/>
          <w:color w:val="auto"/>
        </w:rPr>
        <w:t>/</w:t>
      </w:r>
      <w:r>
        <w:rPr>
          <w:rFonts w:ascii="Arial" w:cs="Arial" w:eastAsia="Arial" w:hAnsi="Arial"/>
          <w:sz w:val="25"/>
          <w:szCs w:val="25"/>
          <w:color w:val="auto"/>
          <w:vertAlign w:val="subscript"/>
        </w:rPr>
        <w:t>3</w:t>
      </w:r>
      <w:r>
        <w:rPr>
          <w:rFonts w:ascii="Arial" w:cs="Arial" w:eastAsia="Arial" w:hAnsi="Arial"/>
          <w:sz w:val="17"/>
          <w:szCs w:val="17"/>
          <w:color w:val="auto"/>
        </w:rPr>
        <w:t xml:space="preserve"> single-arm, open-label, non-randomized, multi-center efficacy, safety, pharmacokinetics and dosimetry trial of intracerebroventricular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pediatric patients with R/R NB who have CNS/LM from NB. Patients will receive up to two cycles of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This study commenced in the second quarter of 2018, and we are planning to treat a total of at least 32 patients in this multi-center pivotal Phase 2 trial with an interim analysis for the purposes of pharmacokinetic and dosimetry comparability between study sites using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from our cGMP commercial manufacturer, versus drug product previously produced by MSK. Study 101 has also been designed to satisfy potential confirmatory study and post-marketing requirement by the FDA, and, as a result, we will continue to recruit a total of at least 32 patients in the study even if we perform an interim analysis before. We expect a BLA re-submission for </w:t>
      </w:r>
      <w:r>
        <w:rPr>
          <w:rFonts w:ascii="Arial" w:cs="Arial" w:eastAsia="Arial" w:hAnsi="Arial"/>
          <w:sz w:val="25"/>
          <w:szCs w:val="25"/>
          <w:color w:val="auto"/>
          <w:vertAlign w:val="superscript"/>
        </w:rPr>
        <w:t>131</w:t>
      </w:r>
      <w:r>
        <w:rPr>
          <w:rFonts w:ascii="Arial" w:cs="Arial" w:eastAsia="Arial" w:hAnsi="Arial"/>
          <w:sz w:val="17"/>
          <w:szCs w:val="17"/>
          <w:color w:val="auto"/>
        </w:rPr>
        <w:t>I-omburtamab for CNS/LM from NB via a rolling submission by the end of the second quarter of 2021 or the third quarter of 2021.</w:t>
      </w:r>
    </w:p>
    <w:p>
      <w:pPr>
        <w:spacing w:after="0" w:line="212" w:lineRule="exact"/>
        <w:rPr>
          <w:sz w:val="20"/>
          <w:szCs w:val="20"/>
          <w:color w:val="auto"/>
        </w:rPr>
      </w:pPr>
    </w:p>
    <w:p>
      <w:pPr>
        <w:jc w:val="both"/>
        <w:ind w:left="60" w:right="99" w:firstLine="648"/>
        <w:spacing w:after="0" w:line="222" w:lineRule="auto"/>
        <w:rPr>
          <w:sz w:val="20"/>
          <w:szCs w:val="20"/>
          <w:color w:val="auto"/>
        </w:rPr>
      </w:pPr>
      <w:r>
        <w:rPr>
          <w:rFonts w:ascii="Arial" w:cs="Arial" w:eastAsia="Arial" w:hAnsi="Arial"/>
          <w:sz w:val="18"/>
          <w:szCs w:val="18"/>
          <w:color w:val="auto"/>
        </w:rPr>
        <w:t xml:space="preserve">Data from the planned interim analysis described above will also be combined with the data from Study 03-133 to support a potential accelerated approval for </w:t>
      </w:r>
      <w:r>
        <w:rPr>
          <w:rFonts w:ascii="Arial" w:cs="Arial" w:eastAsia="Arial" w:hAnsi="Arial"/>
          <w:sz w:val="26"/>
          <w:szCs w:val="26"/>
          <w:color w:val="auto"/>
          <w:vertAlign w:val="superscript"/>
        </w:rPr>
        <w:t>131</w:t>
      </w:r>
      <w:r>
        <w:rPr>
          <w:rFonts w:ascii="Arial" w:cs="Arial" w:eastAsia="Arial" w:hAnsi="Arial"/>
          <w:sz w:val="18"/>
          <w:szCs w:val="18"/>
          <w:color w:val="auto"/>
        </w:rPr>
        <w:t>I-omburtamab for the treatment of pediatric patients with high-risk NB who have CNS/LM relapse.</w:t>
      </w:r>
    </w:p>
    <w:p>
      <w:pPr>
        <w:spacing w:after="0" w:line="205"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Safety and efficacy data will be investigated with short-term follow-up at 26 weeks after treatment and with long-term follow-up for up to three years following treatment. Final analysis will be performed when at least 32 treated patients have completed long-term follow-up (three years or until death).</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to satisfying certain other criteria, patients must be less than 18 years of age at the time of screening.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Patients must have a histologically confirmed diagnosis of CNS/LM from NB with relapse.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619" w:firstLine="648"/>
        <w:spacing w:after="0" w:line="237" w:lineRule="auto"/>
        <w:rPr>
          <w:sz w:val="20"/>
          <w:szCs w:val="20"/>
          <w:color w:val="auto"/>
        </w:rPr>
      </w:pPr>
      <w:r>
        <w:rPr>
          <w:rFonts w:ascii="Arial" w:cs="Arial" w:eastAsia="Arial" w:hAnsi="Arial"/>
          <w:sz w:val="17"/>
          <w:szCs w:val="17"/>
          <w:color w:val="auto"/>
        </w:rPr>
        <w:t xml:space="preserve">A single treatment cycle will last five weeks and will include premedication, intracerebroventricular </w:t>
      </w:r>
      <w:r>
        <w:rPr>
          <w:rFonts w:ascii="Arial" w:cs="Arial" w:eastAsia="Arial" w:hAnsi="Arial"/>
          <w:sz w:val="25"/>
          <w:szCs w:val="25"/>
          <w:color w:val="auto"/>
          <w:vertAlign w:val="superscript"/>
        </w:rPr>
        <w:t>131</w:t>
      </w:r>
      <w:r>
        <w:rPr>
          <w:rFonts w:ascii="Arial" w:cs="Arial" w:eastAsia="Arial" w:hAnsi="Arial"/>
          <w:sz w:val="17"/>
          <w:szCs w:val="17"/>
          <w:color w:val="auto"/>
        </w:rPr>
        <w:t>I-omburtamab administration (one dosimetry dose and one treatment dose), an observation period, and post-treatment evaluations (see figure below). The dosimetry dose will be used only for the first 24 patients.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cycle for Study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99695</wp:posOffset>
            </wp:positionV>
            <wp:extent cx="5434965" cy="908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349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determine OS rate at three years.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15"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142"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25"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03-133 and to satisfy potential confirmatory study and post-marketing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our BLA.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6"/>
          <w:szCs w:val="26"/>
          <w:b w:val="1"/>
          <w:bCs w:val="1"/>
          <w:i w:val="1"/>
          <w:iCs w:val="1"/>
          <w:color w:val="auto"/>
          <w:vertAlign w:val="superscript"/>
        </w:rPr>
        <w:t>124</w:t>
      </w:r>
      <w:r>
        <w:rPr>
          <w:rFonts w:ascii="Arial" w:cs="Arial" w:eastAsia="Arial" w:hAnsi="Arial"/>
          <w:sz w:val="18"/>
          <w:szCs w:val="18"/>
          <w:b w:val="1"/>
          <w:bCs w:val="1"/>
          <w:i w:val="1"/>
          <w:iCs w:val="1"/>
          <w:color w:val="auto"/>
        </w:rPr>
        <w:t>I-omburtamab for the Treatment of Diffuse Intrinsic Pontine Glioma</w:t>
      </w:r>
    </w:p>
    <w:p>
      <w:pPr>
        <w:spacing w:after="0" w:line="133" w:lineRule="exact"/>
        <w:rPr>
          <w:sz w:val="20"/>
          <w:szCs w:val="20"/>
          <w:color w:val="auto"/>
        </w:rPr>
      </w:pPr>
    </w:p>
    <w:p>
      <w:pPr>
        <w:ind w:left="60" w:right="139" w:firstLine="648"/>
        <w:spacing w:after="0" w:line="225" w:lineRule="auto"/>
        <w:rPr>
          <w:sz w:val="20"/>
          <w:szCs w:val="20"/>
          <w:color w:val="auto"/>
        </w:rPr>
      </w:pPr>
      <w:r>
        <w:rPr>
          <w:rFonts w:ascii="Arial" w:cs="Arial" w:eastAsia="Arial" w:hAnsi="Arial"/>
          <w:sz w:val="25"/>
          <w:szCs w:val="25"/>
          <w:color w:val="auto"/>
          <w:vertAlign w:val="superscript"/>
        </w:rPr>
        <w:t>124</w:t>
      </w:r>
      <w:r>
        <w:rPr>
          <w:rFonts w:ascii="Arial" w:cs="Arial" w:eastAsia="Arial" w:hAnsi="Arial"/>
          <w:sz w:val="17"/>
          <w:szCs w:val="17"/>
          <w:color w:val="auto"/>
        </w:rPr>
        <w:t xml:space="preserve">I-omburtamab is currently being evaluated in an ongoing Phase 1 clinical trial (Study 11-011) for the treatment of DIPG. In contrast to Iodine-131, which emits electrons, Iodine-124 is a positron-emitting iodine isotope. This enables measurement of iodine uptake using PET scans, which we believe is important when using radiotherapy in a critical organ such as pons, where overdosing may have serious consequences. In 2016, </w:t>
      </w:r>
      <w:r>
        <w:rPr>
          <w:rFonts w:ascii="Arial" w:cs="Arial" w:eastAsia="Arial" w:hAnsi="Arial"/>
          <w:sz w:val="25"/>
          <w:szCs w:val="25"/>
          <w:color w:val="auto"/>
          <w:vertAlign w:val="superscript"/>
        </w:rPr>
        <w:t>124</w:t>
      </w:r>
      <w:r>
        <w:rPr>
          <w:rFonts w:ascii="Arial" w:cs="Arial" w:eastAsia="Arial" w:hAnsi="Arial"/>
          <w:sz w:val="17"/>
          <w:szCs w:val="17"/>
          <w:color w:val="auto"/>
        </w:rPr>
        <w:t xml:space="preserve">I-omburtamab received RPDD from the FDA for the treatment of DIPG. As of January 2021, we have treated 46 patients with DIPG with </w:t>
      </w:r>
      <w:r>
        <w:rPr>
          <w:rFonts w:ascii="Arial" w:cs="Arial" w:eastAsia="Arial" w:hAnsi="Arial"/>
          <w:sz w:val="25"/>
          <w:szCs w:val="25"/>
          <w:color w:val="auto"/>
          <w:vertAlign w:val="superscript"/>
        </w:rPr>
        <w:t>124</w:t>
      </w:r>
      <w:r>
        <w:rPr>
          <w:rFonts w:ascii="Arial" w:cs="Arial" w:eastAsia="Arial" w:hAnsi="Arial"/>
          <w:sz w:val="17"/>
          <w:szCs w:val="17"/>
          <w:color w:val="auto"/>
        </w:rPr>
        <w:t xml:space="preserve">I-omburtamab. Interim clinical results from the dose escalation portion of the study, which were published in 2018 (Souweidane et al., Lancet Oncol 2018; 19: 1040-50), demonstrated that convection-enhanced delivery, or CED, of </w:t>
      </w:r>
      <w:r>
        <w:rPr>
          <w:rFonts w:ascii="Arial" w:cs="Arial" w:eastAsia="Arial" w:hAnsi="Arial"/>
          <w:sz w:val="25"/>
          <w:szCs w:val="25"/>
          <w:color w:val="auto"/>
          <w:vertAlign w:val="superscript"/>
        </w:rPr>
        <w:t>124</w:t>
      </w:r>
      <w:r>
        <w:rPr>
          <w:rFonts w:ascii="Arial" w:cs="Arial" w:eastAsia="Arial" w:hAnsi="Arial"/>
          <w:sz w:val="17"/>
          <w:szCs w:val="17"/>
          <w:color w:val="auto"/>
        </w:rPr>
        <w:t>I-omburtamab in the brainstem of children with DIPG appears to be a generally feasible approach for drug delivery, based on an evaluation using distribution and pharmacokinetics. We believe that we may qualify for a sBLA, assuming positive pivotal data in the planned Phase 2 trial (Study 102).</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left="60" w:right="339" w:firstLine="648"/>
        <w:spacing w:after="0" w:line="296" w:lineRule="auto"/>
        <w:rPr>
          <w:sz w:val="20"/>
          <w:szCs w:val="20"/>
          <w:color w:val="auto"/>
        </w:rPr>
      </w:pPr>
      <w:r>
        <w:rPr>
          <w:rFonts w:ascii="Arial" w:cs="Arial" w:eastAsia="Arial" w:hAnsi="Arial"/>
          <w:sz w:val="16"/>
          <w:szCs w:val="16"/>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the brain and the spinal cord.</w:t>
      </w:r>
    </w:p>
    <w:p>
      <w:pPr>
        <w:spacing w:after="0" w:line="161"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w:t>
      </w:r>
    </w:p>
    <w:p>
      <w:pPr>
        <w:spacing w:after="0" w:line="157" w:lineRule="exact"/>
        <w:rPr>
          <w:sz w:val="20"/>
          <w:szCs w:val="20"/>
          <w:color w:val="auto"/>
        </w:rPr>
      </w:pPr>
    </w:p>
    <w:p>
      <w:pPr>
        <w:ind w:left="60" w:right="359" w:firstLine="648"/>
        <w:spacing w:after="0" w:line="257" w:lineRule="auto"/>
        <w:rPr>
          <w:sz w:val="20"/>
          <w:szCs w:val="20"/>
          <w:color w:val="auto"/>
        </w:rPr>
      </w:pPr>
      <w:r>
        <w:rPr>
          <w:rFonts w:ascii="Arial" w:cs="Arial" w:eastAsia="Arial" w:hAnsi="Arial"/>
          <w:sz w:val="18"/>
          <w:szCs w:val="18"/>
          <w:color w:val="auto"/>
        </w:rPr>
        <w:t>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23"/>
          <w:szCs w:val="23"/>
          <w:i w:val="1"/>
          <w:iCs w:val="1"/>
          <w:color w:val="auto"/>
          <w:vertAlign w:val="superscript"/>
        </w:rPr>
        <w:t>124</w:t>
      </w:r>
      <w:r>
        <w:rPr>
          <w:rFonts w:ascii="Arial" w:cs="Arial" w:eastAsia="Arial" w:hAnsi="Arial"/>
          <w:sz w:val="16"/>
          <w:szCs w:val="16"/>
          <w:i w:val="1"/>
          <w:iCs w:val="1"/>
          <w:color w:val="auto"/>
        </w:rPr>
        <w:t>I-omburtamab for Diffuse Intrinsic Pontine Glioma—Current Treatment Landscape and Associated Limitations</w:t>
      </w:r>
    </w:p>
    <w:p>
      <w:pPr>
        <w:spacing w:after="0" w:line="177"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196"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26"/>
          <w:szCs w:val="26"/>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133" w:lineRule="exact"/>
        <w:rPr>
          <w:sz w:val="20"/>
          <w:szCs w:val="20"/>
          <w:color w:val="auto"/>
        </w:rPr>
      </w:pPr>
    </w:p>
    <w:p>
      <w:pPr>
        <w:ind w:left="60" w:right="759" w:firstLine="648"/>
        <w:spacing w:after="0" w:line="216" w:lineRule="auto"/>
        <w:rPr>
          <w:sz w:val="20"/>
          <w:szCs w:val="20"/>
          <w:color w:val="auto"/>
        </w:rPr>
      </w:pPr>
      <w:r>
        <w:rPr>
          <w:rFonts w:ascii="Arial" w:cs="Arial" w:eastAsia="Arial" w:hAnsi="Arial"/>
          <w:sz w:val="26"/>
          <w:szCs w:val="26"/>
          <w:color w:val="auto"/>
          <w:vertAlign w:val="superscript"/>
        </w:rPr>
        <w:t>124</w:t>
      </w:r>
      <w:r>
        <w:rPr>
          <w:rFonts w:ascii="Arial" w:cs="Arial" w:eastAsia="Arial" w:hAnsi="Arial"/>
          <w:sz w:val="18"/>
          <w:szCs w:val="18"/>
          <w:color w:val="auto"/>
        </w:rPr>
        <w:t>I-omburtamab is currently being evaluated in an ongoing Phase 1 clinical study (Study 11-011) for the treatment of DIPG.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right="499" w:hanging="323"/>
        <w:spacing w:after="0" w:line="250" w:lineRule="auto"/>
        <w:rPr>
          <w:sz w:val="20"/>
          <w:szCs w:val="20"/>
          <w:color w:val="auto"/>
        </w:rPr>
      </w:pPr>
      <w:r>
        <w:rPr>
          <w:rFonts w:ascii="Arial" w:cs="Arial" w:eastAsia="Arial" w:hAnsi="Arial"/>
          <w:sz w:val="16"/>
          <w:szCs w:val="16"/>
          <w:i w:val="1"/>
          <w:iCs w:val="1"/>
          <w:color w:val="auto"/>
        </w:rPr>
        <w:t xml:space="preserve">Study 11-011: A Phase 1 Study of Convection-Enhanced Delivery of </w:t>
      </w:r>
      <w:r>
        <w:rPr>
          <w:rFonts w:ascii="Arial" w:cs="Arial" w:eastAsia="Arial" w:hAnsi="Arial"/>
          <w:sz w:val="23"/>
          <w:szCs w:val="23"/>
          <w:i w:val="1"/>
          <w:iCs w:val="1"/>
          <w:color w:val="auto"/>
          <w:vertAlign w:val="superscript"/>
        </w:rPr>
        <w:t>124</w:t>
      </w:r>
      <w:r>
        <w:rPr>
          <w:rFonts w:ascii="Arial" w:cs="Arial" w:eastAsia="Arial" w:hAnsi="Arial"/>
          <w:sz w:val="16"/>
          <w:szCs w:val="16"/>
          <w:i w:val="1"/>
          <w:iCs w:val="1"/>
          <w:color w:val="auto"/>
        </w:rPr>
        <w:t>I-omburtamab for Patients with Non-Progressive Diffuse Pontine Gliomas Previously Treated with External Beam Radiation Therapy</w:t>
      </w:r>
    </w:p>
    <w:p>
      <w:pPr>
        <w:spacing w:after="0" w:line="181" w:lineRule="exact"/>
        <w:rPr>
          <w:sz w:val="20"/>
          <w:szCs w:val="20"/>
          <w:color w:val="auto"/>
        </w:rPr>
      </w:pPr>
    </w:p>
    <w:p>
      <w:pPr>
        <w:ind w:left="60" w:right="379" w:firstLine="648"/>
        <w:spacing w:after="0" w:line="231" w:lineRule="auto"/>
        <w:rPr>
          <w:sz w:val="20"/>
          <w:szCs w:val="20"/>
          <w:color w:val="auto"/>
        </w:rPr>
      </w:pPr>
      <w:r>
        <w:rPr>
          <w:rFonts w:ascii="Arial" w:cs="Arial" w:eastAsia="Arial" w:hAnsi="Arial"/>
          <w:sz w:val="18"/>
          <w:szCs w:val="18"/>
          <w:color w:val="auto"/>
        </w:rPr>
        <w:t xml:space="preserve">MSK is conducting a Phase 1, dose escalation study of convection enhanced delivery, or CED, of </w:t>
      </w:r>
      <w:r>
        <w:rPr>
          <w:rFonts w:ascii="Arial" w:cs="Arial" w:eastAsia="Arial" w:hAnsi="Arial"/>
          <w:sz w:val="26"/>
          <w:szCs w:val="26"/>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January 2021, 46 patients had been enrolled. We expect to enroll a total of 56 patients.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139" w:firstLine="648"/>
        <w:spacing w:after="0" w:line="237" w:lineRule="auto"/>
        <w:rPr>
          <w:sz w:val="20"/>
          <w:szCs w:val="20"/>
          <w:color w:val="auto"/>
        </w:rPr>
      </w:pPr>
      <w:r>
        <w:rPr>
          <w:rFonts w:ascii="Arial" w:cs="Arial" w:eastAsia="Arial" w:hAnsi="Arial"/>
          <w:sz w:val="16"/>
          <w:szCs w:val="16"/>
          <w:color w:val="auto"/>
        </w:rPr>
        <w:t xml:space="preserve">The intervention is a surgical procedure using interstitial infusion of </w:t>
      </w:r>
      <w:r>
        <w:rPr>
          <w:rFonts w:ascii="Arial" w:cs="Arial" w:eastAsia="Arial" w:hAnsi="Arial"/>
          <w:sz w:val="23"/>
          <w:szCs w:val="23"/>
          <w:color w:val="auto"/>
          <w:vertAlign w:val="superscript"/>
        </w:rPr>
        <w:t>124</w:t>
      </w:r>
      <w:r>
        <w:rPr>
          <w:rFonts w:ascii="Arial" w:cs="Arial" w:eastAsia="Arial" w:hAnsi="Arial"/>
          <w:sz w:val="16"/>
          <w:szCs w:val="16"/>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3"/>
          <w:szCs w:val="23"/>
          <w:color w:val="auto"/>
          <w:vertAlign w:val="superscript"/>
        </w:rPr>
        <w:t>124</w:t>
      </w:r>
      <w:r>
        <w:rPr>
          <w:rFonts w:ascii="Arial" w:cs="Arial" w:eastAsia="Arial" w:hAnsi="Arial"/>
          <w:sz w:val="16"/>
          <w:szCs w:val="16"/>
          <w:color w:val="auto"/>
        </w:rPr>
        <w:t>I-omburtamab, which was initially administered at doses ranging from 0.25 mCi to 4.0 mCi. Study 11-011 was subsequently amended for further dose escalation cohorts (using 6, 8, 10 and 12 mCi/injection, respectively).</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1040" w:hanging="315"/>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To determine the MTD of </w:t>
      </w:r>
      <w:r>
        <w:rPr>
          <w:rFonts w:ascii="Arial" w:cs="Arial" w:eastAsia="Arial" w:hAnsi="Arial"/>
          <w:sz w:val="25"/>
          <w:szCs w:val="25"/>
          <w:color w:val="auto"/>
          <w:vertAlign w:val="superscript"/>
        </w:rPr>
        <w:t>124</w:t>
      </w:r>
      <w:r>
        <w:rPr>
          <w:rFonts w:ascii="Arial" w:cs="Arial" w:eastAsia="Arial" w:hAnsi="Arial"/>
          <w:sz w:val="17"/>
          <w:szCs w:val="17"/>
          <w:color w:val="auto"/>
        </w:rPr>
        <w:t>I-omburtamab administered via interstitial infusion in patients with DIPG.</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15" w:lineRule="exact"/>
        <w:rPr>
          <w:sz w:val="20"/>
          <w:szCs w:val="20"/>
          <w:color w:val="auto"/>
        </w:rPr>
      </w:pPr>
    </w:p>
    <w:p>
      <w:pPr>
        <w:ind w:left="1040" w:right="659" w:hanging="315"/>
        <w:spacing w:after="0" w:line="216"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To estimate tissue radiation doses and volumes of therapeutic distribution following </w:t>
      </w:r>
      <w:r>
        <w:rPr>
          <w:rFonts w:ascii="Arial" w:cs="Arial" w:eastAsia="Arial" w:hAnsi="Arial"/>
          <w:sz w:val="26"/>
          <w:szCs w:val="26"/>
          <w:color w:val="auto"/>
          <w:vertAlign w:val="superscript"/>
        </w:rPr>
        <w:t>124</w:t>
      </w:r>
      <w:r>
        <w:rPr>
          <w:rFonts w:ascii="Arial" w:cs="Arial" w:eastAsia="Arial" w:hAnsi="Arial"/>
          <w:sz w:val="18"/>
          <w:szCs w:val="18"/>
          <w:color w:val="auto"/>
        </w:rPr>
        <w:t>I-omburtamab interstitial infusion in the brainstem.</w:t>
      </w:r>
    </w:p>
    <w:p>
      <w:pPr>
        <w:spacing w:after="0" w:line="192"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To assess the toxicity profile associated with </w:t>
      </w:r>
      <w:r>
        <w:rPr>
          <w:rFonts w:ascii="Arial" w:cs="Arial" w:eastAsia="Arial" w:hAnsi="Arial"/>
          <w:sz w:val="25"/>
          <w:szCs w:val="25"/>
          <w:color w:val="auto"/>
          <w:vertAlign w:val="superscript"/>
        </w:rPr>
        <w:t>124</w:t>
      </w:r>
      <w:r>
        <w:rPr>
          <w:rFonts w:ascii="Arial" w:cs="Arial" w:eastAsia="Arial" w:hAnsi="Arial"/>
          <w:sz w:val="17"/>
          <w:szCs w:val="17"/>
          <w:color w:val="auto"/>
        </w:rPr>
        <w:t>I-omburtamab administered via CED to the brainstem.</w:t>
      </w:r>
    </w:p>
    <w:p>
      <w:pPr>
        <w:spacing w:after="0" w:line="154" w:lineRule="exact"/>
        <w:rPr>
          <w:rFonts w:ascii="Arial" w:cs="Arial" w:eastAsia="Arial" w:hAnsi="Arial"/>
          <w:sz w:val="17"/>
          <w:szCs w:val="17"/>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25"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explore radiological parameters such as magnetic resonance, or MR, spectroscopy and delta T2 as potential indicators of response.</w:t>
      </w:r>
    </w:p>
    <w:p>
      <w:pPr>
        <w:spacing w:after="0" w:line="170"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explore lesion dosimetry estimates obtained from serial PET/CT or PET/MR with clinical profile, performance status score and OS.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 xml:space="preserve">As noted above, data was published in Lancet Oncology (Souweidane et al., 2018) which demonstrated that CED appears to be a feasible approach for drug delivery in the brainstem of children with DIPG as evaluated by assessment of the distribution of the infusate and pharmacokinetics. As of November 2020, 46 patients had been enrolled. In Study 11-011, 8 subjects reported AEs of CTCAE Grade 3 considered related to </w:t>
      </w:r>
      <w:r>
        <w:rPr>
          <w:rFonts w:ascii="Arial" w:cs="Arial" w:eastAsia="Arial" w:hAnsi="Arial"/>
          <w:sz w:val="23"/>
          <w:szCs w:val="23"/>
          <w:color w:val="auto"/>
          <w:vertAlign w:val="superscript"/>
        </w:rPr>
        <w:t>124</w:t>
      </w:r>
      <w:r>
        <w:rPr>
          <w:rFonts w:ascii="Arial" w:cs="Arial" w:eastAsia="Arial" w:hAnsi="Arial"/>
          <w:sz w:val="16"/>
          <w:szCs w:val="16"/>
          <w:color w:val="auto"/>
        </w:rPr>
        <w:t>I-omburtamab. These were generally indicative of nervous system effects of radiation necrosis such as hemiparesis (3 subjects), dysarthria (3 subjects), ataxia (3 subjects), dysphagia (2 subjects), muscular weakness (2 subjects) and gait disturbance (1 subject). The remaining Grade 3, related events were skin infection, anxiety, and stridor (1 subject each). There were no related AEs CTCAE grade 4 or 5.</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Multi-Center Study</w:t>
      </w:r>
    </w:p>
    <w:p>
      <w:pPr>
        <w:spacing w:after="0" w:line="225" w:lineRule="exact"/>
        <w:rPr>
          <w:sz w:val="20"/>
          <w:szCs w:val="20"/>
          <w:color w:val="auto"/>
        </w:rPr>
      </w:pPr>
    </w:p>
    <w:p>
      <w:pPr>
        <w:ind w:left="60" w:right="159" w:firstLine="648"/>
        <w:spacing w:after="0" w:line="264" w:lineRule="auto"/>
        <w:rPr>
          <w:sz w:val="20"/>
          <w:szCs w:val="20"/>
          <w:color w:val="auto"/>
        </w:rPr>
      </w:pPr>
      <w:r>
        <w:rPr>
          <w:rFonts w:ascii="Arial" w:cs="Arial" w:eastAsia="Arial" w:hAnsi="Arial"/>
          <w:sz w:val="16"/>
          <w:szCs w:val="16"/>
          <w:color w:val="auto"/>
        </w:rPr>
        <w:t xml:space="preserve">We and the principal investigator for Study 11-011 are currently drafting a pivotal Phase 2 study based on the experiences from Study 11-011. This study will be a non-randomized, multi-center, Phase 2 trial using CED of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to the brainstem of children with DIPG. Each patient will have previously received external beam radiotherapy to the brainstem and will not have shown clear evidence of tumor progression following this radiotherapy. Diagnostic and eligibility decisions for patients entering the study will be made by a multidisciplinary pediatric neuro-oncology team at the treating site. Eligibility and surgical planning will be centrally reviewed. Patients may undergo up to three repeats of treatment using CED of </w:t>
      </w:r>
      <w:r>
        <w:rPr>
          <w:rFonts w:ascii="Arial" w:cs="Arial" w:eastAsia="Arial" w:hAnsi="Arial"/>
          <w:sz w:val="23"/>
          <w:szCs w:val="23"/>
          <w:color w:val="auto"/>
          <w:vertAlign w:val="superscript"/>
        </w:rPr>
        <w:t>131</w:t>
      </w:r>
      <w:r>
        <w:rPr>
          <w:rFonts w:ascii="Arial" w:cs="Arial" w:eastAsia="Arial" w:hAnsi="Arial"/>
          <w:sz w:val="16"/>
          <w:szCs w:val="16"/>
          <w:color w:val="auto"/>
        </w:rPr>
        <w:t>I-omburtamab. MRI and SPECT will be used for confirmation of appropriate drug distribution patterns. The primary endpoint will be OS and the secondary endpoints includes PFS and monitoring of distribution patterns using advanced MR-based algorithms. Perioperative morbidity, device performance (catheter for antibody delivery in pons), and patient tolerance after CED treatment will be monitored. Liquid biopsies (plasma and CSF samples) will be explored for ctDNA content as a correlate of tumor response.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6"/>
          <w:szCs w:val="26"/>
          <w:b w:val="1"/>
          <w:bCs w:val="1"/>
          <w:i w:val="1"/>
          <w:iCs w:val="1"/>
          <w:color w:val="auto"/>
          <w:vertAlign w:val="superscript"/>
        </w:rPr>
        <w:t>131</w:t>
      </w:r>
      <w:r>
        <w:rPr>
          <w:rFonts w:ascii="Arial" w:cs="Arial" w:eastAsia="Arial" w:hAnsi="Arial"/>
          <w:sz w:val="18"/>
          <w:szCs w:val="18"/>
          <w:b w:val="1"/>
          <w:bCs w:val="1"/>
          <w:i w:val="1"/>
          <w:iCs w:val="1"/>
          <w:color w:val="auto"/>
        </w:rPr>
        <w:t>I-omburtamab for Treatment of Desmoplastic Small Round Cell Tumor</w:t>
      </w:r>
    </w:p>
    <w:p>
      <w:pPr>
        <w:spacing w:after="0" w:line="133"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23"/>
          <w:szCs w:val="23"/>
          <w:color w:val="auto"/>
          <w:vertAlign w:val="superscript"/>
        </w:rPr>
        <w:t>131</w:t>
      </w:r>
      <w:r>
        <w:rPr>
          <w:rFonts w:ascii="Arial" w:cs="Arial" w:eastAsia="Arial" w:hAnsi="Arial"/>
          <w:sz w:val="16"/>
          <w:szCs w:val="16"/>
          <w:color w:val="auto"/>
        </w:rPr>
        <w:t>I-omburtamab has been evaluated in a Phase 1 clinical study (Study 09-090) for the treatment of DSRCT. In the data from 48 patients presented in November 2019, no DLTs were observed and a MTD was not reached. In addition, there was no significant myelosuppression and stem cell rescue was not required. We believe that we may qualify for a sBLA, assuming positive pivotal data. A Phase 2 study (Study 19-182) for the treatment of DSRCT is also ongoing.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 We believe the current addressable market for DSRCT consists of approximately 160 new DSRCT patients each year, representing approximately 65% of all new patients diagnosed with DSRCT in the United States and Europe, combined.</w:t>
      </w:r>
    </w:p>
    <w:p>
      <w:pPr>
        <w:spacing w:after="0" w:line="158" w:lineRule="exact"/>
        <w:rPr>
          <w:sz w:val="20"/>
          <w:szCs w:val="20"/>
          <w:color w:val="auto"/>
        </w:rPr>
      </w:pPr>
    </w:p>
    <w:p>
      <w:pPr>
        <w:ind w:left="1020" w:right="519" w:hanging="323"/>
        <w:spacing w:after="0" w:line="216" w:lineRule="auto"/>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203"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78"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33" w:lineRule="exact"/>
        <w:rPr>
          <w:sz w:val="20"/>
          <w:szCs w:val="20"/>
          <w:color w:val="auto"/>
        </w:rPr>
      </w:pPr>
    </w:p>
    <w:p>
      <w:pPr>
        <w:ind w:left="60" w:right="99" w:firstLine="648"/>
        <w:spacing w:after="0" w:line="261" w:lineRule="auto"/>
        <w:rPr>
          <w:sz w:val="20"/>
          <w:szCs w:val="20"/>
          <w:color w:val="auto"/>
        </w:rPr>
      </w:pPr>
      <w:r>
        <w:rPr>
          <w:rFonts w:ascii="Arial" w:cs="Arial" w:eastAsia="Arial" w:hAnsi="Arial"/>
          <w:sz w:val="23"/>
          <w:szCs w:val="23"/>
          <w:color w:val="auto"/>
          <w:vertAlign w:val="superscript"/>
        </w:rPr>
        <w:t>131</w:t>
      </w:r>
      <w:r>
        <w:rPr>
          <w:rFonts w:ascii="Arial" w:cs="Arial" w:eastAsia="Arial" w:hAnsi="Arial"/>
          <w:sz w:val="16"/>
          <w:szCs w:val="16"/>
          <w:color w:val="auto"/>
        </w:rPr>
        <w:t>I-omburtamab is being evaluated from a completed clinical Phase 1 study (Study 09-090) for the treatment of DSRCT. A Phase 2 study (Study 19-182) for the treatment of DSRCT is ongoing. We intend to discuss the protocol for this study (Study 19-182) with the FDA and we believe that we may qualify for a sBLA, assuming positive pivotal data.</w:t>
      </w:r>
    </w:p>
    <w:p>
      <w:pPr>
        <w:spacing w:after="0" w:line="176" w:lineRule="exact"/>
        <w:rPr>
          <w:sz w:val="20"/>
          <w:szCs w:val="20"/>
          <w:color w:val="auto"/>
        </w:rPr>
      </w:pPr>
    </w:p>
    <w:p>
      <w:pPr>
        <w:ind w:left="1020" w:right="419" w:hanging="323"/>
        <w:spacing w:after="0" w:line="226" w:lineRule="auto"/>
        <w:rPr>
          <w:sz w:val="20"/>
          <w:szCs w:val="20"/>
          <w:color w:val="auto"/>
        </w:rPr>
      </w:pPr>
      <w:r>
        <w:rPr>
          <w:rFonts w:ascii="Arial" w:cs="Arial" w:eastAsia="Arial" w:hAnsi="Arial"/>
          <w:sz w:val="17"/>
          <w:szCs w:val="17"/>
          <w:i w:val="1"/>
          <w:iCs w:val="1"/>
          <w:color w:val="auto"/>
        </w:rPr>
        <w:t xml:space="preserve">Study 09-090: Phase 1 Study of Intraperitoneal Radioimmunotherapy with </w:t>
      </w:r>
      <w:r>
        <w:rPr>
          <w:rFonts w:ascii="Arial" w:cs="Arial" w:eastAsia="Arial" w:hAnsi="Arial"/>
          <w:sz w:val="25"/>
          <w:szCs w:val="25"/>
          <w:i w:val="1"/>
          <w:iCs w:val="1"/>
          <w:color w:val="auto"/>
          <w:vertAlign w:val="superscript"/>
        </w:rPr>
        <w:t>131</w:t>
      </w:r>
      <w:r>
        <w:rPr>
          <w:rFonts w:ascii="Arial" w:cs="Arial" w:eastAsia="Arial" w:hAnsi="Arial"/>
          <w:sz w:val="17"/>
          <w:szCs w:val="17"/>
          <w:i w:val="1"/>
          <w:iCs w:val="1"/>
          <w:color w:val="auto"/>
        </w:rPr>
        <w:t>I-omburtamab for Patients with Desmoplastic Small Round Cell Tumors and Other Solid Tumors Involving the Peritoneum</w:t>
      </w:r>
    </w:p>
    <w:p>
      <w:pPr>
        <w:spacing w:after="0" w:line="193"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 xml:space="preserve">MSK has completed a clinical study of IP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has completed accrual and 47 patients have been exposed. Data from this study was presented at the 2019 Connective Tissue Oncology Society annual meeting in November 2019 based on an evaluation of 33 Gross Total Resection, or GTR, patients treated at MSK from 2009 to 2017. A total of 24 patients received Whole Abdominalpelvic Intensity-Modulated RadioTherapy, or WA-IMRT, in combination with omburtamab Interperitoneal Radio Immunotherapy, or IP-RIT, and nine patients received WA-IMRT without omburtamab IP-RIT. The study showed a median OS of 41 months for the DSRCT patients who did not receive omburtamab IP-RIT and 59 months for those receiving omburtamab IP-RIT. The data indicates that adding IP-RIT with iodinated omburtamab to the standard WA-IMRT treatment appears to be well tolerated.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219" w:firstLine="648"/>
        <w:spacing w:after="0" w:line="222" w:lineRule="auto"/>
        <w:rPr>
          <w:sz w:val="20"/>
          <w:szCs w:val="20"/>
          <w:color w:val="auto"/>
        </w:rPr>
      </w:pPr>
      <w:r>
        <w:rPr>
          <w:rFonts w:ascii="Arial" w:cs="Arial" w:eastAsia="Arial" w:hAnsi="Arial"/>
          <w:sz w:val="18"/>
          <w:szCs w:val="18"/>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6"/>
          <w:szCs w:val="26"/>
          <w:color w:val="auto"/>
          <w:vertAlign w:val="superscript"/>
        </w:rPr>
        <w:t>131</w:t>
      </w:r>
      <w:r>
        <w:rPr>
          <w:rFonts w:ascii="Arial" w:cs="Arial" w:eastAsia="Arial" w:hAnsi="Arial"/>
          <w:sz w:val="18"/>
          <w:szCs w:val="18"/>
          <w:color w:val="auto"/>
        </w:rPr>
        <w:t>I-omburtamab reactive DSCRT or solid tumors that involve the peritoneum.</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159" w:firstLine="648"/>
        <w:spacing w:after="0" w:line="209" w:lineRule="auto"/>
        <w:rPr>
          <w:sz w:val="20"/>
          <w:szCs w:val="20"/>
          <w:color w:val="auto"/>
        </w:rPr>
      </w:pPr>
      <w:r>
        <w:rPr>
          <w:rFonts w:ascii="Arial" w:cs="Arial" w:eastAsia="Arial" w:hAnsi="Arial"/>
          <w:sz w:val="18"/>
          <w:szCs w:val="18"/>
          <w:color w:val="auto"/>
        </w:rPr>
        <w:t xml:space="preserve">The study was designed as an open-label single-arm dose escalation study to evaluate IP </w:t>
      </w:r>
      <w:r>
        <w:rPr>
          <w:rFonts w:ascii="Arial" w:cs="Arial" w:eastAsia="Arial" w:hAnsi="Arial"/>
          <w:sz w:val="26"/>
          <w:szCs w:val="26"/>
          <w:color w:val="auto"/>
          <w:vertAlign w:val="superscript"/>
        </w:rPr>
        <w:t>131</w:t>
      </w:r>
      <w:r>
        <w:rPr>
          <w:rFonts w:ascii="Arial" w:cs="Arial" w:eastAsia="Arial" w:hAnsi="Arial"/>
          <w:sz w:val="18"/>
          <w:szCs w:val="18"/>
          <w:color w:val="auto"/>
        </w:rPr>
        <w:t>I-omburtamab, which was administered at doses ranging from 30 mCi/m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to 90 mCi/m</w:t>
      </w:r>
      <w:r>
        <w:rPr>
          <w:rFonts w:ascii="Arial" w:cs="Arial" w:eastAsia="Arial" w:hAnsi="Arial"/>
          <w:sz w:val="26"/>
          <w:szCs w:val="26"/>
          <w:color w:val="auto"/>
          <w:vertAlign w:val="superscript"/>
        </w:rPr>
        <w:t>2</w:t>
      </w:r>
      <w:r>
        <w:rPr>
          <w:rFonts w:ascii="Arial" w:cs="Arial" w:eastAsia="Arial" w:hAnsi="Arial"/>
          <w:sz w:val="18"/>
          <w:szCs w:val="18"/>
          <w:color w:val="auto"/>
        </w:rPr>
        <w:t>. The expansion cohort comprised an additional 10 patients who were dosed at 80 mCi/m</w:t>
      </w:r>
      <w:r>
        <w:rPr>
          <w:rFonts w:ascii="Arial" w:cs="Arial" w:eastAsia="Arial" w:hAnsi="Arial"/>
          <w:sz w:val="26"/>
          <w:szCs w:val="26"/>
          <w:color w:val="auto"/>
          <w:vertAlign w:val="superscript"/>
        </w:rPr>
        <w:t>2</w:t>
      </w:r>
      <w:r>
        <w:rPr>
          <w:rFonts w:ascii="Arial" w:cs="Arial" w:eastAsia="Arial" w:hAnsi="Arial"/>
          <w:sz w:val="18"/>
          <w:szCs w:val="18"/>
          <w:color w:val="auto"/>
        </w:rPr>
        <w:t>.</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define the toxicity and the MTD of IP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15"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assess pharmacokinetics for IP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133" w:lineRule="exact"/>
        <w:rPr>
          <w:rFonts w:ascii="Arial" w:cs="Arial" w:eastAsia="Arial" w:hAnsi="Arial"/>
          <w:sz w:val="18"/>
          <w:szCs w:val="18"/>
          <w:color w:val="auto"/>
        </w:rPr>
      </w:pPr>
    </w:p>
    <w:p>
      <w:pPr>
        <w:ind w:left="60" w:right="2439" w:firstLine="665"/>
        <w:spacing w:after="0" w:line="414" w:lineRule="auto"/>
        <w:tabs>
          <w:tab w:leader="none" w:pos="10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assess response of DSRCT and other solid tumors to IP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u w:val="single" w:color="auto"/>
          <w:color w:val="auto"/>
        </w:rPr>
        <w:t>Safety Results</w:t>
      </w:r>
    </w:p>
    <w:p>
      <w:pPr>
        <w:spacing w:after="0" w:line="1" w:lineRule="exact"/>
        <w:rPr>
          <w:sz w:val="20"/>
          <w:szCs w:val="20"/>
          <w:color w:val="auto"/>
        </w:rPr>
      </w:pPr>
    </w:p>
    <w:p>
      <w:pPr>
        <w:ind w:left="60" w:right="179" w:firstLine="648"/>
        <w:spacing w:after="0" w:line="233" w:lineRule="auto"/>
        <w:rPr>
          <w:sz w:val="20"/>
          <w:szCs w:val="20"/>
          <w:color w:val="auto"/>
        </w:rPr>
      </w:pPr>
      <w:r>
        <w:rPr>
          <w:rFonts w:ascii="Arial" w:cs="Arial" w:eastAsia="Arial" w:hAnsi="Arial"/>
          <w:sz w:val="18"/>
          <w:szCs w:val="18"/>
          <w:color w:val="auto"/>
        </w:rPr>
        <w:t xml:space="preserve">In the data from 48 patients with DSRCT presented in November 2019, no DLTs were observed and a MTD was not reached. In addition, there was no significant myelosuppression and stem cell rescue was not required. Toxicity was overall low-grade and transient and mainly myelosuppression. No events of febrile neutropenia. We believe that the initial data from the first group of patients supports continued investigation of the benefit of </w:t>
      </w:r>
      <w:r>
        <w:rPr>
          <w:rFonts w:ascii="Arial" w:cs="Arial" w:eastAsia="Arial" w:hAnsi="Arial"/>
          <w:sz w:val="26"/>
          <w:szCs w:val="26"/>
          <w:color w:val="auto"/>
          <w:vertAlign w:val="superscript"/>
        </w:rPr>
        <w:t>131</w:t>
      </w:r>
      <w:r>
        <w:rPr>
          <w:rFonts w:ascii="Arial" w:cs="Arial" w:eastAsia="Arial" w:hAnsi="Arial"/>
          <w:sz w:val="18"/>
          <w:szCs w:val="18"/>
          <w:color w:val="auto"/>
        </w:rPr>
        <w:t>I-omburtamab in this patient population.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right="199" w:hanging="323"/>
        <w:spacing w:after="0" w:line="250" w:lineRule="auto"/>
        <w:rPr>
          <w:sz w:val="20"/>
          <w:szCs w:val="20"/>
          <w:color w:val="auto"/>
        </w:rPr>
      </w:pPr>
      <w:r>
        <w:rPr>
          <w:rFonts w:ascii="Arial" w:cs="Arial" w:eastAsia="Arial" w:hAnsi="Arial"/>
          <w:sz w:val="16"/>
          <w:szCs w:val="16"/>
          <w:i w:val="1"/>
          <w:iCs w:val="1"/>
          <w:color w:val="auto"/>
        </w:rPr>
        <w:t xml:space="preserve">Study 19-182: A Phase 2 Study - Combination of </w:t>
      </w:r>
      <w:r>
        <w:rPr>
          <w:rFonts w:ascii="Arial" w:cs="Arial" w:eastAsia="Arial" w:hAnsi="Arial"/>
          <w:sz w:val="23"/>
          <w:szCs w:val="23"/>
          <w:i w:val="1"/>
          <w:iCs w:val="1"/>
          <w:color w:val="auto"/>
          <w:vertAlign w:val="superscript"/>
        </w:rPr>
        <w:t>131</w:t>
      </w:r>
      <w:r>
        <w:rPr>
          <w:rFonts w:ascii="Arial" w:cs="Arial" w:eastAsia="Arial" w:hAnsi="Arial"/>
          <w:sz w:val="16"/>
          <w:szCs w:val="16"/>
          <w:i w:val="1"/>
          <w:iCs w:val="1"/>
          <w:color w:val="auto"/>
        </w:rPr>
        <w:t>I-omburtamab Radioimmunotherapy and External Beam Radiotherapy for Desmoplastic Small Round Cell Tumors and Other Solid Tumors involving the Peritonuem</w:t>
      </w:r>
    </w:p>
    <w:p>
      <w:pPr>
        <w:spacing w:after="0" w:line="181"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 xml:space="preserve">This is an ongoing Phase 2 clinical study of IP RIT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plus WA-IMRT for patients with DSRCT who have undergone gross total resection, or GTR, of their abdominopelvic disease (as assessed by the operating surgeon and documented in the OR note) and who have no definitive radiological evidence of disease in liver or outside the abdomen/pelvis (Group A). Patients with DSRCT without GTR (Group B); and patients with tumors other that DSRCT who are B7H3-positive on immunohistochemistry (Group C) will receive only IP </w:t>
      </w:r>
      <w:r>
        <w:rPr>
          <w:rFonts w:ascii="Arial" w:cs="Arial" w:eastAsia="Arial" w:hAnsi="Arial"/>
          <w:sz w:val="25"/>
          <w:szCs w:val="25"/>
          <w:color w:val="auto"/>
          <w:vertAlign w:val="superscript"/>
        </w:rPr>
        <w:t>131</w:t>
      </w:r>
      <w:r>
        <w:rPr>
          <w:rFonts w:ascii="Arial" w:cs="Arial" w:eastAsia="Arial" w:hAnsi="Arial"/>
          <w:sz w:val="17"/>
          <w:szCs w:val="17"/>
          <w:color w:val="auto"/>
        </w:rPr>
        <w:t>I- omburtamab.</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January 2021, 7 patients have been enrolled in this study.</w:t>
      </w:r>
    </w:p>
    <w:p>
      <w:pPr>
        <w:spacing w:after="0" w:line="215" w:lineRule="exact"/>
        <w:rPr>
          <w:sz w:val="20"/>
          <w:szCs w:val="20"/>
          <w:color w:val="auto"/>
        </w:rPr>
      </w:pPr>
    </w:p>
    <w:p>
      <w:pPr>
        <w:ind w:left="60" w:right="139" w:firstLine="648"/>
        <w:spacing w:after="0" w:line="202" w:lineRule="auto"/>
        <w:rPr>
          <w:sz w:val="20"/>
          <w:szCs w:val="20"/>
          <w:color w:val="auto"/>
        </w:rPr>
      </w:pPr>
      <w:r>
        <w:rPr>
          <w:rFonts w:ascii="Arial" w:cs="Arial" w:eastAsia="Arial" w:hAnsi="Arial"/>
          <w:sz w:val="18"/>
          <w:szCs w:val="18"/>
          <w:color w:val="auto"/>
        </w:rPr>
        <w:t xml:space="preserve">All patients will be administered a single dose of IP RIT administered through an IP catheter with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at a dose of 80mCi/m2.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pharmacokinetics will be studied by a blood draw from indwelling venous lines.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biodistribution will be studied by a single gamma camera scan 5-7 days after IP injection where feasible. Thyroid protection is commenced at least 7 days prior to administration of the </w:t>
      </w:r>
      <w:r>
        <w:rPr>
          <w:rFonts w:ascii="Arial" w:cs="Arial" w:eastAsia="Arial" w:hAnsi="Arial"/>
          <w:sz w:val="26"/>
          <w:szCs w:val="26"/>
          <w:color w:val="auto"/>
          <w:vertAlign w:val="superscript"/>
        </w:rPr>
        <w:t>131</w:t>
      </w:r>
      <w:r>
        <w:rPr>
          <w:rFonts w:ascii="Arial" w:cs="Arial" w:eastAsia="Arial" w:hAnsi="Arial"/>
          <w:sz w:val="18"/>
          <w:szCs w:val="18"/>
          <w:color w:val="auto"/>
        </w:rPr>
        <w:t>I-omburtamab dose and continued for 28 days after. Group A patients will receive WA-IMRT approximately 2-4 weeks after completing IP-RIT. A dose of 30 Gy will be delivered in 20 fractions of 1.5 Gy given once daily, 5 days per week over the course of approximately 4 weeks.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In non-clinical studies evaluating the pharmacology and toxicology of omburtamab, no significant toxicity was observed in different species, including rats and non-human primates. Omburtamab has preferential affinity for a spectrum of cancerous tissues that express B7-H3, with minimal binding to normal tissues. Omburtamab specifically targets the B7-H3 protein on the surface of cancer cells. B7-H3 expression is restricted to the liver and adrenal glands, and absent in most other human tissues, notably the brain. We believe that the lack of cross reactivity with most normal human tissues, specifically within the brain, and the localized binding of omburtamab to the surface of cancer cells that express B7-H3, makes omburtamab a viable candidate for compartmental targeted radiotherapy.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6"/>
          <w:szCs w:val="26"/>
          <w:b w:val="1"/>
          <w:bCs w:val="1"/>
          <w:color w:val="auto"/>
          <w:vertAlign w:val="superscript"/>
        </w:rPr>
        <w:t>177</w:t>
      </w:r>
      <w:r>
        <w:rPr>
          <w:rFonts w:ascii="Arial" w:cs="Arial" w:eastAsia="Arial" w:hAnsi="Arial"/>
          <w:sz w:val="18"/>
          <w:szCs w:val="18"/>
          <w:b w:val="1"/>
          <w:bCs w:val="1"/>
          <w:color w:val="auto"/>
        </w:rPr>
        <w:t>Lu-omburtamab-DTPA Overview</w:t>
      </w:r>
    </w:p>
    <w:p>
      <w:pPr>
        <w:spacing w:after="0" w:line="145" w:lineRule="exact"/>
        <w:rPr>
          <w:sz w:val="20"/>
          <w:szCs w:val="20"/>
          <w:color w:val="auto"/>
        </w:rPr>
      </w:pPr>
    </w:p>
    <w:p>
      <w:pPr>
        <w:ind w:left="60" w:right="79" w:firstLine="648"/>
        <w:spacing w:after="0" w:line="235" w:lineRule="auto"/>
        <w:rPr>
          <w:sz w:val="20"/>
          <w:szCs w:val="20"/>
          <w:color w:val="auto"/>
        </w:rPr>
      </w:pPr>
      <w:r>
        <w:rPr>
          <w:rFonts w:ascii="Arial" w:cs="Arial" w:eastAsia="Arial" w:hAnsi="Arial"/>
          <w:sz w:val="18"/>
          <w:szCs w:val="18"/>
          <w:color w:val="auto"/>
        </w:rPr>
        <w:t xml:space="preserve">We intend to leverage our expertise with omburtamab to develop product candidates for the treatment of indications associated with pediatric and large adult patient populations. We believe that our clinical experience with </w:t>
      </w:r>
      <w:r>
        <w:rPr>
          <w:rFonts w:ascii="Arial" w:cs="Arial" w:eastAsia="Arial" w:hAnsi="Arial"/>
          <w:sz w:val="26"/>
          <w:szCs w:val="26"/>
          <w:color w:val="auto"/>
          <w:vertAlign w:val="superscript"/>
        </w:rPr>
        <w:t>131</w:t>
      </w:r>
      <w:r>
        <w:rPr>
          <w:rFonts w:ascii="Arial" w:cs="Arial" w:eastAsia="Arial" w:hAnsi="Arial"/>
          <w:sz w:val="18"/>
          <w:szCs w:val="18"/>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 in Phase 1 clinical development for the treatment of medulloblastoma and B7-H3 positive LM from solid tumors.</w:t>
      </w:r>
    </w:p>
    <w:p>
      <w:pPr>
        <w:spacing w:after="0" w:line="196"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6"/>
          <w:szCs w:val="16"/>
          <w:color w:val="auto"/>
        </w:rPr>
        <w:t xml:space="preserve">Animal toxicity studies of </w:t>
      </w:r>
      <w:r>
        <w:rPr>
          <w:rFonts w:ascii="Arial" w:cs="Arial" w:eastAsia="Arial" w:hAnsi="Arial"/>
          <w:sz w:val="23"/>
          <w:szCs w:val="23"/>
          <w:color w:val="auto"/>
          <w:vertAlign w:val="superscript"/>
        </w:rPr>
        <w:t>177</w:t>
      </w:r>
      <w:r>
        <w:rPr>
          <w:rFonts w:ascii="Arial" w:cs="Arial" w:eastAsia="Arial" w:hAnsi="Arial"/>
          <w:sz w:val="16"/>
          <w:szCs w:val="16"/>
          <w:color w:val="auto"/>
        </w:rPr>
        <w:t xml:space="preserve">Lu-omburtamab have been completed on current Good Laboratory Practices, or GLP, material and cGMP production has been established. Diethylenetriamine pentaacetate, or DTPA, is an organic molecule that acts as a chelator of metals such as Lutetium. DTPA can bind to radioactive materials to decrease the amount of time it takes to flush the radioactive material from the body. The resulting product candidate, omburtamab-DTPA-Lutetium-177 conjugate, or </w:t>
      </w:r>
      <w:r>
        <w:rPr>
          <w:rFonts w:ascii="Arial" w:cs="Arial" w:eastAsia="Arial" w:hAnsi="Arial"/>
          <w:sz w:val="23"/>
          <w:szCs w:val="23"/>
          <w:color w:val="auto"/>
          <w:vertAlign w:val="superscript"/>
        </w:rPr>
        <w:t>177</w:t>
      </w:r>
      <w:r>
        <w:rPr>
          <w:rFonts w:ascii="Arial" w:cs="Arial" w:eastAsia="Arial" w:hAnsi="Arial"/>
          <w:sz w:val="16"/>
          <w:szCs w:val="16"/>
          <w:color w:val="auto"/>
        </w:rPr>
        <w:t xml:space="preserve">Lu-omburtamab-DTPA, can be distributed directly to hospitals, already conjugated and ready to use. It may then be administered to patients as a single-step push dose via an indwelling catheter for intracerebroventricular drug delivery, similar to the administration of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in CNS/LM from NB. Therefore, we believe that a more easily available ready to use radiolabeled antibody such as </w:t>
      </w:r>
      <w:r>
        <w:rPr>
          <w:rFonts w:ascii="Arial" w:cs="Arial" w:eastAsia="Arial" w:hAnsi="Arial"/>
          <w:sz w:val="23"/>
          <w:szCs w:val="23"/>
          <w:color w:val="auto"/>
          <w:vertAlign w:val="superscript"/>
        </w:rPr>
        <w:t>177</w:t>
      </w:r>
      <w:r>
        <w:rPr>
          <w:rFonts w:ascii="Arial" w:cs="Arial" w:eastAsia="Arial" w:hAnsi="Arial"/>
          <w:sz w:val="16"/>
          <w:szCs w:val="16"/>
          <w:color w:val="auto"/>
        </w:rPr>
        <w:t>Lu-omburtamab-DTPA could be used more frequently, thereby significantly expanding our patient population beyond children.</w:t>
      </w:r>
    </w:p>
    <w:p>
      <w:pPr>
        <w:spacing w:after="0" w:line="199" w:lineRule="exact"/>
        <w:rPr>
          <w:sz w:val="20"/>
          <w:szCs w:val="20"/>
          <w:color w:val="auto"/>
        </w:rPr>
      </w:pPr>
    </w:p>
    <w:p>
      <w:pPr>
        <w:ind w:left="60" w:right="159" w:firstLine="648"/>
        <w:spacing w:after="0" w:line="217" w:lineRule="auto"/>
        <w:rPr>
          <w:sz w:val="20"/>
          <w:szCs w:val="20"/>
          <w:color w:val="auto"/>
        </w:rPr>
      </w:pPr>
      <w:r>
        <w:rPr>
          <w:rFonts w:ascii="Arial" w:cs="Arial" w:eastAsia="Arial" w:hAnsi="Arial"/>
          <w:sz w:val="18"/>
          <w:szCs w:val="18"/>
          <w:color w:val="auto"/>
        </w:rPr>
        <w:t xml:space="preserve">On December 31, 2019, we submitted an Investigational New Drug application, or IND, for </w:t>
      </w:r>
      <w:r>
        <w:rPr>
          <w:rFonts w:ascii="Arial" w:cs="Arial" w:eastAsia="Arial" w:hAnsi="Arial"/>
          <w:sz w:val="26"/>
          <w:szCs w:val="26"/>
          <w:color w:val="auto"/>
          <w:vertAlign w:val="superscript"/>
        </w:rPr>
        <w:t>177</w:t>
      </w:r>
      <w:r>
        <w:rPr>
          <w:rFonts w:ascii="Arial" w:cs="Arial" w:eastAsia="Arial" w:hAnsi="Arial"/>
          <w:sz w:val="18"/>
          <w:szCs w:val="18"/>
          <w:color w:val="auto"/>
        </w:rPr>
        <w:t xml:space="preserve">Lu-omburtamab-DTPA, for the treatment of medulloblastoma and we opened the IND for patients in October 2020. We expect to enroll the first patient in this Phase 1 trial in the first quarter of 2021. We have also opened a Phase 1 with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 targeting B7-H3 positive CNS/LM tumors in adults, and expect to enroll the first patient in this trial in the first quarter of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Overview of B7-H3 Positive Central Nervous System/Leptomeningeal Metastases from Solid Tumors</w:t>
      </w:r>
    </w:p>
    <w:p>
      <w:pPr>
        <w:spacing w:after="0" w:line="237"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Based on autopsy studies, the incidence of metastatic brain tumors is estimated to be 200,000 to 300,000 people per year. Studies have shown that the most common tumors, which metastasize to the brain express B7-H3.</w:t>
      </w:r>
    </w:p>
    <w:p>
      <w:pPr>
        <w:spacing w:after="0" w:line="187"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71"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49"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74" w:lineRule="exact"/>
        <w:rPr>
          <w:sz w:val="20"/>
          <w:szCs w:val="20"/>
          <w:color w:val="auto"/>
        </w:rPr>
      </w:pPr>
    </w:p>
    <w:p>
      <w:pPr>
        <w:ind w:left="700" w:right="99" w:firstLine="34"/>
        <w:spacing w:after="0" w:line="216" w:lineRule="auto"/>
        <w:rPr>
          <w:sz w:val="20"/>
          <w:szCs w:val="20"/>
          <w:color w:val="auto"/>
        </w:rPr>
      </w:pPr>
      <w:r>
        <w:rPr>
          <w:rFonts w:ascii="Arial" w:cs="Arial" w:eastAsia="Arial" w:hAnsi="Arial"/>
          <w:sz w:val="26"/>
          <w:szCs w:val="26"/>
          <w:i w:val="1"/>
          <w:iCs w:val="1"/>
          <w:color w:val="auto"/>
          <w:vertAlign w:val="superscript"/>
        </w:rPr>
        <w:t>177</w:t>
      </w:r>
      <w:r>
        <w:rPr>
          <w:rFonts w:ascii="Arial" w:cs="Arial" w:eastAsia="Arial" w:hAnsi="Arial"/>
          <w:sz w:val="18"/>
          <w:szCs w:val="18"/>
          <w:i w:val="1"/>
          <w:iCs w:val="1"/>
          <w:color w:val="auto"/>
        </w:rPr>
        <w:t>Lu-omburtamab-DTPA in Central Nervous System/Leptomeningeal Metastases—Current Treatment Landscape and Associated Limitations</w:t>
      </w:r>
    </w:p>
    <w:p>
      <w:pPr>
        <w:spacing w:after="0" w:line="203"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Treatment of most patients with CNS/LM requires a combination of surgery, radiation, and/or chemotherapy. However, CNS/LM has proven difficult to treat due to the localization of the tumor within the leptomeningeal surfaces of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25"/>
          <w:szCs w:val="25"/>
          <w:i w:val="1"/>
          <w:iCs w:val="1"/>
          <w:color w:val="auto"/>
          <w:vertAlign w:val="superscript"/>
        </w:rPr>
        <w:t>177</w:t>
      </w:r>
      <w:r>
        <w:rPr>
          <w:rFonts w:ascii="Arial" w:cs="Arial" w:eastAsia="Arial" w:hAnsi="Arial"/>
          <w:sz w:val="17"/>
          <w:szCs w:val="17"/>
          <w:i w:val="1"/>
          <w:iCs w:val="1"/>
          <w:color w:val="auto"/>
        </w:rPr>
        <w:t>Lu-omburtamab-DTPA in Central Nervous System/Leptomeningeal Metastases—Mechanism of Action</w:t>
      </w:r>
    </w:p>
    <w:p>
      <w:pPr>
        <w:spacing w:after="0" w:line="154"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6"/>
          <w:szCs w:val="16"/>
          <w:color w:val="auto"/>
        </w:rPr>
        <w:t xml:space="preserve">We are developing a Lutetium-177 conjugated omburtamab with DTPA as chelator. 177Lu-omburtamab-DTPA will be administered to patients as a single-step push dose via an indwelling catheter for intracerebroventricular drug delivery, similar to the administration of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in CNS/LM from NB. This form of administration will allow us to bypass the blood 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 compound. Lutetium-177 is bound to omburtamab by DTPA. The resulting product </w:t>
      </w:r>
      <w:r>
        <w:rPr>
          <w:rFonts w:ascii="Arial" w:cs="Arial" w:eastAsia="Arial" w:hAnsi="Arial"/>
          <w:sz w:val="23"/>
          <w:szCs w:val="23"/>
          <w:color w:val="auto"/>
          <w:vertAlign w:val="superscript"/>
        </w:rPr>
        <w:t>177</w:t>
      </w:r>
      <w:r>
        <w:rPr>
          <w:rFonts w:ascii="Arial" w:cs="Arial" w:eastAsia="Arial" w:hAnsi="Arial"/>
          <w:sz w:val="16"/>
          <w:szCs w:val="16"/>
          <w:color w:val="auto"/>
        </w:rPr>
        <w:t>Lu-omburtamab-DTPA conjugate can be distributed ready to use. Lutathera, a Lutetium-177-DOTA conjugated somatostatin analogue peptide, has already demonstrated significant clinical efficacy in patients with progressive neuro endocrine tumors, or NETs, and is approved by the EMA and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184"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believe Lutetium-177 may have a number of potential advantages over both Iodine-131 and Iodine-124. In particular, the radiolabeling of omburtamab with Lutetium-177 involves a relatively simple one-step procedure and can be distributed conjugated ready to use.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119" w:firstLine="648"/>
        <w:spacing w:after="0" w:line="216" w:lineRule="auto"/>
        <w:rPr>
          <w:sz w:val="20"/>
          <w:szCs w:val="20"/>
          <w:color w:val="auto"/>
        </w:rPr>
      </w:pPr>
      <w:r>
        <w:rPr>
          <w:rFonts w:ascii="Arial" w:cs="Arial" w:eastAsia="Arial" w:hAnsi="Arial"/>
          <w:sz w:val="18"/>
          <w:szCs w:val="18"/>
          <w:i w:val="1"/>
          <w:iCs w:val="1"/>
          <w:color w:val="auto"/>
        </w:rPr>
        <w:t xml:space="preserve">Study 302: </w:t>
      </w:r>
      <w:r>
        <w:rPr>
          <w:rFonts w:ascii="Arial" w:cs="Arial" w:eastAsia="Arial" w:hAnsi="Arial"/>
          <w:sz w:val="26"/>
          <w:szCs w:val="26"/>
          <w:i w:val="1"/>
          <w:iCs w:val="1"/>
          <w:color w:val="auto"/>
          <w:vertAlign w:val="superscript"/>
        </w:rPr>
        <w:t>177</w:t>
      </w:r>
      <w:r>
        <w:rPr>
          <w:rFonts w:ascii="Arial" w:cs="Arial" w:eastAsia="Arial" w:hAnsi="Arial"/>
          <w:sz w:val="18"/>
          <w:szCs w:val="18"/>
          <w:i w:val="1"/>
          <w:iCs w:val="1"/>
          <w:color w:val="auto"/>
        </w:rPr>
        <w:t>Lu-omburtamab-DTPA in Central Nervous System/Leptomeningeal Metastases from solid tumors in adults - Clinical Development Program</w:t>
      </w:r>
    </w:p>
    <w:p>
      <w:pPr>
        <w:spacing w:after="0" w:line="20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6"/>
          <w:szCs w:val="16"/>
          <w:color w:val="auto"/>
        </w:rPr>
        <w:t xml:space="preserve">The study is designed as an open label single arm, first in human, dose escalation and expansion study to evaluate safety and efficacy of </w:t>
      </w:r>
      <w:r>
        <w:rPr>
          <w:rFonts w:ascii="Arial" w:cs="Arial" w:eastAsia="Arial" w:hAnsi="Arial"/>
          <w:sz w:val="23"/>
          <w:szCs w:val="23"/>
          <w:color w:val="auto"/>
          <w:vertAlign w:val="superscript"/>
        </w:rPr>
        <w:t>177</w:t>
      </w:r>
      <w:r>
        <w:rPr>
          <w:rFonts w:ascii="Arial" w:cs="Arial" w:eastAsia="Arial" w:hAnsi="Arial"/>
          <w:sz w:val="16"/>
          <w:szCs w:val="16"/>
          <w:color w:val="auto"/>
        </w:rPr>
        <w:t>Lu-omburtamab-DTPA in adult patients with Central Nervous System/Leptomeningeal Metastases from solid tumors with B7-H3 expression. We plan to enroll up to 72 patients in this Phase 1/2 study which we anticipate to initiate in the first quarter of 2021 following the FDA clearance of the IND in October 2020.</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To explore the tolerability of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 include</w:t>
      </w:r>
    </w:p>
    <w:p>
      <w:pPr>
        <w:spacing w:after="0" w:line="215"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To assess absorbed radiation doses and organ dosimetry for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w:t>
      </w:r>
    </w:p>
    <w:p>
      <w:pPr>
        <w:spacing w:after="0" w:line="142"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evaluate the investigator assessed response, PFS and OS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Study 301: </w:t>
      </w:r>
      <w:r>
        <w:rPr>
          <w:rFonts w:ascii="Arial" w:cs="Arial" w:eastAsia="Arial" w:hAnsi="Arial"/>
          <w:sz w:val="26"/>
          <w:szCs w:val="26"/>
          <w:i w:val="1"/>
          <w:iCs w:val="1"/>
          <w:color w:val="auto"/>
          <w:vertAlign w:val="superscript"/>
        </w:rPr>
        <w:t>177</w:t>
      </w:r>
      <w:r>
        <w:rPr>
          <w:rFonts w:ascii="Arial" w:cs="Arial" w:eastAsia="Arial" w:hAnsi="Arial"/>
          <w:sz w:val="18"/>
          <w:szCs w:val="18"/>
          <w:i w:val="1"/>
          <w:iCs w:val="1"/>
          <w:color w:val="auto"/>
        </w:rPr>
        <w:t>Lu-omburtamab-DTPA in medulloblastoma - Clinical Development Program</w:t>
      </w:r>
    </w:p>
    <w:p>
      <w:pPr>
        <w:spacing w:after="0" w:line="143" w:lineRule="exact"/>
        <w:rPr>
          <w:sz w:val="20"/>
          <w:szCs w:val="20"/>
          <w:color w:val="auto"/>
        </w:rPr>
      </w:pPr>
    </w:p>
    <w:p>
      <w:pPr>
        <w:ind w:left="60" w:right="119" w:firstLine="648"/>
        <w:spacing w:after="0" w:line="229" w:lineRule="auto"/>
        <w:rPr>
          <w:sz w:val="20"/>
          <w:szCs w:val="20"/>
          <w:color w:val="auto"/>
        </w:rPr>
      </w:pPr>
      <w:r>
        <w:rPr>
          <w:rFonts w:ascii="Arial" w:cs="Arial" w:eastAsia="Arial" w:hAnsi="Arial"/>
          <w:sz w:val="18"/>
          <w:szCs w:val="18"/>
          <w:color w:val="auto"/>
        </w:rPr>
        <w:t xml:space="preserve">The study is designed as an open label single arm, first in human, dose escalation and expansion study to evaluate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 in patients with R/R medulloblastoma. We plan to enroll approximately 49 patients in this Phase 1/2 study which we anticipate to initiate in the first quarter of 2021 following the FDA clearance of the IND in October 2020.</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To explore the tolerability of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 include</w:t>
      </w:r>
    </w:p>
    <w:p>
      <w:pPr>
        <w:spacing w:after="0" w:line="215"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To assess absorbed radiation doses and organ dosimetry for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w:t>
      </w:r>
    </w:p>
    <w:p>
      <w:pPr>
        <w:spacing w:after="0" w:line="142"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evaluate the investigator assessed response PFS and OS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Humanized Omburtamab Overview</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are also developing huB7-H3, a humanized version of omburtamab, for the treatment of B7-H3 positive adult solid tumors where systemic immunotherapy is needed. We expect that huB7-H3 will be used as a radio-conjugated antibody designed to overcome limitations of murine antibodies that may induce HAMA, which may lead to decreased efficacy and increased toxicity when used for systemic immunotherapy.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Bispecific Antibody Programs Overview</w:t>
      </w:r>
    </w:p>
    <w:p>
      <w:pPr>
        <w:spacing w:after="0" w:line="22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are advancing a promising pipeline of novel bivalent tumor targeting BsAbs for the treatment of cancer. We believe that our BsAbs have the potential to overcome limitations associated with existing BsAb constructs. Our first BsAb clinical product candidate, nivatrotamab, is a humanized anti-GD2 and anti-CD3 BsAb. We have successfully opened an IND for our Phase 2 trial with nivatrotamab in Small Cell Lung Cancer. In addition a Phase 1/2 trial with nivatrotamab, for the treatment of refractory GD2 positive adult and pediatric solid tumors is ongoing.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Our second BsAb product candidate, CD33-BsAb, is a humanized anti-CD33 and anti-CD3 BsAb. We are in pre-clinical development for our CD33-BsAb product candidate for the treatment of CD33-positive hermatological cancers.</w:t>
      </w:r>
    </w:p>
    <w:p>
      <w:pPr>
        <w:spacing w:after="0" w:line="12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cancers. Moreover, BsAbs can be mass produced without the manufacturing complications and risk of persistent systemic toxicity associated with other new immunotherapy approaches such as CAR-T therapy.</w:t>
      </w:r>
    </w:p>
    <w:p>
      <w:pPr>
        <w:spacing w:after="0" w:line="196" w:lineRule="exact"/>
        <w:rPr>
          <w:sz w:val="20"/>
          <w:szCs w:val="20"/>
          <w:color w:val="auto"/>
        </w:rPr>
      </w:pPr>
    </w:p>
    <w:p>
      <w:pPr>
        <w:ind w:left="60" w:right="339" w:firstLine="648"/>
        <w:spacing w:after="0" w:line="286" w:lineRule="auto"/>
        <w:rPr>
          <w:sz w:val="20"/>
          <w:szCs w:val="20"/>
          <w:color w:val="auto"/>
        </w:rPr>
      </w:pPr>
      <w:r>
        <w:rPr>
          <w:rFonts w:ascii="Arial" w:cs="Arial" w:eastAsia="Arial" w:hAnsi="Arial"/>
          <w:sz w:val="17"/>
          <w:szCs w:val="17"/>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6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our conventional IgG-like BsAbs that bind bivalently. Finally, therapeutic dosing of BiTEs is limited by the risk of excessive cytokine release in patients.</w:t>
      </w:r>
    </w:p>
    <w:p>
      <w:pPr>
        <w:spacing w:after="0" w:line="192"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only approved BsAb for treatment of cancer in the United States is blinatumomab, a BiTE, approved for the treatment of acute lymphocytic leukemia.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Nivatrotamab Overview</w:t>
      </w:r>
    </w:p>
    <w:p>
      <w:pPr>
        <w:spacing w:after="0" w:line="225" w:lineRule="exact"/>
        <w:rPr>
          <w:sz w:val="20"/>
          <w:szCs w:val="20"/>
          <w:color w:val="auto"/>
        </w:rPr>
      </w:pPr>
    </w:p>
    <w:p>
      <w:pPr>
        <w:ind w:left="60" w:right="379" w:firstLine="648"/>
        <w:spacing w:after="0" w:line="311" w:lineRule="auto"/>
        <w:rPr>
          <w:sz w:val="20"/>
          <w:szCs w:val="20"/>
          <w:color w:val="auto"/>
        </w:rPr>
      </w:pPr>
      <w:r>
        <w:rPr>
          <w:rFonts w:ascii="Arial" w:cs="Arial" w:eastAsia="Arial" w:hAnsi="Arial"/>
          <w:sz w:val="16"/>
          <w:szCs w:val="16"/>
          <w:color w:val="auto"/>
        </w:rPr>
        <w:t>The figure below depicts our first BsAb product candidate, HuGD2-BsAb, or nivatrotamab, a fully humanized IgG-scFv format antibody, in which the anti-CD3 scFv is linked to the carboxyl end of the naxitamab IgG1 and the Fc region is mutated to help prevent cytokine release as well as complement-mediated pain side effects.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Nivatrotamab (anti-GD2 and anti-CD3)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154305</wp:posOffset>
            </wp:positionV>
            <wp:extent cx="1568450" cy="1234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845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that nivatrotamab may have several potential advantages over other BsAbs, including:</w:t>
      </w:r>
    </w:p>
    <w:p>
      <w:pPr>
        <w:spacing w:after="0" w:line="225"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Improved potency due to bivalency towards GD2, while maintaining functional monovalency towards CD3.</w:t>
      </w:r>
    </w:p>
    <w:p>
      <w:pPr>
        <w:spacing w:after="0" w:line="248" w:lineRule="exact"/>
        <w:rPr>
          <w:rFonts w:ascii="Arial" w:cs="Arial" w:eastAsia="Arial" w:hAnsi="Arial"/>
          <w:sz w:val="16"/>
          <w:szCs w:val="16"/>
          <w:color w:val="auto"/>
        </w:rPr>
      </w:pPr>
    </w:p>
    <w:p>
      <w:pPr>
        <w:ind w:left="1040" w:right="219" w:hanging="315"/>
        <w:spacing w:after="0" w:line="263"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serum half-life (as compared to e.g. BiTE) to improve efficacy and patient convenience—molecular size of 210kD (vs. 55kD size of blinatumomab) and binding to neonatal Fc receptor result in longer serum half-life, thereby reducing the need for continuous infusion.</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25" w:lineRule="exact"/>
        <w:rPr>
          <w:rFonts w:ascii="Arial" w:cs="Arial" w:eastAsia="Arial" w:hAnsi="Arial"/>
          <w:sz w:val="18"/>
          <w:szCs w:val="18"/>
          <w:color w:val="auto"/>
        </w:rPr>
      </w:pPr>
    </w:p>
    <w:p>
      <w:pPr>
        <w:ind w:left="1700" w:right="139" w:hanging="327"/>
        <w:spacing w:after="0" w:line="277" w:lineRule="auto"/>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 and</w:t>
      </w:r>
    </w:p>
    <w:p>
      <w:pPr>
        <w:spacing w:after="0" w:line="170" w:lineRule="exact"/>
        <w:rPr>
          <w:rFonts w:ascii="Arial" w:cs="Arial" w:eastAsia="Arial" w:hAnsi="Arial"/>
          <w:sz w:val="18"/>
          <w:szCs w:val="18"/>
          <w:color w:val="auto"/>
        </w:rPr>
      </w:pPr>
    </w:p>
    <w:p>
      <w:pPr>
        <w:ind w:left="1700" w:right="799" w:hanging="327"/>
        <w:spacing w:after="0" w:line="277" w:lineRule="auto"/>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w:t>
      </w:r>
    </w:p>
    <w:p>
      <w:pPr>
        <w:spacing w:after="0" w:line="170"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8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Mice, in a control group, treated with saline without effector cells (nivatrotamab only), or effector cells plus ATC+naxitamab-C825, used as the control BsAb and which does not bind to T-cells, had equally rapid tumor progression. In contrast, mice treated with nivatrotamab (huGD2-BsAb) in the presence of human effector cells (ATC+huGD2-BsAb or PBMC+huGD2-BsAb) demonstrated nearly total tumor elimination. The picture below is a representative image at day 31.</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760720" cy="3360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On December 10, 2018, the FDA cleared the IND application for nivatrotamab, and in January 2019, a Phase 1/2 trial was initiated at MSK for the treatment of refractory GD2 positive adult and pediatric solid tumors.</w:t>
      </w:r>
    </w:p>
    <w:p>
      <w:pPr>
        <w:spacing w:after="0" w:line="146" w:lineRule="exact"/>
        <w:rPr>
          <w:sz w:val="20"/>
          <w:szCs w:val="20"/>
          <w:color w:val="auto"/>
        </w:rPr>
      </w:pPr>
    </w:p>
    <w:p>
      <w:pPr>
        <w:ind w:left="60" w:right="1099" w:firstLine="648"/>
        <w:spacing w:after="0" w:line="277" w:lineRule="auto"/>
        <w:rPr>
          <w:sz w:val="20"/>
          <w:szCs w:val="20"/>
          <w:color w:val="auto"/>
        </w:rPr>
      </w:pPr>
      <w:r>
        <w:rPr>
          <w:rFonts w:ascii="Arial" w:cs="Arial" w:eastAsia="Arial" w:hAnsi="Arial"/>
          <w:sz w:val="18"/>
          <w:szCs w:val="18"/>
          <w:i w:val="1"/>
          <w:iCs w:val="1"/>
          <w:color w:val="auto"/>
        </w:rPr>
        <w:t>Study 18-034: Phase 1/2 study of humanized 3F8 bispecific antibody (Hu3F8-BsAb) in patients with relapsed/refractory neuroblastoma, osteosarcoma, and other GD2(+) solid tumors</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Study 18-034 is a Phase 1/2 single arm, dose escalation clinical trial of nivatrotamab. Dose escalation is performed in patients with R/R NB, osteosarcoma or other GD2-positive tumors. Cohort expansion will be conducted in R/R NB (group 1) and osteosarcoma (group 2). Up to 30 patients will enroll in Phase 1 and up to 64 patients will enroll in Phase 2. The Phase 1 endpoints include maximum tolerated dose, or MTD, the recommended Phase 2 dose, or RP2D, PK, HAHA, and anti tumor activity. For Phase 2, the endpoint will for group 1 (R/R NB) include ORR, duration of CR and OS and for group 2 (R/R Osteosarcoma) include PFS at four months, ORR, duration of CR and OS. Currently, no published safety data is available for this study.</w:t>
      </w:r>
    </w:p>
    <w:p>
      <w:pPr>
        <w:spacing w:after="0" w:line="19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On January 15, 2021, the FDA cleared a second IND application for nivatrotamab in relapsed/recurrent metastatic small-cell lung cancer (Study 402).</w:t>
      </w:r>
    </w:p>
    <w:p>
      <w:pPr>
        <w:spacing w:after="0" w:line="170" w:lineRule="exact"/>
        <w:rPr>
          <w:sz w:val="20"/>
          <w:szCs w:val="20"/>
          <w:color w:val="auto"/>
        </w:rPr>
      </w:pPr>
    </w:p>
    <w:p>
      <w:pPr>
        <w:ind w:left="60" w:right="1319" w:firstLine="648"/>
        <w:spacing w:after="0" w:line="277" w:lineRule="auto"/>
        <w:rPr>
          <w:sz w:val="20"/>
          <w:szCs w:val="20"/>
          <w:color w:val="auto"/>
        </w:rPr>
      </w:pPr>
      <w:r>
        <w:rPr>
          <w:rFonts w:ascii="Arial" w:cs="Arial" w:eastAsia="Arial" w:hAnsi="Arial"/>
          <w:sz w:val="18"/>
          <w:szCs w:val="18"/>
          <w:i w:val="1"/>
          <w:iCs w:val="1"/>
          <w:color w:val="auto"/>
        </w:rPr>
        <w:t>Study 402: Safety and clinical activity of nivatrotamab, an anti GD2×CD3 bispecific antibody, in relapsed/recurrent metastatic small-cell lung cancer</w:t>
      </w:r>
    </w:p>
    <w:p>
      <w:pPr>
        <w:spacing w:after="0" w:line="170"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Study 402 is a multicenter Phase 2 single arm, dose escalation clinical trial of nivatrotamab in relapsed/recurrent metastatic SCLC. Dose escalation is performed in up to 35 patients in Part 1 of the study and, in addition, approximately 30 patients will be enrolled in Part 2 of the study. Part 1 endpoints include MTD, RP2D, safety, PK, HAHA, and anti-tumor activity. For Part 2, the endpoint will include safety at RP2D, anti-tumor activity (ORR, DCR, duration of response, PFS and OS), and HAHA. Currently, no published safety data is available for this study.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CD33-BsAb Overview</w:t>
      </w:r>
    </w:p>
    <w:p>
      <w:pPr>
        <w:spacing w:after="0" w:line="225" w:lineRule="exact"/>
        <w:rPr>
          <w:sz w:val="20"/>
          <w:szCs w:val="20"/>
          <w:color w:val="auto"/>
        </w:rPr>
      </w:pPr>
    </w:p>
    <w:p>
      <w:pPr>
        <w:ind w:left="60" w:right="399" w:firstLine="648"/>
        <w:spacing w:after="0" w:line="286" w:lineRule="auto"/>
        <w:rPr>
          <w:sz w:val="20"/>
          <w:szCs w:val="20"/>
          <w:color w:val="auto"/>
        </w:rPr>
      </w:pPr>
      <w:r>
        <w:rPr>
          <w:rFonts w:ascii="Arial" w:cs="Arial" w:eastAsia="Arial" w:hAnsi="Arial"/>
          <w:sz w:val="17"/>
          <w:szCs w:val="17"/>
          <w:color w:val="auto"/>
        </w:rPr>
        <w:t>Our second BsAb product candidate, CD33-BsAb, is a humanized anti-CD33 and anti-CD3 BsAb for the treatment of hematological cancers expressing CD33, a transmembrane receptor expressed on cells of myeloid lineage. Currently we are planning to set up GLP and cGMP production allowing for potential IND filing in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GD2-GD3 Vaccine Overview</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Neuroectoderm-derived tumors, including NB and sarcomas, have high expression of tumor antigens GD2 and GD3. Our investigational bivalent GD2-GD3 Vaccine is being studied in a clinical Phase 2 study (Study 05-075) conducted at MSK for the immunization of high-risk NB patients previously treated with DANYELZA. The vaccine, in combination with adjuvants, is being studied to induce patients to produce their own anti-GD2 and anti-GD3 serum titers, with the goal of preventing subsequent relapse.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GD2-GD3 Vaccine —Clinical Development Program</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 Phase 2 study (Study 05-075) of the GD2-GD3 Vaccine with the immunological adjuvant OPT-821, in combination with oral ß-glucan for high-risk NB is being conducted at MSK. MSK has enrolled more than 260 patients in this study.</w:t>
      </w:r>
    </w:p>
    <w:p>
      <w:pPr>
        <w:spacing w:after="0" w:line="18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We are planning a multicenter, Phase 2 clinical study in relapsed, high-risk NB patients after obtaining complete response on salvage therapy. We plan to open this study in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MULTI-TAG Technology Overview</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17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 increasing serum half-life without the need for continuous infusion. The unique dimerized conformation, while binding bivalently to tumors, also binds monovalently to T-cells, which we believe, leads to limiting excessive cytokine release.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SADA Technology - Liquid Radiation</w:t>
      </w:r>
      <w:r>
        <w:rPr>
          <w:rFonts w:ascii="Arial" w:cs="Arial" w:eastAsia="Arial" w:hAnsi="Arial"/>
          <w:sz w:val="26"/>
          <w:szCs w:val="26"/>
          <w:b w:val="1"/>
          <w:bCs w:val="1"/>
          <w:color w:val="auto"/>
          <w:vertAlign w:val="superscript"/>
        </w:rPr>
        <w:t>TM</w:t>
      </w:r>
    </w:p>
    <w:p>
      <w:pPr>
        <w:spacing w:after="0" w:line="14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The SADA technology’s 2-step payload delivery can be achieved in an in-vitro setting, where tumors have been shown to shrink or completely disappear, while other tissues were spared. No clearing agent is needed, and no significant toxicity to bone marrow, kidneys or liver tissues has been observed. We believe that the SADA technology may allow for rapid clearance of the compound, while maintaining high target uptake, and thereby causing less immunogenicity. In addition, the SADA technology appears to be modular, whereby any DOTA-modified radioactive payload combined with any therapeutic antibody seems possible.</w:t>
      </w:r>
    </w:p>
    <w:p>
      <w:pPr>
        <w:spacing w:after="0" w:line="192" w:lineRule="exact"/>
        <w:rPr>
          <w:sz w:val="20"/>
          <w:szCs w:val="20"/>
          <w:color w:val="auto"/>
        </w:rPr>
      </w:pPr>
    </w:p>
    <w:p>
      <w:pPr>
        <w:ind w:left="60" w:right="179" w:firstLine="648"/>
        <w:spacing w:after="0" w:line="267" w:lineRule="auto"/>
        <w:rPr>
          <w:sz w:val="20"/>
          <w:szCs w:val="20"/>
          <w:color w:val="auto"/>
        </w:rPr>
      </w:pPr>
      <w:r>
        <w:rPr>
          <w:rFonts w:ascii="Arial" w:cs="Arial" w:eastAsia="Arial" w:hAnsi="Arial"/>
          <w:sz w:val="16"/>
          <w:szCs w:val="16"/>
          <w:color w:val="auto"/>
        </w:rPr>
        <w:t>We are using the SADA Technology to advance a series of antibody constructs based on the SADA technology, where bispecific antibody fragments bind to the tumor before a radioactive payload is injected in a two-step approach. We also refer to the SADA technology as Liquid Radiation</w:t>
      </w:r>
      <w:r>
        <w:rPr>
          <w:rFonts w:ascii="Arial" w:cs="Arial" w:eastAsia="Arial" w:hAnsi="Arial"/>
          <w:sz w:val="23"/>
          <w:szCs w:val="23"/>
          <w:color w:val="auto"/>
          <w:vertAlign w:val="superscript"/>
        </w:rPr>
        <w:t>TM</w:t>
      </w:r>
      <w:r>
        <w:rPr>
          <w:rFonts w:ascii="Arial" w:cs="Arial" w:eastAsia="Arial" w:hAnsi="Arial"/>
          <w:sz w:val="16"/>
          <w:szCs w:val="16"/>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w:t>
      </w:r>
    </w:p>
    <w:p>
      <w:pPr>
        <w:sectPr>
          <w:pgSz w:w="11900" w:h="16838" w:orient="portrait"/>
          <w:cols w:equalWidth="0" w:num="1">
            <w:col w:w="9019"/>
          </w:cols>
          <w:pgMar w:left="1440" w:top="51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GD2-SADA in 2021. We believe the SADA technology could potentially improve the efficacy of radiolabeled therapeutics in tumors that have not historically demonstrated meaningful responses to radiolabeled agents.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Currently, we contract with third party cGMP vendors for the manufacturing of our product candidates for pre-clinical studies, clinical trials and commercial supply. We do not currently own or operate any manufacturing facilities to produce clinical or commercial quantities of our product candidates. We currently have no plans to build our own clinical or commercial scale manufacturing capabilities. To meet our projected needs for commercial manufacturing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77"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Manufacturing clinical and commercial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w:t>
      </w:r>
    </w:p>
    <w:p>
      <w:pPr>
        <w:spacing w:after="0" w:line="176"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Our current product candidates are mainly manufactured based on well-established technology known from mAb products. These manufacturing processes involve the genetic engineering of a parental host cell line to isolate a cell that produces the target product. Once a cell line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76"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The drug substance is an active ingredient that is intended to furnish pharmacological activity or other direct effect in the diagnosis, cure, mitigation, treatment, or prevention of disease or to affect the structure or any function of the human body.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period of time and is then harvested by filtration to remove the cells from the culture media.</w:t>
      </w:r>
    </w:p>
    <w:p>
      <w:pPr>
        <w:spacing w:after="0" w:line="177"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The solution containing the product is purified through several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product specific release criteria for purity, potency and safety, and is then periodically tested to demonstrate stability upon storage as required by regulations. The drug substance is stored at prescribed temperatures, typically refrigerated or frozen.</w:t>
      </w:r>
    </w:p>
    <w:p>
      <w:pPr>
        <w:spacing w:after="0" w:line="19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drug product is produced by sterilization filtration of the drug substance solution, followed by aseptic filling into glass vials and then stoppered. The drug product is subjected to product specific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92"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DANYELZA is a recombinant humanized IgG1κ monoclonal antibody against GD2 expressed in Chinese Hamster Ovary, or CHO, cells. A one mL ampoule from the cell bank is used to establish material for seeding of 1,000 L fed batch bioreactor in chemical defined media with no animal derived component. After growth of the cells are completed the un-processed bulk from the bioreactor containing the DANYELZA drug substance undergoes clarification by filtration, and subsequent multi-step product purification. The DANYELZA drug substance is manufactured by Patheon Biologics B.V. in Groningen, The Netherlands and the DANYELZA drug product is manufactured at Patheon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Manufacturing Services LLC in Greenville, North Carolina, (both part of the Thermo Fisher Scientific Inc., group of companies) collectively Patheon/Thermo Fisher. All manufacturing activities are performed in compliance with cGMP regulations and no excipients of human or animal origin have been used. The DANYELZA drug product is packaged in 10 mL ISO 10R glass vials and refrigerated.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Omburtamab is a murine IgG1 monoclonal antibody against B7-H3. The antibody is manufactured in a</w:t>
      </w:r>
    </w:p>
    <w:p>
      <w:pPr>
        <w:spacing w:after="0" w:line="23"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200 L bioreactor in chemical defined media with no animal derived components. After clarification of the fermentation and a multi-step purification process as well as packaging, the drug substance is ready for filling. The non-radiolabeled omburtamab is filled in 2 mL ISO 2R glass vials and frozen and is ready for radiolabeling. The drug substance is manufactured by EMD Millipore Corporation (now part of the Merck KgaA group of companies), or EMD/Merck, in Martillac, France, and the non-radiolabeled omburtamab drug product is manufactured by Patheon/Thermo Fisher in Ferentino, Italy. Radiolabeling with Iodine-131 is performed at SpectronRx in South Bend, Indiana, USA, and final product is delivered for clinical trial or also later commercial supply, if approved.</w:t>
      </w:r>
    </w:p>
    <w:p>
      <w:pPr>
        <w:spacing w:after="0" w:line="180"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While we believe that Patheon/Thermo Fisher, EMD/Merck and SpectronRx are capable of producing sufficient quantities of drug product to support our clinical and commercial supply for DANYELZA and omburtamab, we also believe that there are a number of alternative third-party manufacturers that have similar capabilities that would be capable of providing sufficient quantities of drug product. However, should Patheon/Thermo Fisher, EMD/Merck and/or SpectronRx not be able to provide sufficient quantities of drug product for our planned clinical trials or commercial sales, we would be required to seek and then qualify another contract manufacturer to provide this drug product, likely resulting in a delay in such trials and loss of, or delayed, commercial sales.</w:t>
      </w:r>
    </w:p>
    <w:p>
      <w:pPr>
        <w:spacing w:after="0" w:line="177"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Our GD2-GD3 Vaccine is manufactured from natural sources and processed by chemical conjugation, lactonization and freeze drying into the final drug product. Currently the GD2-GD3 vaccine is manufactured at Magle Chemoswed AB in Malmoe, Sweden.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sales call points for DANYELZA and our late-stage product candidates in the United States and the European Union are highly concentrated. This enables us to effectively service our customers and call points with a small commercial organization. Both our targeted commercial go to market approach as well as our partnership with MSK, have already afforded us the opportunity to identify patients for DANYELZA and our product candidates, if approved. We believe these factors position us well for commercialization.</w:t>
      </w:r>
    </w:p>
    <w:p>
      <w:pPr>
        <w:spacing w:after="0" w:line="18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expand our specialty sales force and continue the development of our organizational infrastructure to support the network of relevant hospitals, cancer centers, oncologists and other physicians as well as continue to provide support to patients, care givers and other healthcare providers. We plan to commercialize our future product candidates in the United States and Europe ourselves, and will continue to evaluate strategic collaborations in select territories in order to maximize the potential of our product candidates.</w:t>
      </w:r>
    </w:p>
    <w:p>
      <w:pPr>
        <w:spacing w:after="0" w:line="19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 Partnerships</w:t>
      </w:r>
    </w:p>
    <w:p>
      <w:pPr>
        <w:spacing w:after="0" w:line="229"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After the approval of DANYELZA by the FDA, we have entered a number of strategic collaborations in the form of partnerships with select companies to maximize the potential value for the Company. In November 2020, we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BioPharma AG for the Eastern European territories Bosnia &amp; Herzegovina, Bulgaria, Croatia, Czech Republic, Estonia, Hungary, Latvia, Lithuania, Poland, Romania, Russia, Serbia, Slovakia and Slovenia. Finally, later in December 2020, we entered into a license agreement for DANYELZA and omburtamab with SciClone Pharmaceuticals International Ltd., for Greater China, including Mainland China, Taiwan, Hong Kong and Macau. Together with SciClone, we plan to initiate regulatory activities in the third quarter of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7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6"/>
          <w:szCs w:val="16"/>
          <w:color w:val="auto"/>
        </w:rPr>
        <w:t>Specifically, MacroGenics, Inc. and Daiichi Sankyo Co. are developing antibodies against B7-H3. United Therapeutics Corporation, or United Therapeutics, has commercialized Unituxin (dinutuximab), an antibody against GD2, in the United States and has announced plans to seek a label expansion for Unituxin in combination with irinotecan and temozolomide for the treatment of pediatric patients with R/R NB. During the third quarter of 2020, United Therapeutics discontinued its efforts to investigate Unituxin’s potential activity against adult cancerous tumors, and its efforts to develop a humanized version of Unituxin. In addition, DANYELZA may face competition from dinutuximab beta, a similar antibody product against GD2 developed by Apeiron Biologics AG, or Apeiron, that was approved in Europe in May 2017 to treat high-risk NB and R/R NB. In October 2016, EUSA Pharma (UK) Ltd., or EUSA, announced that it had acquired global commercialization rights to dinutuximab beta, which is currently being commercialized under the name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Europe. EUSA has previously announced plans to file for registration of dinutuximab beta in the United States in 2020 in R/R NB. In January 2020, EUSA and BeiGene Ltd., or BeiGene, announced an exclusive collaboration to commercialize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mainland China and in November 2020 EUSA and BeiGene announced that the BLA for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(Dinutuximab beta) was accepted by the China National Medical Products Administration and granted priority review.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9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have in-licensed numerous patents and patent applications and substantial know-how relating to the development and commercialization of our immunotherapy product candidates, including related manufacturing processes and technology. In addition, an international patent application has been filed claiming the inventions of investigators at MSK as well as personnel of Y-mAbs Therapeutics.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2020, our patent portfolio included:</w:t>
      </w:r>
    </w:p>
    <w:p>
      <w:pPr>
        <w:spacing w:after="0" w:line="225" w:lineRule="exact"/>
        <w:rPr>
          <w:sz w:val="20"/>
          <w:szCs w:val="20"/>
          <w:color w:val="auto"/>
        </w:rPr>
      </w:pPr>
    </w:p>
    <w:p>
      <w:pPr>
        <w:ind w:left="1040" w:right="79" w:hanging="315"/>
        <w:spacing w:after="0" w:line="287"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our DANYELZA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three U.S. patents, one Australian patent, two New Zealand patents, one Chinese patent, one Japanese patent, one South Korean patent, one Hong Kong patent, one Indian patent, one Canadian Patent and one pending patent application in Europe. We expect that any patents that issue in this first family will expire in June 2031. A core U.S. patent in this family is expected to expire on June 20, 2031. The second family consists of applications with composition of matter claims covering high affinity anti-GD2 antibodies, and includes one US patent, one German patent, one French patent, one patent in United Kingdom, one Australian patent, one Japanese patent, one Russian patent, one Chinese patent, one Hong Kong patent and three pending patent applications in other jurisdictions, including Canada, South Korea and Brazil. We expect that any patents that issue in this second family will expire in March 2034.</w:t>
      </w:r>
    </w:p>
    <w:p>
      <w:pPr>
        <w:spacing w:after="0" w:line="167" w:lineRule="exact"/>
        <w:rPr>
          <w:rFonts w:ascii="Arial" w:cs="Arial" w:eastAsia="Arial" w:hAnsi="Arial"/>
          <w:sz w:val="16"/>
          <w:szCs w:val="16"/>
          <w:color w:val="auto"/>
        </w:rPr>
      </w:pPr>
    </w:p>
    <w:p>
      <w:pPr>
        <w:ind w:left="1040" w:right="79" w:hanging="315"/>
        <w:spacing w:after="0" w:line="26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eight U.S. patents, one German patent, one Spanish patent, one French patent, one patent in United Kingdom, one Italian patent and two Canadian patents. We expect that any patents that issue in this first family will expire between October 2021 and January 2026. A core U.S. patent in this family is expected to expire on January 19, 2026 and core patents in Germany, Spain, France, United Kingdom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one Canadian patent, and one pending patent application in Europe. We expect that any patents that issue in this second family will expire in March 2028. Core patents in Canada, China, and India in this family are expected to expire on March 24, 2028.</w:t>
      </w:r>
    </w:p>
    <w:p>
      <w:pPr>
        <w:spacing w:after="0" w:line="181" w:lineRule="exact"/>
        <w:rPr>
          <w:rFonts w:ascii="Arial" w:cs="Arial" w:eastAsia="Arial" w:hAnsi="Arial"/>
          <w:sz w:val="17"/>
          <w:szCs w:val="17"/>
          <w:color w:val="auto"/>
        </w:rPr>
      </w:pPr>
    </w:p>
    <w:p>
      <w:pPr>
        <w:ind w:left="1040" w:right="79" w:hanging="315"/>
        <w:spacing w:after="0" w:line="276"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For our huB7-H3 patent portfolio, we have an exclusive license from MSK to MSK’s rights in one patent family consisting of a patent and patent applications with composition of matter claims covering antibody agents that bind specifically to protein 2Ig-B7H3 or 4Ig-B7H3, and includes two patents in the United States and Europe and 11 pending patent applications in other jurisdictions, including Canada, Australia, New Zealand, China, Japan, South Korea, Eurasia, India, Brazil, South Africa, and Hong Kong. We expect that any patents that issue in this family will expire in August 2035. In addition an international patent application has been filed, with MSK and the Company as applicants, claiming a method for treating a central nerve system (CNS) cancer using huB7H3, as well as </w:t>
      </w:r>
      <w:r>
        <w:rPr>
          <w:rFonts w:ascii="Arial" w:cs="Arial" w:eastAsia="Arial" w:hAnsi="Arial"/>
          <w:sz w:val="23"/>
          <w:szCs w:val="23"/>
          <w:color w:val="auto"/>
          <w:vertAlign w:val="superscript"/>
        </w:rPr>
        <w:t>177</w:t>
      </w:r>
      <w:r>
        <w:rPr>
          <w:rFonts w:ascii="Arial" w:cs="Arial" w:eastAsia="Arial" w:hAnsi="Arial"/>
          <w:sz w:val="16"/>
          <w:szCs w:val="16"/>
          <w:color w:val="auto"/>
        </w:rPr>
        <w:t>Lu-DTPA-8H9 conjugates. Request for entry into the national phase has been filed in the United States, Canada, Europe, Australia, New Zealand,</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19"/>
        <w:spacing w:after="0" w:line="277" w:lineRule="auto"/>
        <w:rPr>
          <w:sz w:val="20"/>
          <w:szCs w:val="20"/>
          <w:color w:val="auto"/>
        </w:rPr>
      </w:pPr>
      <w:r>
        <w:rPr>
          <w:rFonts w:ascii="Arial" w:cs="Arial" w:eastAsia="Arial" w:hAnsi="Arial"/>
          <w:sz w:val="18"/>
          <w:szCs w:val="18"/>
          <w:color w:val="auto"/>
        </w:rPr>
        <w:t>Japan, China, South Korea, India, Brasil, Eurasian, Russia and Hong Kong. We expect that any patent that issue in this family will expire in May 2038.</w:t>
      </w:r>
    </w:p>
    <w:p>
      <w:pPr>
        <w:spacing w:after="0" w:line="170" w:lineRule="exact"/>
        <w:rPr>
          <w:sz w:val="20"/>
          <w:szCs w:val="20"/>
          <w:color w:val="auto"/>
        </w:rPr>
      </w:pPr>
    </w:p>
    <w:p>
      <w:pPr>
        <w:ind w:left="1040" w:right="79" w:hanging="315"/>
        <w:spacing w:after="0" w:line="287"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Multimerization Technology patent portfolio, which inter alia relates to nivatrotamab,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Japanese patent, one Australian patent, one German patent, one French patent one South Korean patent, one Russian patent and one patent in United Kingdom, one pending patent application in the United States and four pending patent applications in other jurisdictions, including Canada, China, Hong Kong and Brazil. In Hong Kong, request for registration and grant has been filed. We expect that any patents that issue in this family will expire in March 2034. A core U.S. patent in this family is expected to expire on March 25, 2034.</w:t>
      </w:r>
    </w:p>
    <w:p>
      <w:pPr>
        <w:spacing w:after="0" w:line="167" w:lineRule="exact"/>
        <w:rPr>
          <w:rFonts w:ascii="Arial" w:cs="Arial" w:eastAsia="Arial" w:hAnsi="Arial"/>
          <w:sz w:val="16"/>
          <w:szCs w:val="16"/>
          <w:color w:val="auto"/>
        </w:rPr>
      </w:pPr>
    </w:p>
    <w:p>
      <w:pPr>
        <w:ind w:left="1040" w:right="79" w:hanging="315"/>
        <w:spacing w:after="0" w:line="273"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CD33 antibody patent portfolio, which includes one patent family under which we have an exclusive license from MSK to MSK’s rights in the patent application. This family consists of one pending patent application in the United States, and eleven pending patent applications in other jurisdictions, including Europe, Australia, Brasil, Canada, China, Eurasia, India, Japan, South Korea, New Zealand, Russia and Hong Kong relating to anti Siglec-3 (CD33) antibodies generated from a specific principal investigator’s laboratory at MSK. We expect that any patents that issue in this family will expire in April 2038.</w:t>
      </w:r>
    </w:p>
    <w:p>
      <w:pPr>
        <w:spacing w:after="0" w:line="177" w:lineRule="exact"/>
        <w:rPr>
          <w:rFonts w:ascii="Arial" w:cs="Arial" w:eastAsia="Arial" w:hAnsi="Arial"/>
          <w:sz w:val="17"/>
          <w:szCs w:val="17"/>
          <w:color w:val="auto"/>
        </w:rPr>
      </w:pPr>
    </w:p>
    <w:p>
      <w:pPr>
        <w:ind w:left="1040" w:right="159" w:hanging="315"/>
        <w:spacing w:after="0" w:line="263"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GD2-GD3 Vaccine patent portfolio, which inter alia relates to a vaccine for stimulation or enhacing production of an antibody which recognized a specific ganglioside, includes five U.S. patents, with expected expiration in 2022.</w:t>
      </w:r>
    </w:p>
    <w:p>
      <w:pPr>
        <w:spacing w:after="0" w:line="183" w:lineRule="exact"/>
        <w:rPr>
          <w:rFonts w:ascii="Arial" w:cs="Arial" w:eastAsia="Arial" w:hAnsi="Arial"/>
          <w:sz w:val="18"/>
          <w:szCs w:val="18"/>
          <w:color w:val="auto"/>
        </w:rPr>
      </w:pPr>
    </w:p>
    <w:p>
      <w:pPr>
        <w:ind w:left="1040" w:right="119" w:hanging="315"/>
        <w:spacing w:after="0" w:line="284"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our DOTA-PRIT or SADA patent portfolio, we have an exclusive license from MSK and MIT to MSK’s and MIT’s rights in the field of Radioimmunotherapy for the diagnosis and treatment of cancer. The license gives access to seven patent families owned by MSK and one patent family owned by MIT. The first patent family covers bispecific antibodies capable of binding A33 and DOTA, and use thereof for the treatment of cancer. This first patent family consists of granted patents in the United Kingdom, France, Germany, Spain, Italy, the Netherlands and Hong Kong and pending patent applications in the United States, China, Canada, Israel, Japan and Australia. We expect that any patents granted in this first family will expire in February 2036. The second family covers specific bispecific antibodies binding A33 and DOTA, and the use thereof for the treatment of cancer. This second family consists of pending applications in Australia, Canada, China, Europe, Hong Kong, Israel, Japan, India, South Korea, New Zealand, Eurasia and the United States. We expect that any patents granted in this second family will expire in September 2038. The third family covers Herceptin conjugated for Pretargeted Radioimmunotherapy and application as a theranostic product. This third patent family consists of pending applications in Australia, Canada, Brazil, China, Hong Kong, Japan, Eurasia, Europe, India, South Korea, New Zealand and the United States. We expect that any patents granted in this third family will expire in March 2039. The fourth patent family covers a multimeric antibody for two step targeting (SADA). This fourth patent family consists of patent applications in Australia, Canada, Europe and the United States. We expect that any patents granted in this fourth family will expire in May 2038. The fifth patent family covers the use of small molecule haptens for pretargeted radioimmunotherapy (PRIT) using DOTA and bispecific antibodies. This fifth patent family consists of patent applications in Australia, Canada, China, Europe, Hong Kong, Japan and the United States. We expect that any patents granted in this fifth family will expire in July 2038. The sixth patent family covers new clearing agents for DOTA-PRIT. This sixth patent family consists of an International patent application (PCT) and is expected to be filed in Australia, Canada, New Zealand, Brazil, China, India, Hong Kong, Japan, South Korea, Eurasia, Europe and the United States. We expect that any patents granted in this family will expire in July 2039. The seventh patent family covers PET-based methods for individualizing tumor targeting of antibodies. This seventh patent family consists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spacing w:after="0" w:line="275" w:lineRule="auto"/>
        <w:rPr>
          <w:sz w:val="20"/>
          <w:szCs w:val="20"/>
          <w:color w:val="auto"/>
        </w:rPr>
      </w:pPr>
      <w:r>
        <w:rPr>
          <w:rFonts w:ascii="Arial" w:cs="Arial" w:eastAsia="Arial" w:hAnsi="Arial"/>
          <w:sz w:val="17"/>
          <w:szCs w:val="17"/>
          <w:color w:val="auto"/>
        </w:rPr>
        <w:t>of granted patents in the United Kingdom, France, Germany, Spain, Italy, the Netherlands and the United States. We expect that patents granted in this seventh family will expire in May 2036. The eighth patent family, owned by MIT, covers bispecific antibodies binding DOTA. This eight patent family consists of granted patents in Belgium, France, Germany, Ireland, Italy, Spain, Switzerland, the United Kingdom and the United States. We expect that patents in this eighth family expire in February 2030.</w:t>
      </w:r>
    </w:p>
    <w:p>
      <w:pPr>
        <w:spacing w:after="0" w:line="17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74"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 that any such patent term extension of a non-U.S. patent will be obtained and, even if obtained, the duration of such extension.</w:t>
      </w:r>
    </w:p>
    <w:p>
      <w:pPr>
        <w:spacing w:after="0" w:line="177"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4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2035. If patents are issued on our pending patent applications, the resulting patents are projected to expire on dates ranging from 2021 to 2039.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have obtained USPTO trademark registration of the “Y-mAbs” mark, USPTO and EU trademark registration as well as registration in other jurisdictions of DANYELZA and certain other trademarks that we intend to use to commercialize our product candidates. We currently rely on our registered and unregistered trademarks, trade names and service marks, as well as our domain names and logos, as appropriate, to market our brands and to build and maintain brand recognition. We are seeking to register and will continue to seek to register and renew, or secure by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contract where appropriate, trademarks, trade names and service marks as they are developed and used, and reserve, register and renew domain names as appropriate.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Our Intellectual Property.”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DANYELZA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w:t>
      </w:r>
    </w:p>
    <w:p>
      <w:pPr>
        <w:spacing w:after="0" w:line="182"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 starting in 2020, which amounts are non-refundable but are creditable against royalty payments otherwise due thereunder. Total expensed minimum royalty payments under the MSK License were $1,200,000 in 2016 upon determination that the payment of such minimum royalties was probable and the amount was estimable. As of December 31, 2020, of the $1,120,000 accrued, $80,000 was recorded as short-term accrued liabilities and $1,040,000 was recorded as long-term accrued liabilities. As of December 31, 2019, of the $1,200,000 accrued, $29,000 was recorded as short-term accrued liabilities and $1,171,000 was recorded as long-term accrued liabilities. We are also obligated to pay to MSK certain clinical, regulatory and sales-based milestone payments under the MSK License, which payments become due upon achievement of the related clinical, regulatory or sales-based milestones. Certain of these clinical and regulatory milestone payments become due at the earlier of completion of the related milestone activity or the date indicated in the MSK License. Total clinical and regulatory milestones potentially due under the MSK License are $2,450,000 and $9,000,000, respectively. There are also sales-based milestones that become due should we achieve certain amounts of sales of licensed products resulting from the license arrangement with MSK, with total potential sales-based milestones potentially due of $20,000,000. As product candidates progress through clinical development, regulatory approval and commercialization, certain milestone payments will come due either as a result of the milestones having been met or the passage of time even if the milestones have not been met. We will also owe MSK mid to high single-digit royalties on commercial sales of our approved products, including an annual fixed minimum royalty of $80,000 over the royalty term starting in 2020 whether or not product sales are ever achieved.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We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have entered into sublicenses and distribution agreements related to DANYELZA and omburtamab under the MSK License with Takeda, Swixx and SciClone in 2020. In 2019 and 2020, we incurred milestone,royalty, and license expenses of $75,000 and $2,203,000 under MSK license agreement.</w:t>
      </w:r>
    </w:p>
    <w:p>
      <w:pPr>
        <w:spacing w:after="0" w:line="18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terms of the MSK License provide that MSK is entitled to receive 40% of the income generated from the sale of first PRV, and 33% of any income generated from the sale of any subsequent PRV or the sale of other comparable incentives provided by any non-U.S. jurisdiction. We sold the PRV received upon FDA approval of DANYELZA to United Therapeutics for $105 million. Pursuant to the agreement with MSK, we were entitled to retain 60% of the net proceeds from monetization of the PRV, and the remaining 40% was due to MSK. We received our portion of the net proceeds of from the sale of the PRV in the amount of approximately $62.0 million when the transaction was consummated in January 2021.</w:t>
      </w:r>
    </w:p>
    <w:p>
      <w:pPr>
        <w:spacing w:after="0" w:line="195"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95"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Our failure to meet certain conditions under the MSK License could cause the related license to such licensed product to be canceled and could result in termination of the MSK License by MSK.</w:t>
      </w:r>
    </w:p>
    <w:p>
      <w:pPr>
        <w:spacing w:after="0" w:line="17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for a term of five years. The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project, for our internal, non-commercial research purposes. We have also been granted both a first option to negotiate an exclusive or non-exclusive commercial license to MSK’s rights in inventions developed by MSK and a first option to negotiate an exclusive license to MSK’s rights in inventions jointly developed by the parties. The SRA was amended on September 12, 2019, and will expire five years from the date of the amendment. The SRA may be terminated for convenience by either party upon prior written notice. During 2019 and 2020 we incurred research and development expenses of $1,283,000 and $1,617,000 respectively, under the SRA.</w:t>
      </w:r>
    </w:p>
    <w:p>
      <w:pPr>
        <w:spacing w:after="0" w:line="16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 The MDSA will expire upon the completion of activities set forth in each project description entered into thereunder; however we have the option to extend the term upon written notice to MSK. Either party may terminate the MDSA upon prior written notice in the event of an uncured material breach. During 2019 and 2020, we incurred expenses of $918,000 and $1,031,000, respectively, under the MDSA.</w:t>
      </w:r>
    </w:p>
    <w:p>
      <w:pPr>
        <w:spacing w:after="0" w:line="177"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 During 2019 and 2020, we incurred research and development expenses of $3,128,000 and $1,118,000 under the MCTA.</w:t>
      </w:r>
    </w:p>
    <w:p>
      <w:pPr>
        <w:spacing w:after="0" w:line="19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 During 2019 and 2020, we incurred research and development expenses of $816,000 and $454,000, respectively, under the CFSAs.</w:t>
      </w:r>
    </w:p>
    <w:p>
      <w:pPr>
        <w:spacing w:after="0" w:line="166"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MSK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if any. Total potential milestones due under the MSK CD33 License are $550,000, $500,000 and $7,500,000 for clinical, regulatory and sales based milestones, respectively. In addition, the MSK CD33 License contains minimum royalty payments that become due beginning in year 10 of $40,000 per year over the royalty term, increasing to $60,000 once a patent within the licensed rights is issued, subject to increase and creditable against any royalty payments due based on sales in the future. We are required to pay mid to high single-digit royalties on sales of licensed products. We also paid MSK approximately $1,360,000 for research services related to the intellectual property licensed under the MSK CD33 License. The research services occurred over the two-year period immediately following the date of the MSK CD33 License. Additionally, the terms of the MSK CD33 License provide that MSK is entitled to receive 25% of any income generated from the sale of any PRV or the sale of other comparable incentives provided by any non-U.S. jurisdiction.</w:t>
      </w:r>
    </w:p>
    <w:p>
      <w:pPr>
        <w:spacing w:after="0" w:line="171" w:lineRule="exact"/>
        <w:rPr>
          <w:sz w:val="20"/>
          <w:szCs w:val="20"/>
          <w:color w:val="auto"/>
        </w:rPr>
      </w:pPr>
    </w:p>
    <w:p>
      <w:pPr>
        <w:ind w:left="60" w:right="299" w:firstLine="648"/>
        <w:spacing w:after="0" w:line="275" w:lineRule="auto"/>
        <w:rPr>
          <w:sz w:val="20"/>
          <w:szCs w:val="20"/>
          <w:color w:val="auto"/>
        </w:rPr>
      </w:pPr>
      <w:r>
        <w:rPr>
          <w:rFonts w:ascii="Arial" w:cs="Arial" w:eastAsia="Arial" w:hAnsi="Arial"/>
          <w:sz w:val="17"/>
          <w:szCs w:val="17"/>
          <w:color w:val="auto"/>
        </w:rPr>
        <w:t>The MSK CD33 License will expire, on a country-by-country basis, and on a licensed 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6"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MSK may terminate the MSK CD33 License upon prior written notice in the event of our uncured material breach, or upon prior written notice if such breach is of a payment obligation. MSK may also terminate the MSK CD33 License upon written notice in the event of our bankruptcy or insolvency or our conviction of a felony relating to the licensed products, or if we challenge the validity or enforceability of any licensed patent right. In addition, we have the right to terminate the MSK CD33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7"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On November 13, 2017, in connection with the MSK CD33 License, we entered into the Sponsored Research Agreement, or the CD33 SRA, with MSK pursuant to which we committed to provide aggregate research funding to MSK annually for a term of two years. The term of the CD33 SRA expired on November 13, 2019. The research was conducted in accordance with a written plan and budget approved by the parties. MSK had granted us a non-exclusive,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non-commercial, non-transferable, royalty-free license to use any inventions or discoveries developed by MSK within the scope of the information resulting from the research, for our internal, non-commercial research purposes. We had also been granted both a first option to negotiate an exclusive or non-exclusive commercial license to MSK’s rights in inventions developed by MSK personnel and a first option to negotiate an exclusive license to MSK’s rights in inventions jointly developed by the parties and our personnel. In 2019 and 2020, we incurred research and development expenses of $604,000 and zero under the CD33 SRA.</w:t>
      </w:r>
    </w:p>
    <w:p>
      <w:pPr>
        <w:spacing w:after="0" w:line="192"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7"/>
          <w:szCs w:val="17"/>
          <w:color w:val="auto"/>
        </w:rPr>
        <w:t xml:space="preserve">On July 9, 2018, we entered into the Manufacturing Agreement with MSK’s Radiochemistry and Molecular Imaging Probes Core Facility, or RMIP, pursuant to which RMIP will complete specified manufacturing activities related to </w:t>
      </w:r>
      <w:r>
        <w:rPr>
          <w:rFonts w:ascii="Arial" w:cs="Arial" w:eastAsia="Arial" w:hAnsi="Arial"/>
          <w:sz w:val="25"/>
          <w:szCs w:val="25"/>
          <w:color w:val="auto"/>
          <w:vertAlign w:val="superscript"/>
        </w:rPr>
        <w:t>131</w:t>
      </w:r>
      <w:r>
        <w:rPr>
          <w:rFonts w:ascii="Arial" w:cs="Arial" w:eastAsia="Arial" w:hAnsi="Arial"/>
          <w:sz w:val="17"/>
          <w:szCs w:val="17"/>
          <w:color w:val="auto"/>
        </w:rPr>
        <w:t>I-omburtamab in connection with our pivotal Phase 2 trials for Study 101.</w:t>
      </w:r>
    </w:p>
    <w:p>
      <w:pPr>
        <w:spacing w:after="0" w:line="53"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w:t>
      </w:r>
    </w:p>
    <w:p>
      <w:pPr>
        <w:spacing w:after="0" w:line="166"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On March 21, 2019, MabVax filed a voluntary petition for relief under Chapter 11 of the Bankruptcy Code. The essence of the transaction created by the SAAA was for us, in light of the Chapter 11 bankruptcy proceedings affecting MabVax, to preserve the MabVax/MSK License Agreement and the rights granted to us under the MabVax/Y-mAbs Sublicense and for us to create a direct relationship with MSK with respect to the rights covered under the MabVax/Y-mAbs Sublicense. Pursuant to the SAAA, MabVax agreed to assume the MabVax/Y-mAbs Sublicense and the MabVax/Y-mAbs License Agreement pursuant to Section 365 of the Bankruptcy Code and concurrently to assign both of these agreements to MSK. We remain responsible for any potential downstream payment obligations to MSK related to the GD2-GD3 Vaccine that were specified in the MabVax/MSK License Agreement. This includes the obligation to pay development milestones totaling $1,400,000 and mid single-digit royalty payments to MSK.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total of twenty percent of the proceeds from the sale thereof. The MabVax/MSK License Agreement will expire with effect for us, on a country-by-country basis, on the later of the expiration of (i) 10 years from the first commercial sale of the licensed product in such country or (ii) the last-to-expire valid claim covering such licensed product rights at the time of and in the country of sale.</w:t>
      </w:r>
    </w:p>
    <w:p>
      <w:pPr>
        <w:spacing w:after="0" w:line="167" w:lineRule="exact"/>
        <w:rPr>
          <w:sz w:val="20"/>
          <w:szCs w:val="20"/>
          <w:color w:val="auto"/>
        </w:rPr>
      </w:pPr>
    </w:p>
    <w:p>
      <w:pPr>
        <w:ind w:left="60" w:right="79" w:firstLine="648"/>
        <w:spacing w:after="0" w:line="256" w:lineRule="auto"/>
        <w:rPr>
          <w:sz w:val="20"/>
          <w:szCs w:val="20"/>
          <w:color w:val="auto"/>
        </w:rPr>
      </w:pPr>
      <w:r>
        <w:rPr>
          <w:rFonts w:ascii="Arial" w:cs="Arial" w:eastAsia="Arial" w:hAnsi="Arial"/>
          <w:sz w:val="17"/>
          <w:szCs w:val="17"/>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w:t>
      </w:r>
    </w:p>
    <w:p>
      <w:pPr>
        <w:spacing w:after="0" w:line="193"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Under the SADA License,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sales-based milestones, totaling $23,750,000, that become due should the Company achieve certain amounts of sales of licensed products. In addition, for each of the SADA constructs generated by MSK and sold for the Company by a sublicensee, the Company may pay sales milestones in the total amount up to $60,000,000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w:t>
      </w:r>
    </w:p>
    <w:p>
      <w:pPr>
        <w:spacing w:after="0" w:line="185" w:lineRule="exact"/>
        <w:rPr>
          <w:sz w:val="20"/>
          <w:szCs w:val="20"/>
          <w:color w:val="auto"/>
        </w:rPr>
      </w:pPr>
    </w:p>
    <w:p>
      <w:pPr>
        <w:ind w:left="60" w:right="359" w:firstLine="648"/>
        <w:spacing w:after="0" w:line="279" w:lineRule="auto"/>
        <w:rPr>
          <w:sz w:val="20"/>
          <w:szCs w:val="20"/>
          <w:color w:val="auto"/>
        </w:rPr>
      </w:pPr>
      <w:r>
        <w:rPr>
          <w:rFonts w:ascii="Arial" w:cs="Arial" w:eastAsia="Arial" w:hAnsi="Arial"/>
          <w:sz w:val="17"/>
          <w:szCs w:val="17"/>
          <w:color w:val="auto"/>
        </w:rPr>
        <w:t>Under the SADA License Agreement, we also committed to funding scientific research at MSK for up to $1,500,000 over the next three years. Accordingly, in October 2020, we entered into a SADA sponsored research agreement with MSK pursuant to which we agreed to fund $1,500,000 in scientific research at MSK over the next three years to related to the intellectual property licensed under the SADA License Agreement.</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96" w:lineRule="exact"/>
        <w:rPr>
          <w:sz w:val="20"/>
          <w:szCs w:val="20"/>
          <w:color w:val="auto"/>
        </w:rPr>
      </w:pPr>
    </w:p>
    <w:p>
      <w:pPr>
        <w:ind w:left="60" w:right="639" w:firstLine="648"/>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1040" w:right="21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 regulation;</w:t>
      </w:r>
    </w:p>
    <w:p>
      <w:pPr>
        <w:spacing w:after="0" w:line="170"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1040" w:right="99" w:hanging="315"/>
        <w:spacing w:after="0" w:line="311"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spacing w:after="0" w:line="277" w:lineRule="auto"/>
        <w:rPr>
          <w:sz w:val="20"/>
          <w:szCs w:val="20"/>
          <w:color w:val="auto"/>
        </w:rPr>
      </w:pPr>
      <w:r>
        <w:rPr>
          <w:rFonts w:ascii="Arial" w:cs="Arial" w:eastAsia="Arial" w:hAnsi="Arial"/>
          <w:sz w:val="18"/>
          <w:szCs w:val="18"/>
          <w:color w:val="auto"/>
        </w:rPr>
        <w:t>potency, and of selected clinical investigations to assess compliance with Good Clinical Practices, or GCPs; and</w:t>
      </w:r>
    </w:p>
    <w:p>
      <w:pPr>
        <w:spacing w:after="0" w:line="170" w:lineRule="exact"/>
        <w:rPr>
          <w:sz w:val="20"/>
          <w:szCs w:val="20"/>
          <w:color w:val="auto"/>
        </w:rPr>
      </w:pPr>
    </w:p>
    <w:p>
      <w:pPr>
        <w:ind w:left="1040" w:right="159" w:hanging="315"/>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FDA review and approval of our BLA to permit commercial marketing of the product for particular indications for use in the United States, which must be updated annually when significant changes are made.</w:t>
      </w:r>
    </w:p>
    <w:p>
      <w:pPr>
        <w:spacing w:after="0" w:line="124"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68"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overlap.</w:t>
      </w:r>
    </w:p>
    <w:p>
      <w:pPr>
        <w:spacing w:after="0" w:line="211" w:lineRule="exact"/>
        <w:rPr>
          <w:sz w:val="20"/>
          <w:szCs w:val="20"/>
          <w:color w:val="auto"/>
        </w:rPr>
      </w:pPr>
    </w:p>
    <w:p>
      <w:pPr>
        <w:ind w:left="1040" w:right="219" w:hanging="315"/>
        <w:spacing w:after="0" w:line="320" w:lineRule="auto"/>
        <w:tabs>
          <w:tab w:leader="none" w:pos="10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Phase 1—The investigational product is initially introduced into healthy human patients with the target disease or condition. In oncology, clinical Phase 1 trials are normally conducted in patients, who have been exposed to and failed/relapsed on available standard of care therapies.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46" w:lineRule="exact"/>
        <w:rPr>
          <w:rFonts w:ascii="Arial" w:cs="Arial" w:eastAsia="Arial" w:hAnsi="Arial"/>
          <w:sz w:val="15"/>
          <w:szCs w:val="15"/>
          <w:color w:val="auto"/>
        </w:rPr>
      </w:pPr>
    </w:p>
    <w:p>
      <w:pPr>
        <w:ind w:left="1040" w:right="159" w:hanging="315"/>
        <w:spacing w:after="0" w:line="279"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ind w:left="1040" w:right="99" w:hanging="315"/>
        <w:spacing w:after="0" w:line="311"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99"/>
        <w:spacing w:after="0" w:line="277" w:lineRule="auto"/>
        <w:rPr>
          <w:sz w:val="20"/>
          <w:szCs w:val="20"/>
          <w:color w:val="auto"/>
        </w:rPr>
      </w:pPr>
      <w:r>
        <w:rPr>
          <w:rFonts w:ascii="Arial" w:cs="Arial" w:eastAsia="Arial" w:hAnsi="Arial"/>
          <w:sz w:val="18"/>
          <w:szCs w:val="18"/>
          <w:color w:val="auto"/>
        </w:rPr>
        <w:t>establish the overall risk/benefit ratio of the investigational product and to provide an adequate basis for product approval.</w:t>
      </w:r>
    </w:p>
    <w:p>
      <w:pPr>
        <w:spacing w:after="0" w:line="170" w:lineRule="exact"/>
        <w:rPr>
          <w:sz w:val="20"/>
          <w:szCs w:val="20"/>
          <w:color w:val="auto"/>
        </w:rPr>
      </w:pPr>
    </w:p>
    <w:p>
      <w:pPr>
        <w:ind w:left="1040" w:right="299" w:hanging="315"/>
        <w:spacing w:after="0" w:line="263"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our BLA.</w:t>
      </w:r>
    </w:p>
    <w:p>
      <w:pPr>
        <w:spacing w:after="0" w:line="18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8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Once a BLA has been submitted, the FDA’s goal is to review the application within 10 months after it files the application, or, if the application relates to an unmet medical need in a serious or life-threatening indication, six months after the FDA files the application.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4"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The FDA may delay or refuse approval of a BLA if applicable regulatory criteria are not satisfied, require additional testing or information and/or require post-marketing testing and surveillance to monitor safety or efficacy of a product.</w:t>
      </w:r>
    </w:p>
    <w:p>
      <w:pPr>
        <w:spacing w:after="0" w:line="14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files the application.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files the application. Priority review designation does not change the scientific/medical standard for approval or the quality of evidence necessary to support approval.</w:t>
      </w:r>
    </w:p>
    <w:p>
      <w:pPr>
        <w:spacing w:after="0" w:line="172"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78"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Fast Track designation, priority review and BTD do not change the standards for approval but may expedite the development or approval process.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95"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66" w:lineRule="exact"/>
        <w:rPr>
          <w:sz w:val="20"/>
          <w:szCs w:val="20"/>
          <w:color w:val="auto"/>
        </w:rPr>
      </w:pPr>
    </w:p>
    <w:p>
      <w:pPr>
        <w:jc w:val="both"/>
        <w:ind w:left="60" w:right="119" w:firstLine="648"/>
        <w:spacing w:after="0" w:line="301" w:lineRule="auto"/>
        <w:rPr>
          <w:sz w:val="20"/>
          <w:szCs w:val="20"/>
          <w:color w:val="auto"/>
        </w:rPr>
      </w:pPr>
      <w:r>
        <w:rPr>
          <w:rFonts w:ascii="Arial" w:cs="Arial" w:eastAsia="Arial" w:hAnsi="Arial"/>
          <w:sz w:val="16"/>
          <w:szCs w:val="16"/>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transferable and can be sold to any company, who in turn can redeem the PRV for priority review of a marketing application in six months, compared to the standard timeframe of approximately ten months. A drug that receives a RPDD before September 30, 2024 continues to be eligible for a PRV if the drug is approved before September 30, 2026. Extension beyond these dates will require further Congressional action.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8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68" w:lineRule="exact"/>
        <w:rPr>
          <w:sz w:val="20"/>
          <w:szCs w:val="20"/>
          <w:color w:val="auto"/>
        </w:rPr>
      </w:pPr>
    </w:p>
    <w:p>
      <w:pPr>
        <w:ind w:left="1040" w:right="23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8" w:lineRule="exact"/>
        <w:rPr>
          <w:sz w:val="20"/>
          <w:szCs w:val="20"/>
          <w:color w:val="auto"/>
        </w:rPr>
      </w:pPr>
    </w:p>
    <w:p>
      <w:pPr>
        <w:ind w:left="60" w:right="319" w:firstLine="648"/>
        <w:spacing w:after="0" w:line="273" w:lineRule="auto"/>
        <w:rPr>
          <w:sz w:val="20"/>
          <w:szCs w:val="20"/>
          <w:color w:val="auto"/>
        </w:rPr>
      </w:pPr>
      <w:r>
        <w:rPr>
          <w:rFonts w:ascii="Arial" w:cs="Arial" w:eastAsia="Arial" w:hAnsi="Arial"/>
          <w:sz w:val="17"/>
          <w:szCs w:val="17"/>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7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88" w:lineRule="exact"/>
        <w:rPr>
          <w:sz w:val="20"/>
          <w:szCs w:val="20"/>
          <w:color w:val="auto"/>
        </w:rPr>
      </w:pPr>
    </w:p>
    <w:p>
      <w:pPr>
        <w:ind w:left="1040" w:right="119" w:hanging="315"/>
        <w:spacing w:after="0" w:line="275"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176" w:lineRule="exact"/>
        <w:rPr>
          <w:rFonts w:ascii="Arial" w:cs="Arial" w:eastAsia="Arial" w:hAnsi="Arial"/>
          <w:sz w:val="17"/>
          <w:szCs w:val="17"/>
          <w:color w:val="auto"/>
        </w:rPr>
      </w:pPr>
    </w:p>
    <w:p>
      <w:pPr>
        <w:ind w:left="1040" w:right="139" w:hanging="315"/>
        <w:spacing w:after="0" w:line="301" w:lineRule="auto"/>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57" w:lineRule="exact"/>
        <w:rPr>
          <w:rFonts w:ascii="Arial" w:cs="Arial" w:eastAsia="Arial" w:hAnsi="Arial"/>
          <w:sz w:val="16"/>
          <w:szCs w:val="16"/>
          <w:color w:val="auto"/>
        </w:rPr>
      </w:pPr>
    </w:p>
    <w:p>
      <w:pPr>
        <w:ind w:left="1040" w:right="139" w:hanging="315"/>
        <w:spacing w:after="0" w:line="25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86" w:lineRule="exact"/>
        <w:rPr>
          <w:rFonts w:ascii="Arial" w:cs="Arial" w:eastAsia="Arial" w:hAnsi="Arial"/>
          <w:sz w:val="18"/>
          <w:szCs w:val="18"/>
          <w:color w:val="auto"/>
        </w:rPr>
      </w:pPr>
    </w:p>
    <w:p>
      <w:pPr>
        <w:ind w:left="1040" w:right="199" w:hanging="315"/>
        <w:spacing w:after="0" w:line="275"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15"/>
        <w:spacing w:after="0" w:line="290"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165" w:lineRule="exact"/>
        <w:rPr>
          <w:rFonts w:ascii="Arial" w:cs="Arial" w:eastAsia="Arial" w:hAnsi="Arial"/>
          <w:sz w:val="16"/>
          <w:szCs w:val="16"/>
          <w:color w:val="auto"/>
        </w:rPr>
      </w:pPr>
    </w:p>
    <w:p>
      <w:pPr>
        <w:ind w:left="1040" w:right="359" w:hanging="315"/>
        <w:spacing w:after="0" w:line="263"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4" w:lineRule="exact"/>
        <w:rPr>
          <w:sz w:val="20"/>
          <w:szCs w:val="20"/>
          <w:color w:val="auto"/>
        </w:rPr>
      </w:pPr>
    </w:p>
    <w:p>
      <w:pPr>
        <w:ind w:left="60" w:right="399" w:firstLine="648"/>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No assurance can be given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81"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In April 2014, the new Clinical Trials Regulation, (EU) No 536/2014, or the Clinical Trials Regulation, was adopted, and is anticipated to enter into force in 2021.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8"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8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w:t>
      </w:r>
    </w:p>
    <w:p>
      <w:pPr>
        <w:spacing w:after="0" w:line="178"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8"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86"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66"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8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 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82"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8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81"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w:t>
      </w:r>
    </w:p>
    <w:p>
      <w:pPr>
        <w:spacing w:after="0" w:line="6" w:lineRule="exact"/>
        <w:rPr>
          <w:sz w:val="20"/>
          <w:szCs w:val="20"/>
          <w:color w:val="auto"/>
        </w:rPr>
      </w:pPr>
    </w:p>
    <w:p>
      <w:pPr>
        <w:ind w:left="60" w:right="799"/>
        <w:spacing w:after="0" w:line="260" w:lineRule="auto"/>
        <w:rPr>
          <w:sz w:val="20"/>
          <w:szCs w:val="20"/>
          <w:color w:val="auto"/>
        </w:rPr>
      </w:pPr>
      <w:r>
        <w:rPr>
          <w:rFonts w:ascii="Arial" w:cs="Arial" w:eastAsia="Arial" w:hAnsi="Arial"/>
          <w:sz w:val="18"/>
          <w:szCs w:val="18"/>
          <w:color w:val="auto"/>
        </w:rPr>
        <w:t>six years if it can be demonstrated on the basis of available evidence that the original orphan medicinal product is sufficiently profitable not to justify maintenance of market exclusivity.</w:t>
      </w:r>
    </w:p>
    <w:p>
      <w:pPr>
        <w:spacing w:after="0" w:line="185"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84" w:lineRule="exact"/>
        <w:rPr>
          <w:sz w:val="20"/>
          <w:szCs w:val="20"/>
          <w:color w:val="auto"/>
        </w:rPr>
      </w:pPr>
    </w:p>
    <w:p>
      <w:pPr>
        <w:ind w:left="1040" w:right="659" w:hanging="315"/>
        <w:spacing w:after="0" w:line="342"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Compliance with the European Union’s stringent pharmacovigilance or safety reporting rules must be ensured. These rules can impose post-authorization studies and additional monitoring obligations.</w:t>
      </w:r>
    </w:p>
    <w:p>
      <w:pPr>
        <w:spacing w:after="0" w:line="123" w:lineRule="exact"/>
        <w:rPr>
          <w:rFonts w:ascii="Arial" w:cs="Arial" w:eastAsia="Arial" w:hAnsi="Arial"/>
          <w:sz w:val="16"/>
          <w:szCs w:val="16"/>
          <w:color w:val="auto"/>
        </w:rPr>
      </w:pPr>
    </w:p>
    <w:p>
      <w:pPr>
        <w:ind w:left="1040" w:right="159" w:hanging="315"/>
        <w:spacing w:after="0" w:line="25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191" w:lineRule="exact"/>
        <w:rPr>
          <w:rFonts w:ascii="Arial" w:cs="Arial" w:eastAsia="Arial" w:hAnsi="Arial"/>
          <w:sz w:val="18"/>
          <w:szCs w:val="18"/>
          <w:color w:val="auto"/>
        </w:rPr>
      </w:pPr>
    </w:p>
    <w:p>
      <w:pPr>
        <w:ind w:left="1040" w:right="379" w:hanging="315"/>
        <w:spacing w:after="0" w:line="259"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87"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the United Kingdom’s withdrawal from the European Union, or Brexit, could materially impact the future regulatory regime which applies to products and the approval of product candidates in the United Kingdom.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84" w:lineRule="exact"/>
        <w:rPr>
          <w:sz w:val="20"/>
          <w:szCs w:val="20"/>
          <w:color w:val="auto"/>
        </w:rPr>
      </w:pPr>
    </w:p>
    <w:p>
      <w:pPr>
        <w:ind w:left="1040" w:right="139" w:hanging="315"/>
        <w:spacing w:after="0" w:line="263"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3"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83" w:lineRule="exact"/>
        <w:rPr>
          <w:rFonts w:ascii="Arial" w:cs="Arial" w:eastAsia="Arial" w:hAnsi="Arial"/>
          <w:sz w:val="18"/>
          <w:szCs w:val="18"/>
          <w:color w:val="auto"/>
        </w:rPr>
      </w:pPr>
    </w:p>
    <w:p>
      <w:pPr>
        <w:ind w:left="1040" w:right="899" w:hanging="315"/>
        <w:spacing w:after="0" w:line="308"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6"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19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Since its enactment, there have been numerous legal challenges and Congressional actions to repeal and replace provisions of the ACA. We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We believe the success of the company depends on our ability to continue to attract, retain and motivate qualified employees. We seek to meet this objective by offering competitive compensation and benefits packages in our expanding organisation, with opportunities for our employees to thrive, grow and develop in their careers. We hold our employees to high ethical performance standards and our compensation plans include, as applicable, equity and cash compensation components designed to enable us to offer competitive base pay and attractive incentive schemes.</w:t>
      </w:r>
    </w:p>
    <w:p>
      <w:pPr>
        <w:spacing w:after="0" w:line="161" w:lineRule="exact"/>
        <w:rPr>
          <w:sz w:val="20"/>
          <w:szCs w:val="20"/>
          <w:color w:val="auto"/>
        </w:rPr>
      </w:pPr>
    </w:p>
    <w:p>
      <w:pPr>
        <w:jc w:val="both"/>
        <w:ind w:left="60" w:right="259" w:firstLine="648"/>
        <w:spacing w:after="0" w:line="286" w:lineRule="auto"/>
        <w:rPr>
          <w:sz w:val="20"/>
          <w:szCs w:val="20"/>
          <w:color w:val="auto"/>
        </w:rPr>
      </w:pPr>
      <w:r>
        <w:rPr>
          <w:rFonts w:ascii="Arial" w:cs="Arial" w:eastAsia="Arial" w:hAnsi="Arial"/>
          <w:sz w:val="17"/>
          <w:szCs w:val="17"/>
          <w:color w:val="auto"/>
        </w:rPr>
        <w:t>As of December 31, 2020, we had 125 full time employees. Of these employees, 87 were employed in research and development roles, 23 were employed in commercial roles and 15 were employed within general and administration. Women represent approximately 54% of our workforce and men represent approximately 46%.</w:t>
      </w:r>
    </w:p>
    <w:p>
      <w:pPr>
        <w:spacing w:after="0" w:line="16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health and safety of our employees is of utmost importance to us. We offer comprehensive benefits to protect the health of our employees and their families. In response to the COVID-19 pandemic, we largely transitioning our workforce to a remote work model, while implementing additional safety measures for employees wishing to continue on-site work where possible.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The members of our management team are employed by both our company and Y-mAbs Therapeutics A/S, our wholly owned Danish subsidiary. As our development and commercialization plans and strategies continue to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We were incorporated in Delaware on April 30, 2015. Our principal executive offices are located at 230 Park Avenue, Suite 3350, New York, New York 10169, and our telephone number is (646) 885-8505. Our website address is www.ymabs.com. The information contained on, or accessible through, our website is not incorporated by reference into this Form 10-K, and you should not consider any information contained in, or that can be accessed through, our website as part of this 10-K or in deciding whether to purchase our common stock.</w:t>
      </w:r>
    </w:p>
    <w:p>
      <w:pPr>
        <w:spacing w:after="0" w:line="17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make available, free of charge on our website, our Form 10-K, quarterly reports on Form 10-Q, current reports on Form 8-K and all amendments to those reports filed or furnished with the SEC pursuant to Section 13(a) or 15(d) of the Securities Exchange Act of 1934, as amended, as soon as reasonable practicable.</w:t>
      </w:r>
    </w:p>
    <w:p>
      <w:pPr>
        <w:spacing w:after="0" w:line="39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Annual Report on Form 10-K,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60" w:right="119"/>
        <w:spacing w:after="0" w:line="327"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since inception. Our only product approved for sale is DANYELZA, which only recently received approval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40"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We are a commercial-stage biopharmaceutical company with a limited operating history. Since our inception in 2015, we have incurred significant losses each year. Our net losses were $81.0 million for the year ended December 31, 2019 and $119.3 million for the year ended December 31, 2020. As of December 31, 2020 our accumulated deficit was approximately $285.2 million. We have financed our operations principally through private placements, the initial public offering of our common stock in 2018 as well as our public offering in November 2019.</w:t>
      </w:r>
    </w:p>
    <w:p>
      <w:pPr>
        <w:spacing w:after="0" w:line="16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To date, we have devoted substantially all our efforts to research and development of DANYELZA our only approved product and our other lead product candidate omburtamab. On November 25, 2020, DANYELZA was approved by the FDA for the treatment, in combination with GM-CSF, of pediatric patients 1 year of age and older and adult patients R/R high-risk NB, in the bone or bone marrow who have demonstrated a partial response, minor response, or stable disease to prior therapy. While our lead product candidate omburtamab is in registration stage clinical development, no assurance can be given that we will receive regulatory approval for the sale of omburtamab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We expect to continue to incur significant expenses and increasing operating losses for the foreseeable future. The net losses we incur may fluctuate significantly from quarter to quarter. Our only product approved for sale is DANYELZA, which only recently received approval and we have never generated any substantial revenue from product sales. We have only begun very limited sales and shipments of DANYELZA since February 2021 and we do not anticipate generating any substantial revenue from product sales until DANYELZA has been on the market for a period of time.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66" w:lineRule="exact"/>
        <w:rPr>
          <w:sz w:val="20"/>
          <w:szCs w:val="20"/>
          <w:color w:val="auto"/>
        </w:rPr>
      </w:pPr>
    </w:p>
    <w:p>
      <w:pPr>
        <w:ind w:left="1040" w:right="119" w:hanging="315"/>
        <w:spacing w:after="0" w:line="342"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successful launch and commercialization of DANYELZA and our product candidates for which we may obtain regulatory approvals and marketing authorizations, either directly or with a collaborator or distributor;</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completing research regarding, and non-clinical and clinical development of, our product candidates;</w:t>
      </w:r>
    </w:p>
    <w:p>
      <w:pPr>
        <w:spacing w:after="0" w:line="236"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regulatory approvals, marketing authorizations and coverage and reimbursements from payors for DANYELZA and other product candidates for which we complete clinical studies;</w:t>
      </w:r>
    </w:p>
    <w:p>
      <w:pPr>
        <w:spacing w:after="0" w:line="170" w:lineRule="exact"/>
        <w:rPr>
          <w:rFonts w:ascii="Arial" w:cs="Arial" w:eastAsia="Arial" w:hAnsi="Arial"/>
          <w:sz w:val="18"/>
          <w:szCs w:val="18"/>
          <w:color w:val="auto"/>
        </w:rPr>
      </w:pPr>
    </w:p>
    <w:p>
      <w:pPr>
        <w:ind w:left="1040" w:right="99" w:hanging="315"/>
        <w:spacing w:after="0" w:line="259"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developing and maintaining a sustainable and scalable manufacturing process for DANYELZA and our other product candidates, including establishing and maintaining commercially viable supply relationships with third parties including Patheon/Thermo Fisher and EMD/Merck or establishing our own manufacturing capabilities and infrastructure;</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obtaining market acceptance of DANYELZA and our product candidates as viable treatment options;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addressing any competing products, product candidates, related technologies and/or market developments;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distribution or other arrangements into which we may enter;</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anticipate incurring research, development, clinical trial, manufacturing and marketing costs associated with commercializing even approved products such as DANYELZA.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more of our product candidates, such as DANYELZA in the US,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conducting clinical trials of DANYELZA and our lead product candidates and conducting pre-clinical studies and clinical trials of our other product candidates, and identifying additional potential product candidates. We have not yet demonstrated our ability to successfully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spacing w:after="0" w:line="182"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b w:val="1"/>
          <w:bCs w:val="1"/>
          <w:i w:val="1"/>
          <w:iCs w:val="1"/>
          <w:color w:val="auto"/>
        </w:rPr>
        <w:t>Our payment obligations to MSK and MIT may be a drain on our cash resources, or may cause us to incur debt obligations or issue additional equity securities to satisfy such payment obligations, which may adversely affect our financial position and results of operations.</w:t>
      </w:r>
    </w:p>
    <w:p>
      <w:pPr>
        <w:spacing w:after="0" w:line="184"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These milestone payments become due upon achievement of the related clinical, regulatory or sales-based milestone set forth in the MSK License and all milestones are accrued for when they are probable and estimable.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Under the MSK CD33 License, we are obligated to make potential payments of $550,000, $500,000 and $7,500,000 for clinical, regulatory and sales-based milestones, respectively.</w:t>
      </w:r>
    </w:p>
    <w:p>
      <w:pPr>
        <w:spacing w:after="0" w:line="172" w:lineRule="exact"/>
        <w:rPr>
          <w:sz w:val="20"/>
          <w:szCs w:val="20"/>
          <w:color w:val="auto"/>
        </w:rPr>
      </w:pPr>
    </w:p>
    <w:p>
      <w:pPr>
        <w:ind w:left="60" w:right="99" w:firstLine="648"/>
        <w:spacing w:after="0" w:line="258" w:lineRule="auto"/>
        <w:rPr>
          <w:sz w:val="20"/>
          <w:szCs w:val="20"/>
          <w:color w:val="auto"/>
        </w:rPr>
      </w:pPr>
      <w:r>
        <w:rPr>
          <w:rFonts w:ascii="Arial" w:cs="Arial" w:eastAsia="Arial" w:hAnsi="Arial"/>
          <w:sz w:val="17"/>
          <w:szCs w:val="17"/>
          <w:color w:val="auto"/>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will provide drug product and funding for certain clinical trials at MSK under separate appendices to be executed.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entered into a Manufacturing Agreement with MSK’s Radiochemistry and Molecular Imaging Probes Core Facility, or RMIP, pursuant to which RMIP will complete specified manufacturing activities related to </w:t>
      </w:r>
      <w:r>
        <w:rPr>
          <w:rFonts w:ascii="Arial" w:cs="Arial" w:eastAsia="Arial" w:hAnsi="Arial"/>
          <w:sz w:val="25"/>
          <w:szCs w:val="25"/>
          <w:color w:val="auto"/>
          <w:vertAlign w:val="superscript"/>
        </w:rPr>
        <w:t>131</w:t>
      </w:r>
      <w:r>
        <w:rPr>
          <w:rFonts w:ascii="Arial" w:cs="Arial" w:eastAsia="Arial" w:hAnsi="Arial"/>
          <w:sz w:val="17"/>
          <w:szCs w:val="17"/>
          <w:color w:val="auto"/>
        </w:rPr>
        <w:t>I-omburtamab in connection with Study 101. We also remain responsible for any potential downstream payment obligations to MSK related to the GD2-GD3 Vaccine. This includes our obligation to make development milestone payments totaling $1,400,000 and mid single-digit royalty payments to MSK.</w:t>
      </w:r>
    </w:p>
    <w:p>
      <w:pPr>
        <w:spacing w:after="0" w:line="187"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In April 2020, we entered into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$4,730,000 and $18,125,000, respectively.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Additionally, we are also obligated to make sales-based milestones payments totaling $23,750,000, that become due should the Company achieve certain amounts of sales of licensed products under the SADA License. In addition, for each of the SADA constructs generated by MSK and sold for the Company by a sublicensee of the Company, the Company may pay sales-based milestone payments in the total amount of $60,000,000 based on the achievement of various levels of cumulative net sales by the sublicensee. Under the SADA License Agreement, we have also committed to fund scientific research at MSK under a Sponsored Research Agreement for up to $1,500,000 over the next three years.</w:t>
      </w:r>
    </w:p>
    <w:p>
      <w:pPr>
        <w:spacing w:after="0" w:line="164"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These payments could be significant and in order to satisfy our obligations to MSK and MIT, if and when they are triggered, we may use our existing cash, incur debt obligations or issue additional equity securities, which may materially and adversely affect our financial position and results of operations.</w:t>
      </w:r>
    </w:p>
    <w:p>
      <w:pPr>
        <w:spacing w:after="0" w:line="184"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b w:val="1"/>
          <w:bCs w:val="1"/>
          <w:i w:val="1"/>
          <w:iCs w:val="1"/>
          <w:color w:val="auto"/>
        </w:rPr>
        <w:t>We will need substantial additional funding until at least such time as we can generate substantial revenue from product sales. If we fail to obtain additional funding until at least such time as we can generate substantial revenue from product sales, we may be forced to delay, reduce or eliminate our research and drug development programs or current or future commercialization efforts and our license and other agreements may be terminated.</w:t>
      </w:r>
    </w:p>
    <w:p>
      <w:pPr>
        <w:spacing w:after="0" w:line="157"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commence sales and marketing of DANYELZA and conduct clinical trials of, and seek marketing approval for our lead product candidate omburtamab and our other product candidates. We expect to incur commercialization expenses, which may be significant, related to product sales, marketing, manufacturing and distribution of DANYELZA or our product candidates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until at least such time as we can generate substantial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68"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70" w:lineRule="exact"/>
        <w:rPr>
          <w:sz w:val="20"/>
          <w:szCs w:val="20"/>
          <w:color w:val="auto"/>
        </w:rPr>
      </w:pPr>
    </w:p>
    <w:p>
      <w:pPr>
        <w:jc w:val="both"/>
        <w:ind w:left="60" w:right="139" w:firstLine="648"/>
        <w:spacing w:after="0" w:line="301"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DANYELZA and our product candidates, if approved, we expect to finance our cash needs through a combination of cash on hand, equity offerings, debt financings, collaborations, strategic alliances and/or licensing arrangements. To the extent that we raise additional capital through the sale of equity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convertible debt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commercialization of DANYELZA or other products, if approved, or development of our product candidates.</w:t>
      </w:r>
    </w:p>
    <w:p>
      <w:pPr>
        <w:spacing w:after="0" w:line="16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84"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We intend to focus our efforts and managerial resources on specific products and product candidates and on specific indications such as DANYELZA for the treatment of relapsed/refractory high-risk neuroblastoma in bone and/or bone marrow and omburtamab for central nervous system leptomeningeal metastases from neuroblastoma.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68"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7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Management performed its initial assessment of the effectiveness of internal control over financial reporting. This assessment included disclosures of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undertaken and are executing the activities necessary to remediate the material weaknesses identified in our assessment.</w:t>
      </w:r>
    </w:p>
    <w:p>
      <w:pPr>
        <w:spacing w:after="0" w:line="178"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In connection with the audit of our financial statements for the years ended December 31, 2020 and 2019,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design and maintain controls to analyze, record and disclose complex accounting matters timely and accurately, including share based compensation arrangements and accounting for license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color w:val="auto"/>
        </w:rPr>
        <w:t>arrangements; and (c) design and maintain controls over the preparation and review of account reconciliations, journal entries and financial statements, including maintaining appropriate segregation of duties.</w:t>
      </w:r>
    </w:p>
    <w:p>
      <w:pPr>
        <w:spacing w:after="0" w:line="146"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49"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are taking steps to address the material weaknesses identified above and have hired three additional finance and accounting professionals in 2019 and 2020, to a total of seven professionals to help mitigate the identified material weaknesses in our internal control over financial reporting by increasing the oversight and review procedures with regard to segregation of duties, financial reporting, financial processes and procedures and internal control procedures. Of these three additional finance and accounting professionals one has SEC reporting and accounting experience, and two have experience in internal controls and financial controlling. We have implemented, designed and are testing the operating effectiveness of controls to potentially remediate the material weakness. We have designed and are testing controls to remediate the control gaps identified in our annual assessment. No assurance can be given that these or other measures will fully remediate the material weaknesses described above in a timely manner. Additionally, if the costs related to compliance are significant, our results of operations and financial condition may be materially adversely affected.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No assurance can be given that all of our existing material weaknesses have been identified, or that we will not in the future identify additional material weaknesses.</w:t>
      </w:r>
    </w:p>
    <w:p>
      <w:pPr>
        <w:spacing w:after="0" w:line="17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are required to formally attest to the effectiveness of our internal control over financial reporting pursuant to Section 404(a) of the Sarbanes-Oxley Act and our independent registered public accounting firm are required to formally attest to the effectiveness of our internal control over financial reporting pursuant to Section 404(b) of the Sarbanes-Oxley Act for the year ended December 31, 2020. We are no longer an “emerging growth company” as of December 31, 2020 as the market value of our common stock held by non-affiliates exceeded $700.0 million as of June 30, 2020. Our remediation efforts may not enable us to avoid material weaknesses in our internal control over financial reporting in the future. The adverse report on the effectiveness of our internal control over financial reporting pursuant to Section 404(b) of the Sarbanes-Oxley Act for the year ended December 31, 2020, by our independent registered public accounting firm could have a material adverse impact on our company and financial statements and we may not be able to accurately or timely report our financial condition or results of operations, which may adversely affect investor confidence in us and, as a result, the value of our common stock.</w:t>
      </w:r>
    </w:p>
    <w:p>
      <w:pPr>
        <w:spacing w:after="0" w:line="18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Select Market or other adverse consequences that would materially harm our business. If we cannot provide reliable financial reports or prevent fraud, or error,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71"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Our only approved product DANYELZA, our product candidates and related technologies represent novel approaches to cancer treatment generally. Developing and commercializing these products therefore subjects us to a number of challenges. To date we have not generated any substantial revenues from sales of DANYELZA which is currently our only approved product. We may never be able to develop another marketable product. Our ability to generate product revenue is highly dependent on our ability to successfully commercialize DANYELZA and to obtain additional regulatory approvals of and successfully commercialize additional product candidates including in particular omburtamab.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other of our product candidates will be successful in clinical studies and they may not receive regulatory approval even if they are successful in clinical studies.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success of our product candidates in development will depend on several factors, including the following:</w:t>
      </w:r>
    </w:p>
    <w:p>
      <w:pPr>
        <w:spacing w:after="0" w:line="237" w:lineRule="exact"/>
        <w:rPr>
          <w:sz w:val="20"/>
          <w:szCs w:val="20"/>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1040" w:right="11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36" w:lineRule="exact"/>
        <w:rPr>
          <w:rFonts w:ascii="Arial" w:cs="Arial" w:eastAsia="Arial" w:hAnsi="Arial"/>
          <w:sz w:val="17"/>
          <w:szCs w:val="17"/>
          <w:color w:val="auto"/>
        </w:rPr>
      </w:pPr>
    </w:p>
    <w:p>
      <w:pPr>
        <w:ind w:left="1040" w:right="7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1040" w:right="4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third-party payors;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4"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DANYELZA and our lead product candidate omburtamab are our most advanced product and product candidate. Because our other product candidates are based on similar technology, if DANYELZA or omburtamab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1"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b w:val="1"/>
          <w:bCs w:val="1"/>
          <w:i w:val="1"/>
          <w:iCs w:val="1"/>
          <w:color w:val="auto"/>
        </w:rPr>
        <w:t>We have limited experience operating as a commercial company and the marketing and sale of DANYELZA or any future approved products may be unsuccessful or less successful than anticipated.</w:t>
      </w:r>
    </w:p>
    <w:p>
      <w:pPr>
        <w:spacing w:after="0" w:line="14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While we are initiating the commercial launch of DANYELZA in the United States,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 selling DANYELZA, we will need to successfully:</w:t>
      </w:r>
    </w:p>
    <w:p>
      <w:pPr>
        <w:spacing w:after="0" w:line="171" w:lineRule="exact"/>
        <w:rPr>
          <w:sz w:val="20"/>
          <w:szCs w:val="20"/>
          <w:color w:val="auto"/>
        </w:rPr>
      </w:pPr>
    </w:p>
    <w:p>
      <w:pPr>
        <w:ind w:left="1040" w:right="17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products and any future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 adequate pricing and reimbursement for DANYELZA and any future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gain regulatory authorization for the development and commercialization of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accurately forecast demand for our products and scale manufacturing to meet that demand;</w:t>
      </w:r>
    </w:p>
    <w:p>
      <w:pPr>
        <w:spacing w:after="0" w:line="225"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 and grow our relationship with MSK as a user of DANYELZA and any future products.</w:t>
      </w:r>
    </w:p>
    <w:p>
      <w:pPr>
        <w:spacing w:after="0" w:line="225"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product candidates, commercialize DANYELZA or any future products, raise capital, expand our business, or continue our operations.</w:t>
      </w:r>
    </w:p>
    <w:p>
      <w:pPr>
        <w:spacing w:after="0" w:line="184"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4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p>
      <w:pPr>
        <w:spacing w:after="0" w:line="195" w:lineRule="exact"/>
        <w:rPr>
          <w:sz w:val="20"/>
          <w:szCs w:val="20"/>
          <w:color w:val="auto"/>
        </w:rPr>
      </w:pPr>
    </w:p>
    <w:p>
      <w:pPr>
        <w:ind w:left="1040" w:hanging="315"/>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timing of competitive product introductions and other actions by competitors in the marketplace.</w:t>
      </w:r>
    </w:p>
    <w:p>
      <w:pPr>
        <w:spacing w:after="0" w:line="237"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b w:val="1"/>
          <w:bCs w:val="1"/>
          <w:i w:val="1"/>
          <w:iCs w:val="1"/>
          <w:color w:val="auto"/>
        </w:rPr>
        <w:t>We have only recently established our marketing and sales organization and have only limited experience in marketing and sale of biopharmaceutical products.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5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We have only recently established our sales and marketing organization and have only limited experience in marketing and sale of biopharmaceutical products. We began small shipments of DANYELZA in February 2021. Other than our commercialization partnerships for DANYELZA and omburtamab covering certain territories outside the US with SciClone Pharmaceuticals International Ltd, Takeda Israel and Swixx Biopharma AG, we are not currently a party to any strategic collaboration that provides us with access to a collaborator’s resources in selling or marketing drugs. 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 and we are currently initiating the process of building our own sales capabilities in Europe, however, no assurance can be given that we will be successful in our efforts.</w:t>
      </w:r>
    </w:p>
    <w:p>
      <w:pPr>
        <w:spacing w:after="0" w:line="17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expenses. This may be costly, and our investment would be lost if we cannot retain or reposition our sales and marketing personnel.</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ind w:left="1040" w:hanging="315"/>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raise financing necessary to maintain and grow our commercialization infrastructure;</w:t>
      </w:r>
    </w:p>
    <w:p>
      <w:pPr>
        <w:spacing w:after="0" w:line="225" w:lineRule="exact"/>
        <w:rPr>
          <w:rFonts w:ascii="Arial" w:cs="Arial" w:eastAsia="Arial" w:hAnsi="Arial"/>
          <w:sz w:val="18"/>
          <w:szCs w:val="18"/>
          <w:color w:val="auto"/>
        </w:rPr>
      </w:pPr>
    </w:p>
    <w:p>
      <w:pPr>
        <w:ind w:left="1040" w:right="179" w:hanging="315"/>
        <w:spacing w:after="0" w:line="259"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DANYELZA or any future approved products, in particular in light of current reduced in-person access to medical institutions and personnel and other significant disruptions to the healthcare system and community due to COVID-19;</w:t>
      </w:r>
    </w:p>
    <w:p>
      <w:pPr>
        <w:spacing w:after="0" w:line="186"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1040" w:right="779" w:hanging="315"/>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170"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Our revenues from the sale of drugs or the profitability of these revenues to us are likely to be lower from arrangements that we enter into with third parties to perform sales and marketing service (such as with SciClone Pharmaceuticals International Ltd, Takeda Israel and Swixx Biopharma AG) than if we were to market and sell any drugs that we develop ourselves. In addition, we may not be successful in entering additional arrangements with third parties to sell and market our product candidates or may be unable to do so on terms that are favorable to us. We have limited control over such third parties, and any of them may fail to devote the necessary resources and attention to sell and market our drugs effectively.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7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actual and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DANYELZA or our product candidates or may develop proprietary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technologies or secure patent protection that we may need for the commercialization of DANYELZA and development of our product candidates and related technologies.</w:t>
      </w:r>
    </w:p>
    <w:p>
      <w:pPr>
        <w:spacing w:after="0" w:line="170"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6"/>
          <w:szCs w:val="16"/>
          <w:color w:val="auto"/>
        </w:rPr>
        <w:t>Specifically, MacroGenics, Inc. and Daiichi Sankyo Co. are developing antibodies against B7-H3. United Therapeutics Corporation, or United Therapeutics, has commercialized Unituxin (dinutuximab), an antibody against GD2, in the United States and has announced plans to seek a label expansion for Unituxin in combination with irinotecan and temozolomide for the treatment of pediatric patients with R/R NB. During the third quarter of 2020, United Therapeutics discontinued its efforts to investigate Unituxin’s potential activity against adult cancerous tumors, and its efforts to develop a humanized version of Unituxin. In addition, DANYELZA may face competition from dinutuximab beta, a similar antibody product against GD2 developed by Apeiron Biologics AG, or Apeiron, that was approved in Europe in May 2017 to treat high-risk NB and R/R NB. In October 2016, EUSA Pharma (UK) Ltd., or EUSA, announced that it had acquired global commercialization rights to dinutuximab beta, which is currently being commercialized under the name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Europe. EUSA has previously announced plans to file for registration of dinutuximab beta in the United States in 2020 in R/R NB. In January 2020, EUSA and BeiGene Ltd., or BeiGene, announced an exclusive collaboration to commercialize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mainland China and in November 2020 EUSA and BeiGene announced that the BLA for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(dinutuximab beta) was accepted by the China National Medical Products Administration and granted priority review.</w:t>
      </w:r>
    </w:p>
    <w:p>
      <w:pPr>
        <w:spacing w:after="0" w:line="182"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We may not be the first to market even with respect to our approved products such as DANYELZA and that may affect the price or demand for DANYELZA and our product candidates. Additionally, the availability and price of our competitors’ products could limit the demand and the price we are able to charge for our products. We may not be able to implement our business plan if the acceptance of our products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6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b w:val="1"/>
          <w:bCs w:val="1"/>
          <w:i w:val="1"/>
          <w:iCs w:val="1"/>
          <w:color w:val="auto"/>
        </w:rPr>
        <w:t>The market opportunities for DANYELZA and our product candidates, if approved,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if approved, may be smaller than we expect.</w:t>
      </w:r>
    </w:p>
    <w:p>
      <w:pPr>
        <w:spacing w:after="0" w:line="157"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Our current target patient population is based on our beliefs and estimates regarding the incidence or prevalence of certain types of cancers that may be addressable by our DANYELZA and product candidates, which are derived from a variety of sources, including scientific literature, surveys of clinics, patient foundations, or market research. The total addressable market opportunity for DANYELZA and any other product candidates we may produce, if approved, will ultimately depend upon, among other things, the diagnosis criteria included in the final label for our current and future products for sale for these indications,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spacing w:after="0" w:line="19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Even if we obtain significant market share for DANYELZA or our product candidates, if approved, because the potential target populations are small, we may never achieve profitability without obtaining regulatory approval for additional and broader indications, including use of DANYELZA or our product candidates, if approved, for front-line and third-line therapy.</w:t>
      </w:r>
    </w:p>
    <w:p>
      <w:pPr>
        <w:spacing w:after="0" w:line="18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DANYELZA is approved only as second line treatment for patients with relapsed/refractory high-risk neuroblastoma in bone and/or bone marrow, and we expect to initially seek approval of our product candidate omburtamab also as second-line therapy for patients who have relapsed from systemic disease. Even if we would seek approval as front-line or third-line therapy for DANYELZA, omburtamab or another product candidate there is no</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guarantee that they would be approved. In addition, we may have to conduct additional clinical trials prior to gaining approval for front-line or third-line therapy.</w:t>
      </w:r>
    </w:p>
    <w:p>
      <w:pPr>
        <w:spacing w:after="0" w:line="170"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4" w:lineRule="exact"/>
        <w:rPr>
          <w:sz w:val="20"/>
          <w:szCs w:val="20"/>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1040" w:right="259" w:hanging="315"/>
        <w:spacing w:after="0" w:line="263"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8"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b w:val="1"/>
          <w:bCs w:val="1"/>
          <w:i w:val="1"/>
          <w:iCs w:val="1"/>
          <w:color w:val="auto"/>
        </w:rPr>
        <w:t>DANYELZA or any current or future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7"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As with most biological drug products, use of DANYELZA or any current or future product candidates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interrupt, delay, or halt clinical trials.</w:t>
      </w:r>
    </w:p>
    <w:p>
      <w:pPr>
        <w:spacing w:after="0" w:line="171"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products and product candidates to understand their side effect profiles, both for our planned clinical trials and upon any commercialization of any product candidates when approved such as DANYELZA.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spacing w:after="0" w:line="196"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84"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9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such as for DANYELZA in the US,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78" w:lineRule="exact"/>
        <w:rPr>
          <w:sz w:val="20"/>
          <w:szCs w:val="20"/>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authorities may (such as for DANYELZA) narrow the indications for use or require additional warnings in the labeling, such as a boxed warning or a contraindication, or impose distribution or use restrictions;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15"/>
        <w:spacing w:after="0" w:line="311" w:lineRule="auto"/>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48" w:lineRule="exact"/>
        <w:rPr>
          <w:rFonts w:ascii="Arial" w:cs="Arial" w:eastAsia="Arial" w:hAnsi="Arial"/>
          <w:sz w:val="16"/>
          <w:szCs w:val="16"/>
          <w:color w:val="auto"/>
        </w:rPr>
      </w:pPr>
    </w:p>
    <w:p>
      <w:pPr>
        <w:ind w:left="1040" w:right="439" w:hanging="315"/>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87"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1"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6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68"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jc w:val="both"/>
        <w:ind w:left="60" w:right="119" w:firstLine="648"/>
        <w:spacing w:after="0" w:line="311" w:lineRule="auto"/>
        <w:rPr>
          <w:sz w:val="20"/>
          <w:szCs w:val="20"/>
          <w:color w:val="auto"/>
        </w:rPr>
      </w:pPr>
      <w:r>
        <w:rPr>
          <w:rFonts w:ascii="Arial" w:cs="Arial" w:eastAsia="Arial" w:hAnsi="Arial"/>
          <w:sz w:val="16"/>
          <w:szCs w:val="16"/>
          <w:color w:val="auto"/>
        </w:rPr>
        <w:t>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finding occurs in one or more of our clinical trials of our lead product candidates, such event could adversely affect our other clinical trials of our lead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have initiated Study 101 and such study will form the primary basis for our planned resubmission of the BLA for omburtamab to establish comparability of study population and pharmacokinetics analysis with Study 03-133 and to satisfy the confirmatory study and post-marketing requirements by the FDA. If the results of this study fail to demonstrate comparability to the satisfaction of the FDA and other comparable regulatory authorities, this may lead to a delay in the approval process for omburtamab.</w:t>
      </w:r>
    </w:p>
    <w:p>
      <w:pPr>
        <w:spacing w:after="0" w:line="181"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77"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84"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Other than DANYELZA, the product candidates and related technologies we have licensed have not yet led, and may never lead, to approved products. Further, our only approved product DANYELZA was just recently approved and launched in the United States and hence its commercial potential cannot be judged with accuracy at this point in time. Even if we are successful in continuing to build our pipeline, obtaining regulatory approvals and commercializing our product candidates will require substantial additional funding beyond cash and cash equivalents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72" w:lineRule="exact"/>
        <w:rPr>
          <w:sz w:val="20"/>
          <w:szCs w:val="20"/>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may not be able to assemble sufficient resources to acquire or discover additional product candidates;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342" w:lineRule="auto"/>
        <w:tabs>
          <w:tab w:leader="none" w:pos="10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0"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which has been approved by the FDA for the United States market, even if we receive approval to market our product candidates from the FDA, the EMA, or other regulatory bodies, whether for the treatment of cancers or other diseases, no assurance can be given you that any such product candidates will be successfully commercialized, widely accepted in the marketplace or more effective than other commercially available alternatives.</w:t>
      </w:r>
    </w:p>
    <w:p>
      <w:pPr>
        <w:spacing w:after="0" w:line="177"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We currently have in place several agreements with MSK, including the MSK License, the MSK CD33 License, the SADA License Agreement,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due to patients obtaining treatment at the institution,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 or because the commercial potential is difficult to predict.</w:t>
      </w:r>
    </w:p>
    <w:p>
      <w:pPr>
        <w:spacing w:after="0" w:line="171"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our current or potential future collaborations we may enter into involving our product candidates, are subject to numerous risks, including the following:</w:t>
      </w:r>
    </w:p>
    <w:p>
      <w:pPr>
        <w:spacing w:after="0" w:line="124" w:lineRule="exact"/>
        <w:rPr>
          <w:sz w:val="20"/>
          <w:szCs w:val="20"/>
          <w:color w:val="auto"/>
        </w:rPr>
      </w:pPr>
    </w:p>
    <w:p>
      <w:pPr>
        <w:ind w:left="1040" w:right="859" w:hanging="315"/>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have significant discretion in determining the efforts and resources that they will apply to a collaboration;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hanging="315"/>
        <w:spacing w:after="0" w:line="275" w:lineRule="auto"/>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third parties or any current or potential future collaborators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6" w:lineRule="exact"/>
        <w:rPr>
          <w:rFonts w:ascii="Arial" w:cs="Arial" w:eastAsia="Arial" w:hAnsi="Arial"/>
          <w:sz w:val="17"/>
          <w:szCs w:val="17"/>
          <w:color w:val="auto"/>
        </w:rPr>
      </w:pPr>
    </w:p>
    <w:p>
      <w:pPr>
        <w:ind w:left="1040" w:right="79" w:hanging="315"/>
        <w:spacing w:after="0" w:line="263"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379" w:hanging="315"/>
        <w:spacing w:after="0" w:line="342" w:lineRule="auto"/>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such third parties or any current or potential future collaborators could independently develop, or develop with third parties, products that compete directly or indirectly with our products or product candidates;</w:t>
      </w:r>
    </w:p>
    <w:p>
      <w:pPr>
        <w:spacing w:after="0" w:line="123" w:lineRule="exact"/>
        <w:rPr>
          <w:rFonts w:ascii="Arial" w:cs="Arial" w:eastAsia="Arial" w:hAnsi="Arial"/>
          <w:sz w:val="16"/>
          <w:szCs w:val="16"/>
          <w:color w:val="auto"/>
        </w:rPr>
      </w:pPr>
    </w:p>
    <w:p>
      <w:pPr>
        <w:ind w:left="1040" w:right="159" w:hanging="315"/>
        <w:spacing w:after="0" w:line="259"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products or product candidates;</w:t>
      </w:r>
    </w:p>
    <w:p>
      <w:pPr>
        <w:spacing w:after="0" w:line="186" w:lineRule="exact"/>
        <w:rPr>
          <w:rFonts w:ascii="Arial" w:cs="Arial" w:eastAsia="Arial" w:hAnsi="Arial"/>
          <w:sz w:val="18"/>
          <w:szCs w:val="18"/>
          <w:color w:val="auto"/>
        </w:rPr>
      </w:pPr>
    </w:p>
    <w:p>
      <w:pPr>
        <w:ind w:left="1040" w:right="219" w:hanging="315"/>
        <w:spacing w:after="0" w:line="308" w:lineRule="auto"/>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third party or any current tor potential future collaborator with marketing and distribution rights to one or more products may not commit sufficient resources to their marketing and distribution;</w:t>
      </w:r>
    </w:p>
    <w:p>
      <w:pPr>
        <w:spacing w:after="0" w:line="146" w:lineRule="exact"/>
        <w:rPr>
          <w:rFonts w:ascii="Arial" w:cs="Arial" w:eastAsia="Arial" w:hAnsi="Arial"/>
          <w:sz w:val="17"/>
          <w:szCs w:val="17"/>
          <w:color w:val="auto"/>
        </w:rPr>
      </w:pPr>
    </w:p>
    <w:p>
      <w:pPr>
        <w:ind w:left="1040" w:right="119" w:hanging="315"/>
        <w:spacing w:after="0" w:line="259"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6" w:lineRule="exact"/>
        <w:rPr>
          <w:rFonts w:ascii="Arial" w:cs="Arial" w:eastAsia="Arial" w:hAnsi="Arial"/>
          <w:sz w:val="18"/>
          <w:szCs w:val="18"/>
          <w:color w:val="auto"/>
        </w:rPr>
      </w:pPr>
    </w:p>
    <w:p>
      <w:pPr>
        <w:ind w:left="1040" w:right="239" w:hanging="315"/>
        <w:spacing w:after="0" w:line="311" w:lineRule="auto"/>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disputes may arise between us and such third 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p>
      <w:pPr>
        <w:spacing w:after="0" w:line="148" w:lineRule="exact"/>
        <w:rPr>
          <w:rFonts w:ascii="Arial" w:cs="Arial" w:eastAsia="Arial" w:hAnsi="Arial"/>
          <w:sz w:val="16"/>
          <w:szCs w:val="16"/>
          <w:color w:val="auto"/>
        </w:rPr>
      </w:pPr>
    </w:p>
    <w:p>
      <w:pPr>
        <w:ind w:left="1040" w:right="159" w:hanging="315"/>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40" w:right="419" w:hanging="315"/>
        <w:spacing w:after="0" w:line="263"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83" w:lineRule="exact"/>
        <w:rPr>
          <w:rFonts w:ascii="Arial" w:cs="Arial" w:eastAsia="Arial" w:hAnsi="Arial"/>
          <w:sz w:val="18"/>
          <w:szCs w:val="18"/>
          <w:color w:val="auto"/>
        </w:rPr>
      </w:pPr>
    </w:p>
    <w:p>
      <w:pPr>
        <w:jc w:val="both"/>
        <w:ind w:left="1040" w:right="339" w:hanging="315"/>
        <w:spacing w:after="0" w:line="263"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own or co-own intellectual property covering our products that results from our collaborating with them, and in such cases, we would not have the exclusive right to commercialize such intellectual property.</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4"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beta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390"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b w:val="1"/>
          <w:bCs w:val="1"/>
          <w:i w:val="1"/>
          <w:iCs w:val="1"/>
          <w:color w:val="auto"/>
        </w:rPr>
        <w:t>Our normal business operations may, directly or indirectly, be adversely impacted by the ongoing global COVID-19 pandemic. COVID-19 and future outbreak of any highly infectious or contagious diseases, could materially and adversely affect our operations and have a material impact on our financial position. Further, the spread of the COVID-19 outbreak has caused business continuity issues of an as yet unknown magnitude and duration.</w:t>
      </w:r>
    </w:p>
    <w:p>
      <w:pPr>
        <w:spacing w:after="0" w:line="157"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COVID-19 pandemic, and preventative measures taken to contain or mitigate this pandemic have caused, and are continuing to cause, business slowdowns or shutdowns in various regions around the world and disruption in the global supply chain and business operations. National, state and local governments in affected regions have implemented and may continue to implement safety precautions, including quarantines, border closures, increased border controls, travel restrictions, shelter in place orders and shutdowns, resulting in business closures, work stoppages, slowdowns and delays, cancellation of events and other measures. These measures may disrupt normal business operations both in and outside of affected areas and may have significant negative impacts on businesses and financial markets worldwide. We continue to monitor our operations and applicable government recommendations, and we have made modifications to our normal operations because of the COVID-19 pandemic, including limiting travel and working from home and also implemented enhanced travel-safe policies for our employees’ travel to our clinical sites. 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security breaches.</w:t>
      </w:r>
    </w:p>
    <w:p>
      <w:pPr>
        <w:spacing w:after="0" w:line="16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COVID-19 pandemic could affect the health and availability of our workforce as well as those of the third parties we rely on. If members of our management and other key personnel in critical functions across our organization are unable to perform their duties or have limited availability due to the COVID-19 pandemic, we may not be able to execute on our business strategy and/or our operations may be negatively impacted.</w:t>
      </w:r>
    </w:p>
    <w:p>
      <w:pPr>
        <w:spacing w:after="0" w:line="187"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CMOs and other third parties and collaborators upon whom we rely. The COVID-19 pandemic has affected multiple countries worldwide, including those where we have planned and ongoing preclinical studies and clinical trials.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 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85"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77"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Further, COVID-19 has severely impacted global economic activity and caused significant volatility and negative pressure in global financial markets. Many experts predict that the outbreak will trigger a period of global economic slowdown or a global recession. We are unable to predict the extent or nature of these impacts at this time.</w:t>
      </w:r>
    </w:p>
    <w:p>
      <w:pPr>
        <w:spacing w:after="0" w:line="16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COVID-19 is adversely affecting, and is expected to continue to adversely affect, our operations, and COVID-19 or another pandemic may result in material and adverse effects on our ability to successfully operate our business, including:</w:t>
      </w:r>
    </w:p>
    <w:p>
      <w:pPr>
        <w:spacing w:after="0" w:line="184" w:lineRule="exact"/>
        <w:rPr>
          <w:sz w:val="20"/>
          <w:szCs w:val="20"/>
          <w:color w:val="auto"/>
        </w:rPr>
      </w:pPr>
    </w:p>
    <w:p>
      <w:pPr>
        <w:ind w:left="1040" w:right="79" w:hanging="315"/>
        <w:spacing w:after="0" w:line="288" w:lineRule="auto"/>
        <w:tabs>
          <w:tab w:leader="none" w:pos="1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ability to successfully launch, commercialize, and generate revenue from DANYELZA and our product candidates, even if approved, may be adversely affected by the impact of the COVID-19 pandemic. For example, limited hospital access for non-patients, social distancing requirements, and precautionary measures due to COVID-19 have impacted the ability of our sales personnel to interact in-person with customers. In response, we have implemented a virtual launch model, which may adversely affect the ability of our sales professionals to effectively market DANYELZA and our product candidates to physicians, which may have a negative impact on our sales and our market penetration. In addition, in the United States we plan to utilize various programs to help patients afford our products, including patient assistance programs for eligible patients. Market disruption and rising unemployment caused by the COVID-19 pandemic may lead to increased utilization of our patient assistance programs, which could reduce revenues;</w:t>
      </w:r>
    </w:p>
    <w:p>
      <w:pPr>
        <w:spacing w:after="0" w:line="168" w:lineRule="exact"/>
        <w:rPr>
          <w:rFonts w:ascii="Arial" w:cs="Arial" w:eastAsia="Arial" w:hAnsi="Arial"/>
          <w:sz w:val="16"/>
          <w:szCs w:val="16"/>
          <w:color w:val="auto"/>
        </w:rPr>
      </w:pPr>
    </w:p>
    <w:p>
      <w:pPr>
        <w:ind w:left="1040" w:right="179" w:hanging="315"/>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 including receiving any required investigational new drug applications, or INDs;</w:t>
      </w:r>
    </w:p>
    <w:p>
      <w:pPr>
        <w:spacing w:after="0" w:line="170" w:lineRule="exact"/>
        <w:rPr>
          <w:rFonts w:ascii="Arial" w:cs="Arial" w:eastAsia="Arial" w:hAnsi="Arial"/>
          <w:sz w:val="18"/>
          <w:szCs w:val="18"/>
          <w:color w:val="auto"/>
        </w:rPr>
      </w:pPr>
    </w:p>
    <w:p>
      <w:pPr>
        <w:ind w:left="1040" w:right="439" w:hanging="315"/>
        <w:spacing w:after="0" w:line="308" w:lineRule="auto"/>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delays or difficulties in enrolling and retaining patients in our clinical trials if patients are affected by the virus or are fearful of visiting or traveling to clinical trial sites because of the outbreak;</w:t>
      </w:r>
    </w:p>
    <w:p>
      <w:pPr>
        <w:spacing w:after="0" w:line="146" w:lineRule="exact"/>
        <w:rPr>
          <w:rFonts w:ascii="Arial" w:cs="Arial" w:eastAsia="Arial" w:hAnsi="Arial"/>
          <w:sz w:val="17"/>
          <w:szCs w:val="17"/>
          <w:color w:val="auto"/>
        </w:rPr>
      </w:pPr>
    </w:p>
    <w:p>
      <w:pPr>
        <w:ind w:left="1040" w:right="199" w:hanging="315"/>
        <w:spacing w:after="0" w:line="263"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manufacturing disruptions;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delays in the transport of clinical trial materials;</w:t>
      </w:r>
    </w:p>
    <w:p>
      <w:pPr>
        <w:spacing w:after="0" w:line="225" w:lineRule="exact"/>
        <w:rPr>
          <w:rFonts w:ascii="Arial" w:cs="Arial" w:eastAsia="Arial" w:hAnsi="Arial"/>
          <w:sz w:val="18"/>
          <w:szCs w:val="18"/>
          <w:color w:val="auto"/>
        </w:rPr>
      </w:pPr>
    </w:p>
    <w:p>
      <w:pPr>
        <w:jc w:val="both"/>
        <w:ind w:left="1040" w:right="599" w:hanging="315"/>
        <w:spacing w:after="0" w:line="263"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83" w:lineRule="exact"/>
        <w:rPr>
          <w:rFonts w:ascii="Arial" w:cs="Arial" w:eastAsia="Arial" w:hAnsi="Arial"/>
          <w:sz w:val="18"/>
          <w:szCs w:val="18"/>
          <w:color w:val="auto"/>
        </w:rPr>
      </w:pPr>
    </w:p>
    <w:p>
      <w:pPr>
        <w:ind w:left="1040" w:right="99" w:hanging="315"/>
        <w:spacing w:after="0" w:line="308"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46" w:lineRule="exact"/>
        <w:rPr>
          <w:rFonts w:ascii="Arial" w:cs="Arial" w:eastAsia="Arial" w:hAnsi="Arial"/>
          <w:sz w:val="17"/>
          <w:szCs w:val="17"/>
          <w:color w:val="auto"/>
        </w:rPr>
      </w:pPr>
    </w:p>
    <w:p>
      <w:pPr>
        <w:ind w:left="1040" w:right="139" w:hanging="315"/>
        <w:spacing w:after="0" w:line="25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87" w:lineRule="exact"/>
        <w:rPr>
          <w:rFonts w:ascii="Arial" w:cs="Arial" w:eastAsia="Arial" w:hAnsi="Arial"/>
          <w:sz w:val="18"/>
          <w:szCs w:val="18"/>
          <w:color w:val="auto"/>
        </w:rPr>
      </w:pPr>
    </w:p>
    <w:p>
      <w:pPr>
        <w:ind w:left="1040" w:right="359" w:hanging="315"/>
        <w:spacing w:after="0" w:line="342" w:lineRule="auto"/>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delays in necessary interactions with local regulators, ethics committees and other important agencies and contractors due to limitations in employee resources or forced furlough of government employees;</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delays in regulatory approvals for our product candidates due to the FDA focusing on clinical trials related to therapies and vaccines targeting COVID-19;</w:t>
      </w:r>
    </w:p>
    <w:p>
      <w:pPr>
        <w:spacing w:after="0" w:line="170"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refusal of the FDA or other regulatory authorities to accept data, including from clinical trials in affected geographies or failure to comply with updated FDA or other regulatory guidance and expectations related to the conduct of clinical trials during the COVID-19 pandemic;</w:t>
      </w:r>
    </w:p>
    <w:p>
      <w:pPr>
        <w:spacing w:after="0" w:line="183" w:lineRule="exact"/>
        <w:rPr>
          <w:rFonts w:ascii="Arial" w:cs="Arial" w:eastAsia="Arial" w:hAnsi="Arial"/>
          <w:sz w:val="18"/>
          <w:szCs w:val="18"/>
          <w:color w:val="auto"/>
        </w:rPr>
      </w:pPr>
    </w:p>
    <w:p>
      <w:pPr>
        <w:ind w:left="1040" w:right="419" w:hanging="315"/>
        <w:spacing w:after="0" w:line="311" w:lineRule="auto"/>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destabilization of the markets and negative impacts on the healthcare system or regulatory authorities globally could negatively impact our ability to obtain approval to market, market and sell our products, including through the disruption of regulatory activities or health care activities in general;</w:t>
      </w:r>
    </w:p>
    <w:p>
      <w:pPr>
        <w:spacing w:after="0" w:line="148" w:lineRule="exact"/>
        <w:rPr>
          <w:rFonts w:ascii="Arial" w:cs="Arial" w:eastAsia="Arial" w:hAnsi="Arial"/>
          <w:sz w:val="16"/>
          <w:szCs w:val="16"/>
          <w:color w:val="auto"/>
        </w:rPr>
      </w:pPr>
    </w:p>
    <w:p>
      <w:pPr>
        <w:jc w:val="both"/>
        <w:ind w:left="1040" w:right="319" w:hanging="315"/>
        <w:spacing w:after="0" w:line="263"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spacing w:after="0" w:line="183"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employees, especially if a significant number of them or any of their family members are impacted or if any of our senior leaders are impacted for an extended period of time;</w:t>
      </w:r>
    </w:p>
    <w:p>
      <w:pPr>
        <w:spacing w:after="0" w:line="183" w:lineRule="exact"/>
        <w:rPr>
          <w:rFonts w:ascii="Arial" w:cs="Arial" w:eastAsia="Arial" w:hAnsi="Arial"/>
          <w:sz w:val="18"/>
          <w:szCs w:val="18"/>
          <w:color w:val="auto"/>
        </w:rPr>
      </w:pPr>
    </w:p>
    <w:p>
      <w:pPr>
        <w:jc w:val="both"/>
        <w:ind w:left="1040" w:right="439" w:hanging="315"/>
        <w:spacing w:after="0" w:line="286"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potential delays in the preparation and submission of applications for regulatory approval of our product candidates, as well as potential interruptions or delays in FDA’s ability to review applications in a timely manner consistent with past practices, which may impact review and approval times;</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delays in scheduling manufacturing inspections in connection with BLA approval;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general decline in business activity;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deterioration in our ability to ensure business continuity during a disruption.</w:t>
      </w:r>
    </w:p>
    <w:p>
      <w:pPr>
        <w:spacing w:after="0" w:line="225"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Despite our efforts to manage and mitigate these impacts to our company, their ultimate impact also depends on factors beyond our knowledge or control, including the duration and severity of this and any other pandemic, as well as third-party actions taken to contain its spread and mitigate its public health effects, and the pace of global economic recovery following containment of the spread. In addition, while we cannot predict the impact that COVID-19 will have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on our suppliers, vendors and other business partners and each of their financial conditions, any material adverse effects on these parties could adversely impact us. The ultimate impact of this and any other pandemic on our business is highly uncertain and the continued spread of COVID-19 may have further adverse impacts on our business, operations, any pending regulatory approvals, supply chain, and financial position, and may also exacerbate other risks discussed in this this Annual Report on Form 10-K. To the extent the COVID-19 pandemic adversely affects our business, clinical trials, results of operations and financial condition, it may also have the effect of heightening many of the other risks described in this “Risk Factors” section.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ultimate impact of the COVID-19 pandemic or a similar health epidemic is highly uncertain and subject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w:t>
      </w:r>
    </w:p>
    <w:p>
      <w:pPr>
        <w:spacing w:after="0" w:line="211"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b w:val="1"/>
          <w:bCs w:val="1"/>
          <w:i w:val="1"/>
          <w:iCs w:val="1"/>
          <w:color w:val="auto"/>
        </w:rPr>
        <w:t>Any significant disruption in or unauthorized access to our computer systems or those of third parties that we utilize in our operations, including those relating to cybersecurity or arising from cyber-attacks, could result in a loss or degradation of service, unauthorized disclosure of data, including member and corporate information, or theft of intellectual property which could adversely impact our business.</w:t>
      </w:r>
    </w:p>
    <w:p>
      <w:pPr>
        <w:spacing w:after="0" w:line="17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Our business is dependent upon the reliable performance and security of our computer systems and those of third parties that we utilize in our operations. These systems may be subject to damage or interruption from, among other things, earthquakes, adverse weather conditions, other natural disasters, terrorist attacks, state-sponsored attacks, rogue employees, power loss, telecommunications failures, and cybersecurity risks. Interruptions in these systems, or with the internet in general, could hinder our ability to operate. Service interruptions, errors in our software or the unavailability of computer systems used in our operations could diminish the overall attractiveness of our business.</w:t>
      </w:r>
    </w:p>
    <w:p>
      <w:pPr>
        <w:spacing w:after="0" w:line="164"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Our computer systems and those of third parties we use in our operations are subject to cybersecurity threats, including cyber-attacks such as computer viruses, denial of service attacks, physical or electronic break-ins and similar disruptions. Additionally, outside parties may attempt to induce or deceive employees or users to disclose sensitive or confidential information in order to gain access to data. Any attempt by hackers to obtain our data (including patient, clinical trial and corporate information) or intellectual property, disrupt our business, or otherwise access our systems, or those of third parties we use, if successful, could harm our business, be expensive to remedy and damage our reputation. We have implemented commercially reasonable systems and processes to thwart hackers and otherwise protect our data and systems, but the techniques used to gain unauthorized access to data and software are constantly evolving, and we may be unable to anticipate or prevent unauthorized access. There is no assurance that hackers may not have a material impact on our business or systems in the future. Efforts to prevent hackers from disrupting our service or otherwise accessing our systems are expensive to develop, implement and maintain. These efforts require ongoing monitoring and updating as technologies change and efforts to overcome security measures become more sophisticated, and such efforts may limit the functionality of or otherwise negatively impact our operations and systems. Any significant disruption to our systems could adversely affect our business and results of operation. Further, a penetration of our systems or a third-party’s systems or other misappropriation or misuse of personal information could subject us to business, regulatory, litigation and reputation risk and divert internal resources to respond to such an event, which could have a negative effect on our business, financial condition and results of operations.</w:t>
      </w:r>
    </w:p>
    <w:p>
      <w:pPr>
        <w:spacing w:after="0" w:line="17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utilize our own communications and computer hardware systems located either in our facilities or in that of a third-party provider. In addition, we utilize third-party “cloud” computing services in connection with our business operations. Problems faced by us or our third-party “cloud” computing or other network providers, including technological or business-related disruptions, as well as natural disasters, cybersecurity threats and regulatory interference, could adversely impact the experience of our members.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b w:val="1"/>
          <w:bCs w:val="1"/>
          <w:i w:val="1"/>
          <w:iCs w:val="1"/>
          <w:color w:val="auto"/>
        </w:rPr>
        <w:t>Third parties have sponsored most clinical trials of DANYELZA and omburtamab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6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We have sponsored only a limited number of clinical trials relating to DANYELZA and omburtamab.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DANYELZA and omburtamab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DANYELZA or omburtamab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8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 before we may begin our planned trials and/or may not accept such additional data as adequate to begin our planned trials.</w:t>
      </w:r>
    </w:p>
    <w:p>
      <w:pPr>
        <w:spacing w:after="0" w:line="182"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84"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6"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8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b w:val="1"/>
          <w:bCs w:val="1"/>
          <w:i w:val="1"/>
          <w:iCs w:val="1"/>
          <w:color w:val="auto"/>
        </w:rPr>
        <w:t>We rely on third parties to manufacture DANYELZA for commercial sales and our product candidates for our ongoing and planned pre-clinical studies and clinical studies. We also expect to rely on third parties for the manufacturing process of additional product candidates and for commercial supplies of other product candidates than DANYELZA, if approved. Our business could be harmed if those third parties fail to provide us with sufficient quantities of product supplies or product candidates, or fail to do so at acceptable quality levels or prices or fail to maintain adequate compliance with CMC guidelines of the FDA.</w:t>
      </w:r>
    </w:p>
    <w:p>
      <w:pPr>
        <w:spacing w:after="0" w:line="178"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We do not currently own any facility that may be used as commercial or clinical-scale manufacturing and processing facility and we rely on outside vendors to manufacture supplies and process DANYELZA and product candidates for pre-clinical studies and clinical trials under the guidance of our management team. DANYELZA and omburtamab have only been manufactured or processed on a limited basis and we may not be able to continue doing so for these 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8"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DANYELZA and omburtamab from a limited number of third-party manufacturers. We have engaged a separate third-party manufacturer to conduct fill-and-finish and labeling services, as well as for the storage and distribution of DANYELZA and omburtamab to clinical sites. We do not have a long-term supply agreement with any of these third-party manufacturers, and we purchase our required drug supplies on a purchase order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We rely also on third-party manufacturers and third-party collaborators for the manufacture of DANYELZA for commercial supply and we expect this also to be the case for any of our product candidates for which we or any of our potential future collaborators obtain marketing approval. We may be unable to establish any agreements with third-party manufacturers or to do so on acceptable terms.</w:t>
      </w:r>
    </w:p>
    <w:p>
      <w:pPr>
        <w:spacing w:after="0" w:line="187"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We are highly dependent on our current third-party drug substance manufacturer of omburtamab, EMD/Merck, since this manufacturing process uses a hybridoma cell line in a relatively small scale (200 litres) cGMP manufacturing process. Many manufacturers refuse to allow hybridoma cell lines to be used in their facilities due to the risk of contamination and the relatively small scale of the cGMP system may render a collaboration with us less attractive from a third party’s commercial point of view.</w:t>
      </w:r>
    </w:p>
    <w:p>
      <w:pPr>
        <w:spacing w:after="0" w:line="188"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170" w:lineRule="exact"/>
        <w:rPr>
          <w:sz w:val="20"/>
          <w:szCs w:val="20"/>
          <w:color w:val="auto"/>
        </w:rPr>
      </w:pPr>
    </w:p>
    <w:p>
      <w:pPr>
        <w:ind w:left="1040" w:right="119" w:hanging="315"/>
        <w:spacing w:after="0" w:line="25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7"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1040" w:right="139" w:hanging="315"/>
        <w:spacing w:after="0" w:line="301" w:lineRule="auto"/>
        <w:tabs>
          <w:tab w:leader="none" w:pos="10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57"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70" w:lineRule="exact"/>
        <w:rPr>
          <w:rFonts w:ascii="Arial" w:cs="Arial" w:eastAsia="Arial" w:hAnsi="Arial"/>
          <w:sz w:val="18"/>
          <w:szCs w:val="18"/>
          <w:color w:val="auto"/>
        </w:rPr>
      </w:pPr>
    </w:p>
    <w:p>
      <w:pPr>
        <w:ind w:left="1040" w:right="199" w:hanging="315"/>
        <w:spacing w:after="0" w:line="259"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86"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third-party manufacturers could breach, terminate or not renew their agreement with us at a time that is costly or inconvenient for us;</w:t>
      </w:r>
    </w:p>
    <w:p>
      <w:pPr>
        <w:spacing w:after="0" w:line="170" w:lineRule="exact"/>
        <w:rPr>
          <w:rFonts w:ascii="Arial" w:cs="Arial" w:eastAsia="Arial" w:hAnsi="Arial"/>
          <w:sz w:val="18"/>
          <w:szCs w:val="18"/>
          <w:color w:val="auto"/>
        </w:rPr>
      </w:pPr>
    </w:p>
    <w:p>
      <w:pPr>
        <w:ind w:left="1040" w:right="79" w:hanging="315"/>
        <w:spacing w:after="0" w:line="286" w:lineRule="auto"/>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65"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9"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86"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 and may have inadequate quality control systems.</w:t>
      </w:r>
    </w:p>
    <w:p>
      <w:pPr>
        <w:spacing w:after="0" w:line="170" w:lineRule="exact"/>
        <w:rPr>
          <w:sz w:val="20"/>
          <w:szCs w:val="20"/>
          <w:color w:val="auto"/>
        </w:rPr>
      </w:pPr>
    </w:p>
    <w:p>
      <w:pPr>
        <w:ind w:left="60" w:right="119" w:firstLine="648"/>
        <w:spacing w:after="0" w:line="266" w:lineRule="auto"/>
        <w:rPr>
          <w:sz w:val="20"/>
          <w:szCs w:val="20"/>
          <w:color w:val="auto"/>
        </w:rPr>
      </w:pPr>
      <w:r>
        <w:rPr>
          <w:rFonts w:ascii="Arial" w:cs="Arial" w:eastAsia="Arial" w:hAnsi="Arial"/>
          <w:sz w:val="16"/>
          <w:szCs w:val="16"/>
          <w:color w:val="auto"/>
        </w:rPr>
        <w:t xml:space="preserve">Each of these risks could delay or prevent the completion of our clinical trials, could delay any additional BLA submissions or the approval of any of our product candidates by the FDA, result in higher costs or adversely impact commercialization of our product candidates. For example, during 2018 we experienced a shortage in the supply of Iodine-131, one of the components of our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product candidate, from our single source supplier. We have established a relationship with an additional supplier which we believe will be able to provide us with adequate supplies of Iodine-131. While we have not yet experienced any delays in the research and development of our </w:t>
      </w:r>
      <w:r>
        <w:rPr>
          <w:rFonts w:ascii="Arial" w:cs="Arial" w:eastAsia="Arial" w:hAnsi="Arial"/>
          <w:sz w:val="23"/>
          <w:szCs w:val="23"/>
          <w:color w:val="auto"/>
          <w:vertAlign w:val="superscript"/>
        </w:rPr>
        <w:t>131</w:t>
      </w:r>
      <w:r>
        <w:rPr>
          <w:rFonts w:ascii="Arial" w:cs="Arial" w:eastAsia="Arial" w:hAnsi="Arial"/>
          <w:sz w:val="16"/>
          <w:szCs w:val="16"/>
          <w:color w:val="auto"/>
        </w:rPr>
        <w:t>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83"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DANYELZA and our product candidates must be approved by the FDA pursuant to inspections conducted after submittal of the BLA to the FDA.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82"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Any performance failure on the part of our existing or future manufacturers could adversely affect our commercialization of approved products, such as DANYELZA, and delay clinical development or marketing approval. We do not currently have arrangements in place for redundant supply of our DANYELZA and omburtamab and we only currently use a different single third-party manufacturer for fill-and-finish services for DANYELZA and omburtamab. If our current contract manufacturers cannot perform as agreed, we may be required to replace those manufacturers and we may incur added costs and delays in identifying and qualifying any such replacement. We have been informed that the FDA plans to visit and inspect the site of EMD Millipore Corporation (now part of the Merck KgaA group of companies), or EMD/Merck in Merck KgA site in Martillac, France, where the drug substance is manufactured. The COVID-19 pandemic and travel restrictions may impact the timing of such inspection, even though it is not expected to take place until the second half of 2021. We estimate that the FDA inspection may occur in the second half of 2021 assuming the FDA accepts the omburtamab BLA filing. However, if the FDA is not able to timely conduct an inspection for any reason, including due to COVID-19 travel restrictions or otherwise, there may be adverse consequences to the approval process, and we may not obtain BLA approval on a timely basis or at all. Delays in the approval process or our inability to obtain approval for any reason for omburtamab or any other product candidate would have a material adverse effect upon our business, results of operations and financial condition. The FDA may also decide to inspect the fill and finish site at Patheon/Thermo Fisher in Ferentino, Italy, which may cause similar risks.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57"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We currently have limited internal research and development capabilities and we have not and are not currently conducting any independent clinical trials. Therefore, we currently rely on third-party research institutions for both capabilities.</w:t>
      </w:r>
    </w:p>
    <w:p>
      <w:pPr>
        <w:spacing w:after="0" w:line="184"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Currently, MSK is conducting clinical trials to address pediatric high-risk NB and relapsed osteosarcoma using DANYELZA. We are also conducting clinical trials at MSK for CNS/LM from NB, DIPG and DSRCT for our omburtamab product candidate and GD2 positive tumors for our nivatrotamab product candidate. Under the terms of the MCTA, we are obligated to pay for the costs associated with these clinical trials.</w:t>
      </w:r>
    </w:p>
    <w:p>
      <w:pPr>
        <w:spacing w:after="0" w:line="171"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8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66" w:lineRule="exact"/>
        <w:rPr>
          <w:sz w:val="20"/>
          <w:szCs w:val="20"/>
          <w:color w:val="auto"/>
        </w:rPr>
      </w:pPr>
    </w:p>
    <w:p>
      <w:pPr>
        <w:ind w:left="60" w:right="59"/>
        <w:spacing w:after="0" w:line="316" w:lineRule="auto"/>
        <w:rPr>
          <w:sz w:val="20"/>
          <w:szCs w:val="20"/>
          <w:color w:val="auto"/>
        </w:rPr>
      </w:pPr>
      <w:r>
        <w:rPr>
          <w:rFonts w:ascii="Arial" w:cs="Arial" w:eastAsia="Arial" w:hAnsi="Arial"/>
          <w:sz w:val="15"/>
          <w:szCs w:val="15"/>
          <w:b w:val="1"/>
          <w:bCs w:val="1"/>
          <w:i w:val="1"/>
          <w:iCs w:val="1"/>
          <w:color w:val="auto"/>
        </w:rPr>
        <w:t>DANYELZA and our product candidates are biologics and the manufacture of DANYELZA and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4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DANYELZA and our product candidates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of DANYELZA and our product candidates require many reagents, which are substances used in our manufacturing processes to bring about chemical or biological reactions, and other specialty materials and equipment, some of which are manufactured or supplied by small companies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will not occur in the future.</w:t>
      </w:r>
    </w:p>
    <w:p>
      <w:pPr>
        <w:spacing w:after="0" w:line="18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6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4"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b w:val="1"/>
          <w:bCs w:val="1"/>
          <w:i w:val="1"/>
          <w:iCs w:val="1"/>
          <w:color w:val="auto"/>
        </w:rPr>
        <w:t>We have entered into strategic collaborations for the development, marketing and commercialization of DANYELZA and omburtamab in certain jurisdictions and may do so also in the future for all or some of our product candidates. If those collaborations are not successful, or if we are unable to establish additional collaborations, we may have to alter or delay our development and commercialization plans.</w:t>
      </w:r>
    </w:p>
    <w:p>
      <w:pPr>
        <w:spacing w:after="0" w:line="171"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As we further develop our lead product candidates and following potential approval, commercialize our products, we may build a commercial infrastructure with the capability to directly market it to a variety of markets and territories. In November 2020, we have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Finally, later in December 2020, we entered into a license agreement for DANYELZA and omburtamab with SciClone Pharmaceuticals International Ltd., for Greater China, including Mainland China, Taiwan, Hong Kong and Macau. We may enter into further strategic collaborations for the development, marketing and commercialization of all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or some of our product candidates. Our current and future potential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179"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Our current and any future potential collaborations involving our product candidates pose risks to us, including the following:</w:t>
      </w:r>
    </w:p>
    <w:p>
      <w:pPr>
        <w:spacing w:after="0" w:line="170" w:lineRule="exact"/>
        <w:rPr>
          <w:sz w:val="20"/>
          <w:szCs w:val="20"/>
          <w:color w:val="auto"/>
        </w:rPr>
      </w:pPr>
    </w:p>
    <w:p>
      <w:pPr>
        <w:ind w:left="1040" w:right="13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1040" w:right="119" w:hanging="315"/>
        <w:spacing w:after="0" w:line="279" w:lineRule="auto"/>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rFonts w:ascii="Arial" w:cs="Arial" w:eastAsia="Arial" w:hAnsi="Arial"/>
          <w:sz w:val="17"/>
          <w:szCs w:val="17"/>
          <w:color w:val="auto"/>
        </w:rPr>
      </w:pPr>
    </w:p>
    <w:p>
      <w:pPr>
        <w:ind w:left="1040" w:right="119" w:hanging="315"/>
        <w:spacing w:after="0" w:line="263"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70" w:lineRule="exact"/>
        <w:rPr>
          <w:rFonts w:ascii="Arial" w:cs="Arial" w:eastAsia="Arial" w:hAnsi="Arial"/>
          <w:sz w:val="18"/>
          <w:szCs w:val="18"/>
          <w:color w:val="auto"/>
        </w:rPr>
      </w:pPr>
    </w:p>
    <w:p>
      <w:pPr>
        <w:ind w:left="1040" w:right="199" w:hanging="315"/>
        <w:spacing w:after="0" w:line="25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3"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1040" w:right="459" w:hanging="315"/>
        <w:spacing w:after="0" w:line="342" w:lineRule="auto"/>
        <w:tabs>
          <w:tab w:leader="none" w:pos="10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marketing and/or commercialization of the applicable product candidates;</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Our current and any future collaboration agreements, if any, may not lead to development or commercialization of product candidates in the most efficient manner, or at all.</w:t>
      </w:r>
    </w:p>
    <w:p>
      <w:pPr>
        <w:spacing w:after="0" w:line="170"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Coverage and reimbursement decisions by third-party payors may have an adverse effect on pricing and market acceptance. If there is not sufficient coverage and reimbursement for our products, it is less likely that our products will be widely used.</w:t>
      </w:r>
    </w:p>
    <w:p>
      <w:pPr>
        <w:spacing w:after="0" w:line="184"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Market acceptance and sales of our products, if approved, such as DANYELZA, will depend on coverage and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To date, no third-party provider has established coverage policies or provided reimbursement for DANYELZA or any of our other product candidates and we cannot assure you that coverage and reimbursement will be available for DANYELZA or any products that we develop or that the reimbursement level will be adequate to allow us to operate profitably. Also, we cannot be certain that coverage and reimbursement policies will not reduce the demand for, or the price paid for, our products. If coverage and reimbursement is not available or is available on a limited basis, or if the coverage and reimbursement amount is inadequate, we may not be able to successfully commercialize any of our approved products.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b w:val="1"/>
          <w:bCs w:val="1"/>
          <w:i w:val="1"/>
          <w:iCs w:val="1"/>
          <w:color w:val="auto"/>
        </w:rPr>
        <w:t>In October 2020 we received a Refusal to File letter from the FDA regarding our BLA for omburtamab. We plan to resubmit the BLA. The FDA retains discretion to decide again not to file our BLA for omburtamab and may refuse to accept an accelerated approval pathway for omburtamab or our other product candidates which could have a material adverse impact on our development and approval process for these product candidates and our other product candidates.</w:t>
      </w:r>
    </w:p>
    <w:p>
      <w:pPr>
        <w:spacing w:after="0" w:line="188"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We initiated submission of a rolling BLA for omburtamab in June 2020 under the FDA’s rolling review process and completed the rolling submission in August 2020. In October 2020 we received a Refusal to File letter from the FDA regarding the BLA for omburtamab. The reason for the FDA’s decision to issue the Refusal to File letter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color w:val="auto"/>
        </w:rPr>
        <w:t>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have a meeting with the FDA scheduled for March 26, 2021, to discuss the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there is no assurance that we will be successful in these discussions or that the FDA would accept our proposal and our data as sufficient to allow the BLA resubmission. In addition, the FDA may raise additional issues and pose questions to us that may delay the resubmission of our BLA for omburtamab, the filing of the BLA for omburtamab by the FDA, the approval process and the ultimate issuance of any Marketing Authorizations for omburtamab. We may not be able to provide a satisfactory or a timely response to FDA questions or we may not be able to timely gather the required data, or at all, to prepare our BLA submission for omburtamab as planned. If we are unable to address all questions or concerns the FDA has raised or may raise or if we do not have timely access to the data required for the preparations of the BLA, we may not be able to timely submit our BLA and ultimately receive a Marketing Authorization for omburtamab. If the FDA files the BLA and we are delayed or unable to provide data in response to FDA information requests, the PDUFA date for our BLA may be extended or we may receive a Complete Response Letter, which would have a material adverse effect on our business, results of operation and financial condition.</w:t>
      </w:r>
    </w:p>
    <w:p>
      <w:pPr>
        <w:spacing w:after="0" w:line="191"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The FDA retains discretion to decide again not to review our BLA for omburtamab. No assurance can be given that we would be able to satisfactorily or timely answer or resolve all the questions and issues the FDA may pose.</w:t>
      </w:r>
    </w:p>
    <w:p>
      <w:pPr>
        <w:spacing w:after="0" w:line="124"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We intend to resubmit our BLA as a rolling BLA submission. However, the FDA could refuse to accept a rolling BLA submission, which could result in a delay in obtaining a Marketing Authorization, if at all. In addition, while we are currently pursuing a full approval for our BLA for omburtamab, in the event the FDA finds our data insufficient to support such full approval, it is possible that the FDA would consider whether our clinical data is sufficient for a potential accelerated approval. However, the FDA may not find our data sufficient to support either a full approval or an accelerated approval. Even if the FDA were to find our clinical data sufficient to support an accelerated approval, we would need to conduct a post-marketing confirmatory study to confirm the clinical benefit of omburtamab. The FDA may also impose other conditions as a result of any accelerated or full approval which we may not be able to satisfy. Any delay or inability to obtain approval for our BLA for omburtamab would materially adversely affect our ability to generate revenue from commercialization of omburtamab, which would likely result in significant harm to our financial position and adversely impact our stock price. This could also adversely affect the development and approval process for our other product candidates. We can provide no assurance that the FDA will agree with our proposal or that we will be able to refile the BLA submission on time or at all or that we will ultimately be able to obtain FDA approval for omburtamab.</w:t>
      </w:r>
    </w:p>
    <w:p>
      <w:pPr>
        <w:spacing w:after="0" w:line="174"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In addition, as part of the FDA approval process, the FDA will require an inspection of the manufacturing facilities for omburtamab. If the FDA is unable to conclude that these manufacturing facilities are in substantial compliance with cGMP, or if the FDA is not able to timely conduct an inspection for any reason including due to COVID-19 travel restrictions or otherwise, there may be adverse consequences to the approval process, and we may not obtain BLA approval on a timely basis or at all. We estimate that the FDA inspection may occur in the second half of 2021 if assuming the FDA accepts the omburtamab BLA filing, however, if the FDA is not able to timely conduct an inspection for any reason including due to COVID-19 travel restrictions or otherwise, there may be adverse consequences to the approval process, and we may not obtain BLA approval on a timely basis or at all. Delays in the approval process or our inability to obtain approval for any reason for omburtamab or any other product candidate would have a material adverse effect upon our business, results of operations and financial condition. Delays in the approval process or our inability to obtain approval for any reason for omburtamab or any other drug candidate would have a material adverse effect upon our business, results of operations and financial condition.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for relapsed/refractory high-risk neuroblastoma in bone and/or bone marrow. We cannot predict when or if, and in which other territories, we, or any of our potential future collaborators, will obtain marketing approval to commercialize a product or product candidate.</w:t>
      </w:r>
    </w:p>
    <w:p>
      <w:pPr>
        <w:spacing w:after="0" w:line="17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as we did for DANYELZA for relapsed/refractory high-risk neuroblastoma in bone and/or bone marrow. We intend to conduct additional clinical trials in the United States and Europe. We intend to discuss with the FDA and EMA submission of BLAs for respective approval of DANYELZA and omburtamab as treatments for indications that currently lack FDA-approved treatments.</w:t>
      </w:r>
    </w:p>
    <w:p>
      <w:pPr>
        <w:spacing w:after="0" w:line="192"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not agree with our accelerated approval strategy with respect to omburtamab. The FDA may ultimately require one or multiple Phase 3 clinical trials prior to approval of omburtamab or other product candidates.</w:t>
      </w:r>
    </w:p>
    <w:p>
      <w:pPr>
        <w:spacing w:after="0" w:line="16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some, but only limited, experience in completing a submission of a BLA to the FDA, or similar approval submissions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82"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unintended side effects, toxicities or other characteristics that preclude our obtaining marketing approval or prevent or limit commercial use.</w:t>
      </w:r>
    </w:p>
    <w:p>
      <w:pPr>
        <w:spacing w:after="0" w:line="170" w:lineRule="exact"/>
        <w:rPr>
          <w:sz w:val="20"/>
          <w:szCs w:val="20"/>
          <w:color w:val="auto"/>
        </w:rPr>
      </w:pPr>
    </w:p>
    <w:p>
      <w:pPr>
        <w:ind w:left="60" w:right="89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1040" w:right="339" w:hanging="315"/>
        <w:spacing w:after="0" w:line="342" w:lineRule="auto"/>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GCPs, or dropping out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impact of the COVID-19 pandemic;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inspection of clinical trial sites and manufacturing facilities by regulatory authorities.</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See the risk factor above “—The market opportunities for DANYELZA and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may be smaller than we expect.”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Our product candidates, including omburtamab, could fail to receive marketing approval for many reasons, including the following:</w:t>
      </w:r>
    </w:p>
    <w:p>
      <w:pPr>
        <w:spacing w:after="0" w:line="170" w:lineRule="exact"/>
        <w:rPr>
          <w:sz w:val="20"/>
          <w:szCs w:val="20"/>
          <w:color w:val="auto"/>
        </w:rPr>
      </w:pPr>
    </w:p>
    <w:p>
      <w:pPr>
        <w:ind w:left="1040" w:right="11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040" w:right="179" w:hanging="315"/>
        <w:spacing w:after="0" w:line="342" w:lineRule="auto"/>
        <w:tabs>
          <w:tab w:leader="none" w:pos="10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marketing approval in the United States or elsewhere;</w:t>
      </w:r>
    </w:p>
    <w:p>
      <w:pPr>
        <w:spacing w:after="0" w:line="123" w:lineRule="exact"/>
        <w:rPr>
          <w:rFonts w:ascii="Arial" w:cs="Arial" w:eastAsia="Arial" w:hAnsi="Arial"/>
          <w:sz w:val="16"/>
          <w:szCs w:val="16"/>
          <w:color w:val="auto"/>
        </w:rPr>
      </w:pPr>
    </w:p>
    <w:p>
      <w:pPr>
        <w:ind w:left="1040" w:right="379" w:hanging="315"/>
        <w:spacing w:after="0" w:line="342" w:lineRule="auto"/>
        <w:tabs>
          <w:tab w:leader="none" w:pos="10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1040" w:right="339" w:hanging="315"/>
        <w:spacing w:after="0" w:line="308" w:lineRule="auto"/>
        <w:tabs>
          <w:tab w:leader="none" w:pos="10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1040" w:right="979" w:hanging="315"/>
        <w:spacing w:after="0" w:line="308" w:lineRule="auto"/>
        <w:tabs>
          <w:tab w:leader="none" w:pos="10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marketing approval to market omburtamab or any of our other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72"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20" w:lineRule="auto"/>
        <w:rPr>
          <w:sz w:val="20"/>
          <w:szCs w:val="20"/>
          <w:color w:val="auto"/>
        </w:rPr>
      </w:pPr>
      <w:r>
        <w:rPr>
          <w:rFonts w:ascii="Arial" w:cs="Arial" w:eastAsia="Arial" w:hAnsi="Arial"/>
          <w:sz w:val="15"/>
          <w:szCs w:val="15"/>
          <w:b w:val="1"/>
          <w:bCs w:val="1"/>
          <w:i w:val="1"/>
          <w:iCs w:val="1"/>
          <w:color w:val="auto"/>
        </w:rPr>
        <w:t>The European Medicines Agency, or the EMA, or comparable foreign regulatory authorities, may disagree with our regulatory plans, including our plans to seek conditional marketing authorization, and we may fail to obtain regulatory approval of our DANYELZA or our product candidates, which would prevent DANYELZA or our product candidates from being marketed abroad. Any approval we are granted for our product candidates in the United States, such as the approval of DANYELZA, would not assure approval of our product candidates in foreign jurisdictions.</w:t>
      </w:r>
    </w:p>
    <w:p>
      <w:pPr>
        <w:spacing w:after="0" w:line="146"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for relapsed/refractory high-risk neuroblastoma in bone and/or bone marrow,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8"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4" w:lineRule="exact"/>
        <w:rPr>
          <w:sz w:val="20"/>
          <w:szCs w:val="20"/>
          <w:color w:val="auto"/>
        </w:rPr>
      </w:pPr>
    </w:p>
    <w:p>
      <w:pPr>
        <w:ind w:left="1040" w:hanging="315"/>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25"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49"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49"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product candidates by the EMA, the EMA or CHMP may ultimately not agree that the requirements for such conditional marketing authorization have been satisfied.</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76" w:lineRule="exact"/>
        <w:rPr>
          <w:sz w:val="20"/>
          <w:szCs w:val="20"/>
          <w:color w:val="auto"/>
        </w:rPr>
      </w:pPr>
    </w:p>
    <w:p>
      <w:pPr>
        <w:ind w:left="1040" w:right="11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1040" w:right="83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70"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040" w:right="119" w:hanging="315"/>
        <w:spacing w:after="0" w:line="311" w:lineRule="auto"/>
        <w:tabs>
          <w:tab w:leader="none" w:pos="10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48" w:lineRule="exact"/>
        <w:rPr>
          <w:rFonts w:ascii="Arial" w:cs="Arial" w:eastAsia="Arial" w:hAnsi="Arial"/>
          <w:sz w:val="16"/>
          <w:szCs w:val="16"/>
          <w:color w:val="auto"/>
        </w:rPr>
      </w:pPr>
    </w:p>
    <w:p>
      <w:pPr>
        <w:ind w:left="1040" w:right="239" w:hanging="315"/>
        <w:spacing w:after="0" w:line="263"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83" w:lineRule="exact"/>
        <w:rPr>
          <w:rFonts w:ascii="Arial" w:cs="Arial" w:eastAsia="Arial" w:hAnsi="Arial"/>
          <w:sz w:val="18"/>
          <w:szCs w:val="18"/>
          <w:color w:val="auto"/>
        </w:rPr>
      </w:pPr>
    </w:p>
    <w:p>
      <w:pPr>
        <w:ind w:left="1040" w:right="979" w:hanging="315"/>
        <w:spacing w:after="0" w:line="308" w:lineRule="auto"/>
        <w:tabs>
          <w:tab w:leader="none" w:pos="10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6"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84"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color w:val="auto"/>
        </w:rPr>
        <w:t>development program, beginning as early as Phase 1; organizational commitment involving senior managers; and eligibility for rolling review and priority review.</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In June 2017, </w:t>
      </w:r>
      <w:r>
        <w:rPr>
          <w:rFonts w:ascii="Arial" w:cs="Arial" w:eastAsia="Arial" w:hAnsi="Arial"/>
          <w:sz w:val="25"/>
          <w:szCs w:val="25"/>
          <w:color w:val="auto"/>
          <w:vertAlign w:val="superscript"/>
        </w:rPr>
        <w:t>131</w:t>
      </w:r>
      <w:r>
        <w:rPr>
          <w:rFonts w:ascii="Arial" w:cs="Arial" w:eastAsia="Arial" w:hAnsi="Arial"/>
          <w:sz w:val="17"/>
          <w:szCs w:val="17"/>
          <w:color w:val="auto"/>
        </w:rPr>
        <w:t>I-omburtamab received BTD for the treatment of pediatric patients with R/R NB who have</w:t>
      </w:r>
    </w:p>
    <w:p>
      <w:pPr>
        <w:ind w:left="60"/>
        <w:spacing w:after="0"/>
        <w:rPr>
          <w:sz w:val="20"/>
          <w:szCs w:val="20"/>
          <w:color w:val="auto"/>
        </w:rPr>
      </w:pPr>
      <w:r>
        <w:rPr>
          <w:rFonts w:ascii="Arial" w:cs="Arial" w:eastAsia="Arial" w:hAnsi="Arial"/>
          <w:sz w:val="17"/>
          <w:szCs w:val="17"/>
          <w:color w:val="auto"/>
        </w:rPr>
        <w:t>CNS/LM from NB. We may seek BTD for some or all of our other product candidates, but we may never receive such</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BTD, or, if received, the development of our product candidates may not be expedited or benefited by such designation.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BTD does not change the standards for product approval.</w:t>
      </w:r>
    </w:p>
    <w:p>
      <w:pPr>
        <w:spacing w:after="0" w:line="211" w:lineRule="exact"/>
        <w:rPr>
          <w:sz w:val="20"/>
          <w:szCs w:val="20"/>
          <w:color w:val="auto"/>
        </w:rPr>
      </w:pPr>
    </w:p>
    <w:p>
      <w:pPr>
        <w:ind w:left="60" w:right="279" w:firstLine="648"/>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9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product candidates may not be able to obtain or maintain Orphan Drug Designation, or ODD, or Rare Pediatric Disease Designation, or RPDD.</w:t>
      </w:r>
    </w:p>
    <w:p>
      <w:pPr>
        <w:spacing w:after="0" w:line="17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September 2020, the FDA granted ODD and RPDD to nivatrotamab for the treatment of neuroblastoma. In November 2018, the European Commission granted OMPD for naxitamab for the treatment of NB. In February 2017, the European Commission granted orphan medicinal product designation, or OMPD, to omburtamab for the treatment of NB. In August 2016, the FDA granted ODD to </w:t>
      </w:r>
      <w:r>
        <w:rPr>
          <w:rFonts w:ascii="Arial" w:cs="Arial" w:eastAsia="Arial" w:hAnsi="Arial"/>
          <w:sz w:val="25"/>
          <w:szCs w:val="25"/>
          <w:color w:val="auto"/>
          <w:vertAlign w:val="superscript"/>
        </w:rPr>
        <w:t>131</w:t>
      </w:r>
      <w:r>
        <w:rPr>
          <w:rFonts w:ascii="Arial" w:cs="Arial" w:eastAsia="Arial" w:hAnsi="Arial"/>
          <w:sz w:val="17"/>
          <w:szCs w:val="17"/>
          <w:color w:val="auto"/>
        </w:rPr>
        <w:t>I-omburtamab for the treatment of NB. In 2013, the FDA granted ODD to DANYELZA for the treatment of NB.</w:t>
      </w:r>
    </w:p>
    <w:p>
      <w:pPr>
        <w:spacing w:after="0" w:line="18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66"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192"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In conjunction with the approval by the FDA of DANYELZA, for the treatment of refractory/relapsed high-risk neuroblastoma, we received a PRV which we subsequently sold to United Therapeutics Corporation based on an agreed valuation of $105 million. Pursuant to the agreement with MSK, we were entitled to retain 60% of the net proceeds from monetization of the PRV, and the remaining 40% was due to MSK. We received our portion of the net proceeds of from the sale of the PRV in the amount of approximately $62.0 million when the transaction was consummated in January 2021. The terms of the MSK License provide that MSK is entitled to receive 40% of any income generated from the sale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of first such PRV, and 33% of any income generated from the sale of any subsequent PRV or the sale of other comparable incentives provided by any non-U.S. jurisdiction.</w:t>
      </w:r>
    </w:p>
    <w:p>
      <w:pPr>
        <w:spacing w:after="0" w:line="170"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Additionally, the terms of the MSK CD33 License provide that MSK is entitled to receive 25% of any income generated from the sale of any PRV or the sale of other comparable incentives provided by any non-U.S. jurisdiction. Additionally, the SAAA stipulates that, if we are granted a PRV from the FDA covering a licensed product under the MabVax/Y-mAbs Sublicense and the PRV is subsequently sold, we will pay directly to MabVax and to MSK, respectively a total of 20% of the income generated thereof in order that MabVax and MSK each receive the same amount therefrom as envisaged under the MabVax/MSK License Agreement. Finally, the terms of the SADA License provide that MSK is entitled to receive 25% of any income generated from the sale of any PRV or the sale of other comparable incentives provided by any non-U.S. jurisdiction.</w:t>
      </w:r>
    </w:p>
    <w:p>
      <w:pPr>
        <w:spacing w:after="0" w:line="192"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A drug that receives RPDD before September 30, 2024, will continue to be eligible for a PRV if the drug is approved by the FDA before September 30, 2026.</w:t>
      </w:r>
    </w:p>
    <w:p>
      <w:pPr>
        <w:spacing w:after="0" w:line="170"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7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7"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7"/>
          <w:szCs w:val="17"/>
          <w:color w:val="auto"/>
        </w:rPr>
        <w:t>Once marketing approval has been granted, such as for DANYELZA in the Unites States, an approved drug and its manufacturer and marketer are subject to ongoing review and extensive regulation. The accelerated approval of DANYELZA is subject to certain postmarketing requirements and commitments, including completion of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patients and report ORR, DOR, PFS or OS. The ORR is the primary endpoint for the study, DOR is the secondary endpoint, PFS and OS are secondary endpoints in long-term follow up. As of February 1, 2021 we have enrolled 54 patients and we anticipate completing the study no later than March 31, 2027. Other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6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61"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in a manner that could prevent, limit or delay regulatory approval of our product candidates, which would impact our ability to generate revenue.</w:t>
      </w:r>
    </w:p>
    <w:p>
      <w:pPr>
        <w:spacing w:after="0" w:line="184"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such as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2"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49" w:lineRule="exact"/>
        <w:rPr>
          <w:sz w:val="20"/>
          <w:szCs w:val="20"/>
          <w:color w:val="auto"/>
        </w:rPr>
      </w:pPr>
    </w:p>
    <w:p>
      <w:pPr>
        <w:ind w:left="60" w:right="659" w:firstLine="648"/>
        <w:spacing w:after="0" w:line="342" w:lineRule="auto"/>
        <w:rPr>
          <w:sz w:val="20"/>
          <w:szCs w:val="20"/>
          <w:color w:val="auto"/>
        </w:rPr>
      </w:pPr>
      <w:r>
        <w:rPr>
          <w:rFonts w:ascii="Arial" w:cs="Arial" w:eastAsia="Arial" w:hAnsi="Arial"/>
          <w:sz w:val="16"/>
          <w:szCs w:val="16"/>
          <w:color w:val="auto"/>
        </w:rPr>
        <w:t>DANYELZA and any of our product candidates for which we, or our potential future collaborators, obtain marketing approval in the future, will be subject to continual review by the FDA and other regulatory authorities.</w:t>
      </w:r>
    </w:p>
    <w:p>
      <w:pPr>
        <w:spacing w:after="0" w:line="12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4" w:lineRule="exact"/>
        <w:rPr>
          <w:sz w:val="20"/>
          <w:szCs w:val="20"/>
          <w:color w:val="auto"/>
        </w:rPr>
      </w:pPr>
    </w:p>
    <w:p>
      <w:pPr>
        <w:ind w:left="1040" w:hanging="315"/>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9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 The provisions of the Affordable Care Act of potential importance to our product candidates are the following:</w:t>
      </w:r>
    </w:p>
    <w:p>
      <w:pPr>
        <w:spacing w:after="0" w:line="187" w:lineRule="exact"/>
        <w:rPr>
          <w:sz w:val="20"/>
          <w:szCs w:val="20"/>
          <w:color w:val="auto"/>
        </w:rPr>
      </w:pPr>
    </w:p>
    <w:p>
      <w:pPr>
        <w:ind w:left="1040" w:right="519" w:hanging="315"/>
        <w:spacing w:after="0" w:line="277"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39" w:hanging="315"/>
        <w:spacing w:after="0" w:line="263"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83"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70" w:lineRule="exact"/>
        <w:rPr>
          <w:rFonts w:ascii="Arial" w:cs="Arial" w:eastAsia="Arial" w:hAnsi="Arial"/>
          <w:sz w:val="18"/>
          <w:szCs w:val="18"/>
          <w:color w:val="auto"/>
        </w:rPr>
      </w:pPr>
    </w:p>
    <w:p>
      <w:pPr>
        <w:ind w:left="1040" w:right="899" w:hanging="315"/>
        <w:spacing w:after="0" w:line="308" w:lineRule="auto"/>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146" w:lineRule="exact"/>
        <w:rPr>
          <w:rFonts w:ascii="Arial" w:cs="Arial" w:eastAsia="Arial" w:hAnsi="Arial"/>
          <w:sz w:val="17"/>
          <w:szCs w:val="17"/>
          <w:color w:val="auto"/>
        </w:rPr>
      </w:pPr>
    </w:p>
    <w:p>
      <w:pPr>
        <w:ind w:left="1040" w:right="539" w:hanging="315"/>
        <w:spacing w:after="0" w:line="263"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4"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6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Some of the provisions of the ACA have yet to be implemented, and there have been legal and political challenges to certain aspects of the ACA. We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third-party payors to keep healthcare costs down while expanding individual healthcare benefits.</w:t>
      </w:r>
    </w:p>
    <w:p>
      <w:pPr>
        <w:spacing w:after="0" w:line="177"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between pricing and manufacturer patient programs, and reform government program reimbursement methodologies for drug products.</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A May 2018 “Blueprint” to lower drug prices and reduce out of pocket costs of drugs contained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started the process of soliciting feedback on some of these measures and, at the same time, is immediately implementing others under its existing authority.</w:t>
      </w:r>
    </w:p>
    <w:p>
      <w:pPr>
        <w:spacing w:after="0" w:line="188"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DANYELZA and any other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64"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b w:val="1"/>
          <w:bCs w:val="1"/>
          <w:i w:val="1"/>
          <w:iCs w:val="1"/>
          <w:color w:val="auto"/>
        </w:rPr>
        <w:t>Government price controls or other changes in pricing regulation could restrict the amount that we are able to charge for DANYELZA and omburtamab, if approved, or any of our other product candidates that may be approved in the future, which would adversely affect our revenue and results of operations.</w:t>
      </w:r>
    </w:p>
    <w:p>
      <w:pPr>
        <w:spacing w:after="0" w:line="16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w:t>
      </w:r>
    </w:p>
    <w:p>
      <w:pPr>
        <w:spacing w:after="0" w:line="185"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1"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p>
      <w:pPr>
        <w:spacing w:after="0" w:line="177" w:lineRule="exact"/>
        <w:rPr>
          <w:sz w:val="20"/>
          <w:szCs w:val="20"/>
          <w:color w:val="auto"/>
        </w:rPr>
      </w:pPr>
    </w:p>
    <w:p>
      <w:pPr>
        <w:ind w:left="1040" w:right="79" w:hanging="315"/>
        <w:spacing w:after="0" w:line="293" w:lineRule="auto"/>
        <w:tabs>
          <w:tab w:leader="none" w:pos="1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4" w:lineRule="exact"/>
        <w:rPr>
          <w:rFonts w:ascii="Arial" w:cs="Arial" w:eastAsia="Arial" w:hAnsi="Arial"/>
          <w:sz w:val="16"/>
          <w:szCs w:val="16"/>
          <w:color w:val="auto"/>
        </w:rPr>
      </w:pPr>
    </w:p>
    <w:p>
      <w:pPr>
        <w:ind w:left="1040" w:right="79" w:hanging="315"/>
        <w:spacing w:after="0" w:line="254"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94" w:lineRule="exact"/>
        <w:rPr>
          <w:rFonts w:ascii="Arial" w:cs="Arial" w:eastAsia="Arial" w:hAnsi="Arial"/>
          <w:sz w:val="18"/>
          <w:szCs w:val="18"/>
          <w:color w:val="auto"/>
        </w:rPr>
      </w:pPr>
    </w:p>
    <w:p>
      <w:pPr>
        <w:ind w:left="1040" w:right="79" w:hanging="315"/>
        <w:spacing w:after="0" w:line="268" w:lineRule="auto"/>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6" w:lineRule="exact"/>
        <w:rPr>
          <w:rFonts w:ascii="Arial" w:cs="Arial" w:eastAsia="Arial" w:hAnsi="Arial"/>
          <w:sz w:val="17"/>
          <w:szCs w:val="17"/>
          <w:color w:val="auto"/>
        </w:rPr>
      </w:pPr>
    </w:p>
    <w:p>
      <w:pPr>
        <w:ind w:left="1040" w:right="79" w:hanging="315"/>
        <w:spacing w:after="0" w:line="275" w:lineRule="auto"/>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HIPAA Privacy Provisions—as amended by HITECH and its implementing regulations, HIPAA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19"/>
        <w:spacing w:after="0" w:line="342" w:lineRule="auto"/>
        <w:rPr>
          <w:sz w:val="20"/>
          <w:szCs w:val="20"/>
          <w:color w:val="auto"/>
        </w:rPr>
      </w:pPr>
      <w:r>
        <w:rPr>
          <w:rFonts w:ascii="Arial" w:cs="Arial" w:eastAsia="Arial" w:hAnsi="Arial"/>
          <w:sz w:val="16"/>
          <w:szCs w:val="16"/>
          <w:color w:val="auto"/>
        </w:rPr>
        <w:t>identifiable health information, and HIPAA, as amended, requires notification to affected individuals and regulatory authorities of certain breaches of security of individually identifiable health information;</w:t>
      </w:r>
    </w:p>
    <w:p>
      <w:pPr>
        <w:spacing w:after="0" w:line="124" w:lineRule="exact"/>
        <w:rPr>
          <w:sz w:val="20"/>
          <w:szCs w:val="20"/>
          <w:color w:val="auto"/>
        </w:rPr>
      </w:pPr>
    </w:p>
    <w:p>
      <w:pPr>
        <w:ind w:left="1040" w:right="259" w:hanging="315"/>
        <w:spacing w:after="0" w:line="290" w:lineRule="auto"/>
        <w:tabs>
          <w:tab w:leader="none" w:pos="10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5"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FDCA—the FDCA, which prohibits, among other things, the adulteration or misbranding of drugs, biologics and medical devices; and</w:t>
      </w:r>
    </w:p>
    <w:p>
      <w:pPr>
        <w:spacing w:after="0" w:line="170" w:lineRule="exact"/>
        <w:rPr>
          <w:rFonts w:ascii="Arial" w:cs="Arial" w:eastAsia="Arial" w:hAnsi="Arial"/>
          <w:sz w:val="18"/>
          <w:szCs w:val="18"/>
          <w:color w:val="auto"/>
        </w:rPr>
      </w:pPr>
    </w:p>
    <w:p>
      <w:pPr>
        <w:ind w:left="1040" w:right="139" w:hanging="315"/>
        <w:spacing w:after="0" w:line="259"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Analogous State and Foreign Laws—analogous state and foreign fraud and abuse laws and regulations, such as 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The collection and processing of personal data—including health data—is governed by the European Union-wide General Data Protection Regulation, or GDPR, which became applicable on May 25, 2018, replacing the then-current data protection laws of each European Union Member State. GDPR applies to us through the activities of our wholly-owned subsidiary Y-mAbs Therapeutics A/S, and also to most businesses, regardless of location, that provides goods or services to residents in the EU, which includes our clinical trial activities in European Union Member States. The GDPR imposes operational requirements 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 increased requirements pertaining to health data and pseudonymised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The GDPR provides that European Union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(for example, of up to €20,000,000 or up to 4% of the total worldwide annual turnover of the preceding financial year (whichever is higher) under the GDPR)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We have established internal policies and procedure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80" w:lineRule="exact"/>
        <w:rPr>
          <w:sz w:val="20"/>
          <w:szCs w:val="20"/>
          <w:color w:val="auto"/>
        </w:rPr>
      </w:pPr>
    </w:p>
    <w:p>
      <w:pPr>
        <w:ind w:left="60" w:right="519"/>
        <w:spacing w:after="0" w:line="381" w:lineRule="auto"/>
        <w:rPr>
          <w:sz w:val="20"/>
          <w:szCs w:val="20"/>
          <w:color w:val="auto"/>
        </w:rPr>
      </w:pPr>
      <w:r>
        <w:rPr>
          <w:rFonts w:ascii="Arial" w:cs="Arial" w:eastAsia="Arial" w:hAnsi="Arial"/>
          <w:sz w:val="15"/>
          <w:szCs w:val="15"/>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0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spacing w:after="0" w:line="187"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9" w:lineRule="exact"/>
        <w:rPr>
          <w:sz w:val="20"/>
          <w:szCs w:val="20"/>
          <w:color w:val="auto"/>
        </w:rPr>
      </w:pPr>
    </w:p>
    <w:p>
      <w:pPr>
        <w:ind w:left="60" w:right="739"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no third party provider has established coverage policies or provided reimbursement for DANYELZA or any of our other product candidates. We intend to seek reimbursement for DANYELZA but even if we obtain coverage for DANYELZA or any other product, the resulting reimbursement payment rates might not be adequate for us to achieve or sustain profitability or may require co-payments that patients find unacceptably high. Additionally, third-party payors may not cover, or provide adequate reimbursement for,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long-term follow-up evaluations required following the use of our products, if approved.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 up evaluations, the risk that coverage and reimbursement rates may be inadequate for us to achieve profitability may be greater.</w:t>
      </w:r>
    </w:p>
    <w:p>
      <w:pPr>
        <w:spacing w:after="0" w:line="188"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To date DANYELZA has been approved for sale in the United States only, but we intend to seek approval to market our products in both the United States as well as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8"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0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Physicians have the discretion to prescribe drug products for uses that are not described in the product’s labeling and that differ from those approved by the FDA or other applicable regulatory agencies. Off-label uses are common across medical specialties. Although the FDA and other regulatory agencies do not regulate a physician’s choice of treatments, the FDA and other regulatory agencies regulate a manufacturer’s communications regarding off-label use and prohibit off-label promotion, as well as the dissemination of false or misleading labeling or promotional materials. Manufacturers may not promote drugs for off-label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 promotion of off-label uses and the promotion of products for which marketing approval has not been obtained. A company that is found to have improperly promoted off-label uses may be subject to significant liability, which may include civil and administrative remedies as well as criminal sanctions.</w:t>
      </w:r>
    </w:p>
    <w:p>
      <w:pPr>
        <w:spacing w:after="0" w:line="182"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87"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84"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5"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96"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78"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2"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6"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64"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6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4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9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products or product candidates. These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8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5" w:lineRule="exact"/>
        <w:rPr>
          <w:sz w:val="20"/>
          <w:szCs w:val="20"/>
          <w:color w:val="auto"/>
        </w:rPr>
      </w:pPr>
    </w:p>
    <w:p>
      <w:pPr>
        <w:jc w:val="both"/>
        <w:ind w:left="60" w:right="199" w:firstLine="648"/>
        <w:spacing w:after="0" w:line="285"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w:t>
      </w:r>
    </w:p>
    <w:p>
      <w:pPr>
        <w:spacing w:after="0" w:line="2" w:lineRule="exact"/>
        <w:rPr>
          <w:sz w:val="20"/>
          <w:szCs w:val="20"/>
          <w:color w:val="auto"/>
        </w:rPr>
      </w:pPr>
    </w:p>
    <w:p>
      <w:pPr>
        <w:ind w:left="60" w:right="139"/>
        <w:spacing w:after="0" w:line="290" w:lineRule="auto"/>
        <w:rPr>
          <w:sz w:val="20"/>
          <w:szCs w:val="20"/>
          <w:color w:val="auto"/>
        </w:rPr>
      </w:pPr>
      <w:r>
        <w:rPr>
          <w:rFonts w:ascii="Arial" w:cs="Arial" w:eastAsia="Arial" w:hAnsi="Arial"/>
          <w:sz w:val="17"/>
          <w:szCs w:val="17"/>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61"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66" w:lineRule="exact"/>
        <w:rPr>
          <w:sz w:val="20"/>
          <w:szCs w:val="20"/>
          <w:color w:val="auto"/>
        </w:rPr>
      </w:pPr>
    </w:p>
    <w:p>
      <w:pPr>
        <w:ind w:left="60" w:right="199"/>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left="60" w:right="159" w:firstLine="648"/>
        <w:spacing w:after="0" w:line="267" w:lineRule="auto"/>
        <w:rPr>
          <w:sz w:val="20"/>
          <w:szCs w:val="20"/>
          <w:color w:val="auto"/>
        </w:rPr>
      </w:pPr>
      <w:r>
        <w:rPr>
          <w:rFonts w:ascii="Arial" w:cs="Arial" w:eastAsia="Arial" w:hAnsi="Arial"/>
          <w:sz w:val="17"/>
          <w:szCs w:val="17"/>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1"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6"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40" w:right="199" w:hanging="315"/>
        <w:spacing w:after="0" w:line="277"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products or product candidates but that are not covered by the claims of our patents;</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83"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70" w:lineRule="exact"/>
        <w:rPr>
          <w:rFonts w:ascii="Arial" w:cs="Arial" w:eastAsia="Arial" w:hAnsi="Arial"/>
          <w:sz w:val="18"/>
          <w:szCs w:val="18"/>
          <w:color w:val="auto"/>
        </w:rPr>
      </w:pPr>
    </w:p>
    <w:p>
      <w:pPr>
        <w:ind w:left="1040" w:right="119" w:hanging="315"/>
        <w:spacing w:after="0" w:line="263"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79" w:hanging="315"/>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products or product candidates and proprietary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3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1040" w:right="379" w:hanging="315"/>
        <w:spacing w:after="0" w:line="308" w:lineRule="auto"/>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jc w:val="both"/>
        <w:ind w:left="1040" w:right="679" w:hanging="315"/>
        <w:spacing w:after="0" w:line="342" w:lineRule="auto"/>
        <w:tabs>
          <w:tab w:leader="none" w:pos="10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our owned or in-licensed issued patents may not provide us with any competitive advantages, may be narrowed in scope, or be held invalid or unenforceable as a result of legal challenges by third parties;</w:t>
      </w:r>
    </w:p>
    <w:p>
      <w:pPr>
        <w:spacing w:after="0" w:line="123" w:lineRule="exact"/>
        <w:rPr>
          <w:rFonts w:ascii="Arial" w:cs="Arial" w:eastAsia="Arial" w:hAnsi="Arial"/>
          <w:sz w:val="16"/>
          <w:szCs w:val="16"/>
          <w:color w:val="auto"/>
        </w:rPr>
      </w:pPr>
    </w:p>
    <w:p>
      <w:pPr>
        <w:ind w:left="1040" w:right="259" w:hanging="315"/>
        <w:spacing w:after="0" w:line="263"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83" w:lineRule="exact"/>
        <w:rPr>
          <w:rFonts w:ascii="Arial" w:cs="Arial" w:eastAsia="Arial" w:hAnsi="Arial"/>
          <w:sz w:val="18"/>
          <w:szCs w:val="18"/>
          <w:color w:val="auto"/>
        </w:rPr>
      </w:pPr>
    </w:p>
    <w:p>
      <w:pPr>
        <w:ind w:left="1040" w:right="359" w:hanging="315"/>
        <w:spacing w:after="0" w:line="259"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1040" w:right="639" w:hanging="315"/>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possible that products, product candidates or diagnostic tests we develop may be covered by third parties’ patents or other proprietary rights; 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 party, we may be liable for damages, enhanced damages or subjected to an injunction, any of which could have a material adverse effect on our business.</w:t>
      </w:r>
    </w:p>
    <w:p>
      <w:pPr>
        <w:spacing w:after="0" w:line="187"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confidential or proprietary information is divulged to or acquired by third parties, including our competitors, our competitive position in the marketplace will be harmed and this would have a material adverse effect on our business.</w:t>
      </w:r>
    </w:p>
    <w:p>
      <w:pPr>
        <w:spacing w:after="0" w:line="12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2021 through 2039, without taking into account any possible patent term adjustments, extensions or supplementary protection. Our earliest patents in-licensed from MSK of relevance for our products may expire before, or soon after, our first product achieves marketing approval in the United States.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covering our proprietary technologies or our product candidates that if issued as patents are expected to expire from 2028 through 2039, without taking into account any possible patent term adjustments, extensions or supplementary protections. However, no assurance can be given that the USPTO or relevant foreign patent offices will grant any of these patent applications.</w:t>
      </w:r>
    </w:p>
    <w:p>
      <w:pPr>
        <w:spacing w:after="0" w:line="17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1"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1"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8"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4" w:lineRule="exact"/>
        <w:rPr>
          <w:sz w:val="20"/>
          <w:szCs w:val="20"/>
          <w:color w:val="auto"/>
        </w:rPr>
      </w:pPr>
    </w:p>
    <w:p>
      <w:pPr>
        <w:ind w:left="60" w:right="599"/>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1"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w:t>
      </w:r>
    </w:p>
    <w:p>
      <w:pPr>
        <w:ind w:left="60" w:right="79"/>
        <w:spacing w:after="0" w:line="285" w:lineRule="auto"/>
        <w:rPr>
          <w:sz w:val="20"/>
          <w:szCs w:val="20"/>
          <w:color w:val="auto"/>
        </w:rPr>
      </w:pPr>
      <w:r>
        <w:rPr>
          <w:rFonts w:ascii="Arial" w:cs="Arial" w:eastAsia="Arial" w:hAnsi="Arial"/>
          <w:sz w:val="16"/>
          <w:szCs w:val="16"/>
          <w:color w:val="auto"/>
        </w:rPr>
        <w:t>18 months after filing, and publications in the scientific literature often lag behind actual discoveries, we cannot be certain that others have not filed patent applications for technology related to our products or product candidates,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4" w:lineRule="exact"/>
        <w:rPr>
          <w:sz w:val="20"/>
          <w:szCs w:val="20"/>
          <w:color w:val="auto"/>
        </w:rPr>
      </w:pPr>
    </w:p>
    <w:p>
      <w:pPr>
        <w:ind w:left="60" w:right="699" w:firstLine="648"/>
        <w:spacing w:after="0" w:line="342"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subject to, or threatened with litigation by third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parties having patent or other intellectual property rights alleging that our product candidates or products and/or proprietary technologies infringe, misappropriate or violate their intellectual property rights.</w:t>
      </w:r>
    </w:p>
    <w:p>
      <w:pPr>
        <w:spacing w:after="0" w:line="170"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170" w:lineRule="exact"/>
        <w:rPr>
          <w:sz w:val="20"/>
          <w:szCs w:val="20"/>
          <w:color w:val="auto"/>
        </w:rPr>
      </w:pPr>
    </w:p>
    <w:p>
      <w:pPr>
        <w:ind w:left="1040" w:right="239" w:hanging="315"/>
        <w:spacing w:after="0" w:line="308" w:lineRule="auto"/>
        <w:tabs>
          <w:tab w:leader="none" w:pos="10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1040" w:right="99" w:hanging="315"/>
        <w:spacing w:after="0" w:line="311" w:lineRule="auto"/>
        <w:tabs>
          <w:tab w:leader="none" w:pos="10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48" w:lineRule="exact"/>
        <w:rPr>
          <w:rFonts w:ascii="Arial" w:cs="Arial" w:eastAsia="Arial" w:hAnsi="Arial"/>
          <w:sz w:val="16"/>
          <w:szCs w:val="16"/>
          <w:color w:val="auto"/>
        </w:rPr>
      </w:pPr>
    </w:p>
    <w:p>
      <w:pPr>
        <w:ind w:left="1040" w:right="279" w:hanging="315"/>
        <w:spacing w:after="0" w:line="263"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3" w:lineRule="exact"/>
        <w:rPr>
          <w:rFonts w:ascii="Arial" w:cs="Arial" w:eastAsia="Arial" w:hAnsi="Arial"/>
          <w:sz w:val="18"/>
          <w:szCs w:val="18"/>
          <w:color w:val="auto"/>
        </w:rPr>
      </w:pPr>
    </w:p>
    <w:p>
      <w:pPr>
        <w:jc w:val="both"/>
        <w:ind w:left="1040" w:right="159" w:hanging="315"/>
        <w:spacing w:after="0" w:line="263"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83"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redesigning our products or product candidates or processes so they do not infringe, which may not be possible or may require substantial monetary expenditures and time.</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8"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secure trademark registrations could adversely affect our business.</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6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7"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jc w:val="both"/>
        <w:ind w:left="60" w:right="499"/>
        <w:spacing w:after="0" w:line="311" w:lineRule="auto"/>
        <w:rPr>
          <w:sz w:val="20"/>
          <w:szCs w:val="20"/>
          <w:color w:val="auto"/>
        </w:rPr>
      </w:pPr>
      <w:r>
        <w:rPr>
          <w:rFonts w:ascii="Arial" w:cs="Arial" w:eastAsia="Arial" w:hAnsi="Arial"/>
          <w:sz w:val="16"/>
          <w:szCs w:val="16"/>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4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9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We have expanded and expect to continue to expand our development and regulatory capabilities and our sales and marketing capabilities, and as a result, we may encounter difficulties in managing our growth, which could disrupt our operations.</w:t>
      </w:r>
    </w:p>
    <w:p>
      <w:pPr>
        <w:spacing w:after="0" w:line="184"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We have expanded and continue to expect to experience significant growth in the number of our employees and the scope of our operations, particularly in the areas of sales and marketing, clinical operations, regulatory affairs and, drug development.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99"/>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6" w:lineRule="exact"/>
        <w:rPr>
          <w:sz w:val="20"/>
          <w:szCs w:val="20"/>
          <w:color w:val="auto"/>
        </w:rPr>
      </w:pPr>
    </w:p>
    <w:p>
      <w:pPr>
        <w:jc w:val="both"/>
        <w:ind w:left="60" w:right="119" w:firstLine="648"/>
        <w:spacing w:after="0" w:line="286" w:lineRule="auto"/>
        <w:rPr>
          <w:sz w:val="20"/>
          <w:szCs w:val="20"/>
          <w:color w:val="auto"/>
        </w:rPr>
      </w:pPr>
      <w:r>
        <w:rPr>
          <w:rFonts w:ascii="Arial" w:cs="Arial" w:eastAsia="Arial" w:hAnsi="Arial"/>
          <w:sz w:val="17"/>
          <w:szCs w:val="17"/>
          <w:color w:val="auto"/>
        </w:rPr>
        <w:t>As of December 31, 2020, our executive officers, directors and our stockholders, which own more than 5% of our outstanding common stock beneficially own shares representing approximately 41.3% of our common stock. As a result, if these stockholders were to choose to act together, they would be able to exert significant influence over all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matters submitted to our stockholders for approval, as well as our management and affairs. For example, these persons, if they choose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1"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8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1040" w:hanging="315"/>
        <w:spacing w:after="0"/>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1040" w:right="259" w:hanging="315"/>
        <w:spacing w:after="0" w:line="311"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48" w:lineRule="exact"/>
        <w:rPr>
          <w:rFonts w:ascii="Arial" w:cs="Arial" w:eastAsia="Arial" w:hAnsi="Arial"/>
          <w:sz w:val="16"/>
          <w:szCs w:val="16"/>
          <w:color w:val="auto"/>
        </w:rPr>
      </w:pPr>
    </w:p>
    <w:p>
      <w:pPr>
        <w:ind w:left="1040" w:right="219" w:hanging="315"/>
        <w:spacing w:after="0" w:line="277" w:lineRule="auto"/>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b w:val="1"/>
          <w:bCs w:val="1"/>
          <w:i w:val="1"/>
          <w:iCs w:val="1"/>
          <w:color w:val="auto"/>
        </w:rPr>
        <w:t>Effective as of December 31, 2020, we became a large accelerated filer and were no longer an emerging growth company. We are not able to take advantage of the reduced disclosure requirements applicable to emerging growth companies.</w:t>
      </w:r>
    </w:p>
    <w:p>
      <w:pPr>
        <w:spacing w:after="0" w:line="184"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As a result of our public float (the market value of our common shares held by non-affiliates) as of June 30, 2020, we became a large accelerated filer as of December 31, 2020 and therefore no longer qualified as an “emerging growth company,” as defined in the JOBS Act. Additionally, due to our public float as of June 30, 2020, we no longer qualified as a “smaller reporting company” as defined in the Exchange Act. However, we are not required to reflect the change in our smaller reporting company status, and comply with the associated increased disclosure obligations, until our quarterly report for the three-month period ended March 31, 2021.</w:t>
      </w:r>
    </w:p>
    <w:p>
      <w:pPr>
        <w:spacing w:after="0" w:line="178"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184" w:lineRule="exact"/>
        <w:rPr>
          <w:sz w:val="20"/>
          <w:szCs w:val="20"/>
          <w:color w:val="auto"/>
        </w:rPr>
      </w:pPr>
    </w:p>
    <w:p>
      <w:pPr>
        <w:ind w:left="1040" w:right="539" w:hanging="315"/>
        <w:spacing w:after="0" w:line="342" w:lineRule="auto"/>
        <w:tabs>
          <w:tab w:leader="none" w:pos="10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requirement that our independent registered public accounting firm attest to the effectiveness of our internal control over financial reporting under Section 404(b) of the Sarbanes-Oxley Act of 2002;</w:t>
      </w:r>
    </w:p>
    <w:p>
      <w:pPr>
        <w:spacing w:after="0" w:line="123" w:lineRule="exact"/>
        <w:rPr>
          <w:rFonts w:ascii="Arial" w:cs="Arial" w:eastAsia="Arial" w:hAnsi="Arial"/>
          <w:sz w:val="16"/>
          <w:szCs w:val="16"/>
          <w:color w:val="auto"/>
        </w:rPr>
      </w:pPr>
    </w:p>
    <w:p>
      <w:pPr>
        <w:ind w:left="1040" w:right="19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requirement that we provide full and more detailed disclosures regarding executive compensation; and</w:t>
      </w:r>
    </w:p>
    <w:p>
      <w:pPr>
        <w:spacing w:after="0" w:line="248" w:lineRule="exact"/>
        <w:rPr>
          <w:rFonts w:ascii="Arial" w:cs="Arial" w:eastAsia="Arial" w:hAnsi="Arial"/>
          <w:sz w:val="16"/>
          <w:szCs w:val="16"/>
          <w:color w:val="auto"/>
        </w:rPr>
      </w:pPr>
    </w:p>
    <w:p>
      <w:pPr>
        <w:ind w:left="1040" w:right="13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spacing w:after="0" w:line="17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60" w:right="379" w:firstLine="648"/>
        <w:spacing w:after="0" w:line="287"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w:t>
      </w:r>
    </w:p>
    <w:p>
      <w:pPr>
        <w:spacing w:after="0" w:line="2" w:lineRule="exact"/>
        <w:rPr>
          <w:sz w:val="20"/>
          <w:szCs w:val="20"/>
          <w:color w:val="auto"/>
        </w:rPr>
      </w:pPr>
    </w:p>
    <w:p>
      <w:pPr>
        <w:jc w:val="both"/>
        <w:ind w:left="60" w:right="179"/>
        <w:spacing w:after="0" w:line="281" w:lineRule="auto"/>
        <w:rPr>
          <w:sz w:val="20"/>
          <w:szCs w:val="20"/>
          <w:color w:val="auto"/>
        </w:rPr>
      </w:pPr>
      <w:r>
        <w:rPr>
          <w:rFonts w:ascii="Arial" w:cs="Arial" w:eastAsia="Arial" w:hAnsi="Arial"/>
          <w:sz w:val="16"/>
          <w:szCs w:val="16"/>
          <w:color w:val="auto"/>
        </w:rPr>
        <w:t>50 percentage point cumulative change (by value) in the equity ownership of certain stockholders over a rolling three year period), the corporation’s ability to use its pre-change net operating loss carryforwards and other pre-change tax attributes to offset its post-change taxable income or taxes may be limited. The Company has performed an analysis of its</w:t>
      </w:r>
    </w:p>
    <w:p>
      <w:pPr>
        <w:spacing w:after="0" w:line="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Section 382 ownership changes through December 31, 2019. Due to the large annual limitation, the Company believes that it is more likely than not that none of the net operating loss carryforwards will expire as a result of the limitation from the ownership change under Section 382.</w:t>
      </w:r>
    </w:p>
    <w:p>
      <w:pPr>
        <w:spacing w:after="0" w:line="190" w:lineRule="exact"/>
        <w:rPr>
          <w:sz w:val="20"/>
          <w:szCs w:val="20"/>
          <w:color w:val="auto"/>
        </w:rPr>
      </w:pPr>
    </w:p>
    <w:p>
      <w:pPr>
        <w:ind w:left="60" w:right="799"/>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Sales of our common stock may be made by holders of our public float or by holders of restricted securities in compliance with the provisions of Rule 144 of the Securities Act of 1933, or the Securities Act. There were 43,526,254 shares of common stock outstanding as of February 22, 2021. Of these shares of our common stock, 6,900,000 shares sold in our initial public offering in 2018, 5,134,750 shares sold in our public offering in 2019 and 2,804,878 shares sold in our public offering in February 2021 are freely tradable, without restriction, in the public market. As of February 22, 2021 holders of approximately 2,744,000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6,200,000 shares of our common stock that we may issue under our equity compensation plans.</w:t>
      </w:r>
    </w:p>
    <w:p>
      <w:pPr>
        <w:spacing w:after="0" w:line="16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87" w:lineRule="exact"/>
        <w:rPr>
          <w:sz w:val="20"/>
          <w:szCs w:val="20"/>
          <w:color w:val="auto"/>
        </w:rPr>
      </w:pPr>
    </w:p>
    <w:p>
      <w:pPr>
        <w:ind w:left="60" w:right="299" w:firstLine="648"/>
        <w:spacing w:after="0" w:line="255"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65"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4"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4" w:lineRule="exact"/>
        <w:rPr>
          <w:sz w:val="20"/>
          <w:szCs w:val="20"/>
          <w:color w:val="auto"/>
        </w:rPr>
      </w:pPr>
    </w:p>
    <w:p>
      <w:pPr>
        <w:ind w:left="1040" w:hanging="315"/>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1040" w:right="339" w:hanging="315"/>
        <w:spacing w:after="0" w:line="308" w:lineRule="auto"/>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regulatory approvals; and</w:t>
      </w:r>
    </w:p>
    <w:p>
      <w:pPr>
        <w:spacing w:after="0" w:line="146" w:lineRule="exact"/>
        <w:rPr>
          <w:rFonts w:ascii="Arial" w:cs="Arial" w:eastAsia="Arial" w:hAnsi="Arial"/>
          <w:sz w:val="17"/>
          <w:szCs w:val="17"/>
          <w:color w:val="auto"/>
        </w:rPr>
      </w:pPr>
    </w:p>
    <w:p>
      <w:pPr>
        <w:ind w:left="1040" w:right="199" w:hanging="315"/>
        <w:spacing w:after="0" w:line="342" w:lineRule="auto"/>
        <w:tabs>
          <w:tab w:leader="none" w:pos="10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expect our operating results to fluctuate in future periods, which may adversely affect our stock price.</w:t>
      </w:r>
    </w:p>
    <w:p>
      <w:pPr>
        <w:spacing w:after="0" w:line="23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quarterly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spacing w:after="0" w:line="188" w:lineRule="exact"/>
        <w:rPr>
          <w:sz w:val="20"/>
          <w:szCs w:val="20"/>
          <w:color w:val="auto"/>
        </w:rPr>
      </w:pPr>
    </w:p>
    <w:p>
      <w:pPr>
        <w:ind w:left="60" w:right="419"/>
        <w:spacing w:after="0" w:line="320" w:lineRule="auto"/>
        <w:rPr>
          <w:sz w:val="20"/>
          <w:szCs w:val="20"/>
          <w:color w:val="auto"/>
        </w:rPr>
      </w:pPr>
      <w:r>
        <w:rPr>
          <w:rFonts w:ascii="Arial" w:cs="Arial" w:eastAsia="Arial" w:hAnsi="Arial"/>
          <w:sz w:val="15"/>
          <w:szCs w:val="15"/>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46" w:lineRule="exact"/>
        <w:rPr>
          <w:sz w:val="20"/>
          <w:szCs w:val="20"/>
          <w:color w:val="auto"/>
        </w:rPr>
      </w:pPr>
    </w:p>
    <w:p>
      <w:pPr>
        <w:jc w:val="both"/>
        <w:ind w:left="60" w:right="239" w:firstLine="648"/>
        <w:spacing w:after="0" w:line="311"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64"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No assurance can be given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clinical studies begin, issues may arise that could suspend or terminate such clinical trials. A failure of one or more clinical studies can occur at any stage of testing, and our future clinical studies may not be successful.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internationally could materially adversely affect our business.</w:t>
      </w:r>
    </w:p>
    <w:p>
      <w:pPr>
        <w:spacing w:after="0" w:line="26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84" w:lineRule="exact"/>
        <w:rPr>
          <w:sz w:val="20"/>
          <w:szCs w:val="20"/>
          <w:color w:val="auto"/>
        </w:rPr>
      </w:pPr>
    </w:p>
    <w:p>
      <w:pPr>
        <w:ind w:left="1040" w:hanging="315"/>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040" w:right="619" w:hanging="315"/>
        <w:spacing w:after="0" w:line="263"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83"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CMOs, other contractors or consultants, may fail or suffer security breaches.</w:t>
      </w:r>
    </w:p>
    <w:p>
      <w:pPr>
        <w:spacing w:after="0" w:line="170"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CROs, CMOs, other contractors and consultants are vulnerable to damage from computer viruses, cyber-attack,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Our operations, and those of our third-party research institution collaborators, CROs, CMOs, suppliers, other contractors and consultants, could be subject to earthquakes, power shortages, telecommunications failures, water shortages, floods, hurricanes, typhoons, fires, extreme weather conditions, medical epidemics, terrorist activities, other natural or man-made disasters or business interruptions, for which we are predominantly self-insured, and other severe hazards or global health crises, such as an outbreak of Ebola or the ongoing global COVID-19 pandemic,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DANYELZA and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178"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commercialization of our product candidates. Even successful defense would require significant financial and management resources. Regardless of the merits or eventual outcome, liability claims may result in:</w:t>
      </w:r>
    </w:p>
    <w:p>
      <w:pPr>
        <w:spacing w:after="0" w:line="170" w:lineRule="exact"/>
        <w:rPr>
          <w:sz w:val="20"/>
          <w:szCs w:val="20"/>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Brexit may affect our operations.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January 31, 2020 the United Kingdom withdrew from and ceased to be part of the European Union, commonly referred to as Brexit. Trade between European Union member states and the United Kingdom is now governed by the EU-UK Trade and Cooperation Agreement, which took effect after the Brexit transition period expired on December 31, 2020. The EU-UK Trade and Cooperation Agreement contains a number of general provisions on regulation and regulatory practice that are intended to facilitate exchange of goods and services between the European Union and the United Kingdom. However, since a significant proportion of the regulatory framework in the United Kingdom is derived from European Union directives and regulations, Brexit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The unavoidable uncertainties and events related to Brexit could cause volatility in currency exchange rates, interest rates, and European, United Kingdom or worldwide political, regulatory, economic or market conditions and contribute to instability in political institutions, regulatory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agencies and financial markets. If any of these outcomes occur, we may be forced to restrict or delay efforts to seek regulatory approval in the United Kingdom and/or European Union for our product candidates, which could significantly and materially harm our business.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pacing w:after="0" w:line="161"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9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left="60" w:right="219" w:firstLine="648"/>
        <w:spacing w:after="0" w:line="285"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7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70"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$14.16 per share and as high as $55.22 per share through February 21, 2021. As a result of this volatility, you may not be able to sell your common stock at or above the price your paid for it.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1040" w:right="53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and any other product candidates, if approved;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product candidates or our competitors’ products and product candidates;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products and product candidates or development programs;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products, product candidates or development programs;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1040" w:right="579" w:hanging="315"/>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1"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Pursuant to Section 404 of the Sarbanes-Oxley Act, or Section 404, our independent registered public accounting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firm is required to attest to the effectiveness of our internal control over financial reporting for the year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We are no longer an “emerging growth company” as of December 31, 2020 as the market value of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common stock held by non-affiliates exceeded $700.0 million as of June 30,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Our remediation efforts may not enable us to avoid material weaknesses in our internal control over financial reporting in the future. An adverse report on the effectiveness of our internal control over financial reporting pursuant to Section 404(b) of the Sarbanes-Oxley Act in future years, by our independent registered public accounting firm could have a material adverse impact on our company and financial statements and we may not be able to accurately or timely report our financial condition or results of operations, which may adversely affect investor confidence in us and, as a result, the value of our common stock.</w:t>
      </w:r>
    </w:p>
    <w:p>
      <w:pPr>
        <w:spacing w:after="0" w:line="19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92"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74"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As a public company, and as a large accelerated filer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88"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Our corporate headquarters are located in New York, New York, where we currently lease 4,312 square feet pursuant to a lease agreement dated as of January 10, 2018, which expires five years from the date we first began to occupy the premises. In addition, we lease 4,783 square feet of combined office and laboratory space located in Nutley, New Jersey pursuant to a lease agreement dated as of February 11, 2019, as amended, which expires on February 10,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Our wholly owned Danish subsidiary, Y-mAbs Therapeutics A/S, leases approximately 15,087 square feet of office space in Hørsholm, Denmark pursuant to a lease agreement dated February 2, 2018 as amended on November 19, 2018 and February 22, 2019. The lease may be terminated by us with nine months notice made no earlier than August 2022. The landlord may not terminate the lease until April 2024.</w:t>
      </w:r>
    </w:p>
    <w:p>
      <w:pPr>
        <w:spacing w:after="0" w:line="187" w:lineRule="exact"/>
        <w:rPr>
          <w:sz w:val="20"/>
          <w:szCs w:val="20"/>
          <w:color w:val="auto"/>
        </w:rPr>
      </w:pPr>
    </w:p>
    <w:p>
      <w:pPr>
        <w:jc w:val="both"/>
        <w:ind w:left="60" w:right="159" w:firstLine="648"/>
        <w:spacing w:after="0" w:line="277"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66"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179" w:firstLine="648"/>
        <w:spacing w:after="0" w:line="31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are not currently subject to any legal proceedings, and we are not aware of any pending or threatened legal proceeding against us that we believe could have an adverse effect on our business, operating results or financial condition.</w:t>
      </w:r>
    </w:p>
    <w:p>
      <w:pPr>
        <w:spacing w:after="0" w:line="14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2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229" w:lineRule="exact"/>
        <w:rPr>
          <w:sz w:val="20"/>
          <w:szCs w:val="20"/>
          <w:color w:val="auto"/>
        </w:rPr>
      </w:pPr>
    </w:p>
    <w:p>
      <w:pPr>
        <w:ind w:left="60" w:right="579" w:firstLine="648"/>
        <w:spacing w:after="0" w:line="342" w:lineRule="auto"/>
        <w:rPr>
          <w:sz w:val="20"/>
          <w:szCs w:val="20"/>
          <w:color w:val="auto"/>
        </w:rPr>
      </w:pPr>
      <w:r>
        <w:rPr>
          <w:rFonts w:ascii="Arial" w:cs="Arial" w:eastAsia="Arial" w:hAnsi="Arial"/>
          <w:sz w:val="16"/>
          <w:szCs w:val="16"/>
          <w:color w:val="auto"/>
        </w:rPr>
        <w:t>Our common stock trades under the symbol “YMAB” on the NASDAQ Global Select Market and has been publicly traded since September 21, 2018. Prior to this time, there was no public market for our common stock.</w:t>
      </w:r>
    </w:p>
    <w:p>
      <w:pPr>
        <w:spacing w:after="0" w:line="12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On February 22, 2021, the last reported sale price for our common stock on the NASDAQ Global Select Market was $39.51 per share.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As of February 22, 2021 there were 13 holders of record of shares of our common stock. This number does not include stockholders for whom shares are held in “nominee” or “street” name.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Information about our equity compensation plans will be included in our definitive proxy statement to be filed with the SEC with respect to our 2021 Annual Meeting of Stockholders and is incorporated herein by reference.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During the period covered by this Annual Report on Form 10-K, we have issued the following securities that were not registered under the Securities Act:</w:t>
      </w:r>
    </w:p>
    <w:p>
      <w:pPr>
        <w:spacing w:after="0" w:line="170"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In April 2020, we issued 42,900 shares of our common stock pursuant to a stock grant agreement entered into in connection with the entry into the SADA License Agreement. The issuance did not result in proceeds to the Company.</w:t>
      </w:r>
    </w:p>
    <w:p>
      <w:pPr>
        <w:spacing w:after="0" w:line="12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deemed the issuances in the paragraphs above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Each of the recipients of securities either received adequate information about our company or had access, through employment or other relationships, to such information. No underwriters were involved in the foregoing issuances of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On September 25, 2018, we completed the initial public offering of our common stock, or IPO pursuant to which we issued and sold 6,900,000 shares of our common stock at a price to the public of $16.00 per share which included the exercise in full of the underwriters’ option to purchase additional shares. We received aggregate gross proceeds from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initial public offering of $110.4 million, or aggregate net proceeds of approximately $99.8 million after deducting underwriting discounts and commissions and offering expenses. Merrill Lynch, Pierce Fenner &amp; Smith Incorporated and Cowen and Company, LLC acted as joint book-running managers for the initial public offering. Canacord Genuity LLC acted as lead manager and BTIG LLC acted as co-manager for the initial public offering.</w:t>
      </w:r>
    </w:p>
    <w:p>
      <w:pPr>
        <w:spacing w:after="0" w:line="187"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On November 1, 2019, we completed a secondary public offering of our common stock pursuant to which we issued and sold 5,134,750 shares of our common stock at a price to the public of $28.00 per share which included the exercise in full of the underwriters’ option to purchase additional shares. We received aggregate gross proceeds from our secondary public offering of $143.8 million, or aggregate net proceeds of approximately $134.7 million after deducting underwriting discounts and commissions and offering expenses. Morgan Stanley, J.P. Morgan and BofA Securities acted as joint book-running managers for the secondary public offering. Wedbush PacGrow and H.C. Wainwright &amp; Co. acted as co-managers for the secondary public offering.</w:t>
      </w:r>
    </w:p>
    <w:p>
      <w:pPr>
        <w:spacing w:after="0" w:line="177"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On February 22, 2021, we completed a secondary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 million, or aggregate net proceeds of approximately $107.7 million after deducting underwriting discounts and commissions and offering expenses J.P. Morgan, Morgan Stanley and BofA Securities acted as joint book-running managers for the secondary public offering. Kempen &amp; Co. U.S.A. and H.C. Wainwright &amp; Co. acted as co-managers for the secondary public offering.</w:t>
      </w:r>
    </w:p>
    <w:p>
      <w:pPr>
        <w:spacing w:after="0" w:line="17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None of the underwriting discounts and commissions or offering expenses were incurred or paid, directly or indirectly, to directors or officers of ours or their associates or to persons owning 10 percent or more of our common stock or to any of our affiliates, and we have not used any of the net proceeds from the public offerings to make payments, directly or indirectly, to any such persons.</w:t>
      </w:r>
    </w:p>
    <w:p>
      <w:pPr>
        <w:spacing w:after="0" w:line="187"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We have invested the net proceeds from the public offerings in cash and cash equivalents. There has been no material change in our planned use of proceeds as described in our final prospectus filed pursuant to Rule 424(b)(5) under the Securities Act with the SEC on October 31, 2019.</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2020, we had cash and cash equivalents of $114.6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following tables set forth our selected consolidated financial data for the period indicated. We have derived the consolidated statements of operations data for the years ended December 31, 2020 and 2019 and the consolidated balance sheet data as of December 31, 2020 and December 31, 2019 from our audited consolidated financial statements included elsewhere in this Annual Report on Form 10-K. We have derived the selected financial data for the year ended December 31, 2018 from audited financial statements not included in this annual report. Our historical results are not necessarily indicative of the results that should be expected for any future period. You should read the following selected consolidated financial data together with the more detailed information contained in “Management’s Discussion and Analysis of Financial Condition and Results of Operations” and our consolidated financial statements and the related notes included elsewhere in this Annual Report on Form 10-K.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gridSpan w:val="7"/>
          </w:tcPr>
          <w:p>
            <w:pPr>
              <w:jc w:val="center"/>
              <w:ind w:right="32"/>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License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Royalties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140,685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and other income /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(119,337)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(81,028)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(43,274)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5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6"/>
                <w:szCs w:val="16"/>
                <w:color w:val="auto"/>
              </w:rPr>
              <w:t>Net loss per share attributable to common stockholders—basic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CEEFF"/>
          </w:tcPr>
          <w:p>
            <w:pPr>
              <w:ind w:left="20"/>
              <w:spacing w:after="0" w:line="227" w:lineRule="exact"/>
              <w:rPr>
                <w:sz w:val="20"/>
                <w:szCs w:val="20"/>
                <w:color w:val="auto"/>
              </w:rPr>
            </w:pPr>
            <w:r>
              <w:rPr>
                <w:rFonts w:ascii="Arial" w:cs="Arial" w:eastAsia="Arial" w:hAnsi="Arial"/>
                <w:sz w:val="18"/>
                <w:szCs w:val="18"/>
                <w:color w:val="auto"/>
              </w:rPr>
              <w:t>diluted</w:t>
            </w:r>
            <w:r>
              <w:rPr>
                <w:rFonts w:ascii="Arial" w:cs="Arial" w:eastAsia="Arial" w:hAnsi="Arial"/>
                <w:sz w:val="26"/>
                <w:szCs w:val="26"/>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20"/>
              <w:spacing w:after="0" w:line="185" w:lineRule="exact"/>
              <w:rPr>
                <w:sz w:val="20"/>
                <w:szCs w:val="20"/>
                <w:color w:val="auto"/>
              </w:rPr>
            </w:pPr>
            <w:r>
              <w:rPr>
                <w:rFonts w:ascii="Arial" w:cs="Arial" w:eastAsia="Arial" w:hAnsi="Arial"/>
                <w:sz w:val="18"/>
                <w:szCs w:val="18"/>
                <w:color w:val="auto"/>
                <w:w w:val="91"/>
              </w:rPr>
              <w:t>Weighted-average common shares outstanding used in computing net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40,118,537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35,183,488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28,772,384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ind w:left="20"/>
              <w:spacing w:after="0" w:line="227" w:lineRule="exact"/>
              <w:rPr>
                <w:sz w:val="20"/>
                <w:szCs w:val="20"/>
                <w:color w:val="auto"/>
              </w:rPr>
            </w:pPr>
            <w:r>
              <w:rPr>
                <w:rFonts w:ascii="Arial" w:cs="Arial" w:eastAsia="Arial" w:hAnsi="Arial"/>
                <w:sz w:val="18"/>
                <w:szCs w:val="18"/>
                <w:color w:val="auto"/>
              </w:rPr>
              <w:t>per share attributable to common stockholders—basic and diluted</w:t>
            </w:r>
            <w:r>
              <w:rPr>
                <w:rFonts w:ascii="Arial" w:cs="Arial" w:eastAsia="Arial" w:hAnsi="Arial"/>
                <w:sz w:val="26"/>
                <w:szCs w:val="26"/>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379" w:hanging="330"/>
        <w:spacing w:after="0" w:line="286" w:lineRule="auto"/>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See Note 4 to our consolidated financial statements included elsewhere in this Annual Report on Form 10-K for an explanation of the method used to calculate the historical basic and diluted net loss per common share and the weighted average number of shares used in the computation of the per share amounts.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  114,634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207,136</w:t>
            </w:r>
          </w:p>
        </w:tc>
        <w:tc>
          <w:tcPr>
            <w:tcW w:w="8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  147,840</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Working capital</w:t>
            </w:r>
            <w:r>
              <w:rPr>
                <w:rFonts w:ascii="Arial" w:cs="Arial" w:eastAsia="Arial" w:hAnsi="Arial"/>
                <w:sz w:val="25"/>
                <w:szCs w:val="25"/>
                <w:color w:val="auto"/>
                <w:vertAlign w:val="superscript"/>
              </w:rPr>
              <w:t>(1)</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102,828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198,369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142,409</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132,047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216,366</w:t>
            </w:r>
          </w:p>
        </w:tc>
        <w:tc>
          <w:tcPr>
            <w:tcW w:w="8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151,924</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11,397</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(285,200)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(165,863)</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(84,835)</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105,836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198,903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140,527</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We define working capital as current assets less current liabilities.</w:t>
      </w:r>
    </w:p>
    <w:p>
      <w:pPr>
        <w:spacing w:after="0" w:line="221" w:lineRule="exact"/>
        <w:rPr>
          <w:sz w:val="20"/>
          <w:szCs w:val="20"/>
          <w:color w:val="auto"/>
        </w:rPr>
      </w:pPr>
    </w:p>
    <w:p>
      <w:pPr>
        <w:ind w:left="1120" w:right="119" w:hanging="1101"/>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are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4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On November 25, 2020, DANYELZA® (naxitamab-gqgk) was approved by the United States Food and Drug Administration, or the FDA, for the treatment, in combination with Granulocyte-Macrophage Colony-Stimulating Factor, or GM-CSF, of pediatric patients 1 year of age and older and adult patients with relapsed or refractory, or R/R, high-risk neuroblastoma, or NB, in the bone or bone marrow who have demonstrated a partial response, minor response, or stable disease to prior therapy. DANYELZA is currently being investigated in three Phase 2 clinical studies for the treatment of patients with first-line NB, third-line NB, and in relapsed osteosarcoma. We are commercializing DANYELZA in the United States. In addition, we have an ongoing Phase 2 trial at Memorial Sloan Kettering Cancer Center, or MSK, with our GD2-GD3 Vaccine for the treatment of Stage 4 high-risk NB. We believe the GD2-GD3 Vaccine can potentially serve as an add-on treatment to DANYELZA.</w:t>
      </w:r>
    </w:p>
    <w:p>
      <w:pPr>
        <w:spacing w:after="0" w:line="18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 xml:space="preserve">We submitted a Biologics License Application, or BLA, to the FDA for radiolabeled 131I-omburtamab for central nervous system, or CNS, leptomeningeal metastases, or LM, from NB in August 2020, and received a Refusal to File letter from the FDA in October 2020. We are in the process of preparing a resubmission of the BLA and we plan to continue to discuss our resubmission plans with the FDA, including a meeting in March 2021 in order to amend the BLA. Assuming a positive outcome of these discussions, we expect to resubmit our BLA for omburtamab by the end of the second quarter of 2021 or the third quarter of 2021. We plan to commercialize omburtamab as soon as possible after obtaining FDA approval, if such approval occurs Additionally, we are conducting clinical studies with omburtamab in diffuse intrinsic pontine glioma, or DIPG, and desmoplastic small round cell tumor, or DSRCT. We also have an omburtamab follow-on product candidate, </w:t>
      </w:r>
      <w:r>
        <w:rPr>
          <w:rFonts w:ascii="Arial" w:cs="Arial" w:eastAsia="Arial" w:hAnsi="Arial"/>
          <w:sz w:val="25"/>
          <w:szCs w:val="25"/>
          <w:color w:val="auto"/>
          <w:vertAlign w:val="superscript"/>
        </w:rPr>
        <w:t>177</w:t>
      </w:r>
      <w:r>
        <w:rPr>
          <w:rFonts w:ascii="Arial" w:cs="Arial" w:eastAsia="Arial" w:hAnsi="Arial"/>
          <w:sz w:val="17"/>
          <w:szCs w:val="17"/>
          <w:color w:val="auto"/>
        </w:rPr>
        <w:t>Lu-omburtamab-DTPA, in Phase I for the treatment of medulloblastoma, and in Phase I in adults targeting B7-H3 positive CNS/LM tumors.</w:t>
      </w:r>
    </w:p>
    <w:p>
      <w:pPr>
        <w:spacing w:after="0" w:line="184"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are advancing a new generation of T cell engaging bispecific antibodies, or BsAbs, that may destroy tumor cells by recruitment of host T cells. Our Y-BiClone format contains two binding arms for the tumor target and two binding arms for T cells. This format was designed to have the minimal binding affinity necessary to recruit T cells. We have successfully opened an investigational new drug application, or IND, for our Phase 2 trial with nivatrotamab, our GD2 BsAb product candidate, in Small Cell Lung Cancer, or SCLC. In addition a Phase 1/2 trial with nivatrotamab, for the treatment of refractory GD2 positive adult and pediatric solid tumors is ongoing. Our nivatrotamab program thus addresses large patient populations. We are also advancing a CD33 BsAb for the treatment of hematological cancers expressing CD33, a transmembrane receptor expressed on cells of myeloid lineage, which we expect to enter clinical testing in 2021. We are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8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We are using our proprietary radioimmunotherapy platform to advance a series of antibody constructs based on the SADA technology, where bispecific antibody fragments bind to the tumor before a radioactive payload is injected in a two-step approach. We also refer to the SADA technology as Liquid Radiation</w:t>
      </w:r>
      <w:r>
        <w:rPr>
          <w:rFonts w:ascii="Arial" w:cs="Arial" w:eastAsia="Arial" w:hAnsi="Arial"/>
          <w:sz w:val="23"/>
          <w:szCs w:val="23"/>
          <w:color w:val="auto"/>
          <w:vertAlign w:val="superscript"/>
        </w:rPr>
        <w:t>TM</w:t>
      </w:r>
      <w:r>
        <w:rPr>
          <w:rFonts w:ascii="Arial" w:cs="Arial" w:eastAsia="Arial" w:hAnsi="Arial"/>
          <w:sz w:val="16"/>
          <w:szCs w:val="16"/>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 GD2-SADA in 2021. We believe the SADA technology could potentially improve the efficacy of radiolabeled therapeutics in tumors that have not historically demonstrated meaningful responses to radiolabeled agents.</w:t>
      </w:r>
    </w:p>
    <w:p>
      <w:pPr>
        <w:spacing w:after="0" w:line="177"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57" w:lineRule="auto"/>
        <w:rPr>
          <w:sz w:val="20"/>
          <w:szCs w:val="20"/>
          <w:color w:val="auto"/>
        </w:rPr>
      </w:pPr>
      <w:r>
        <w:rPr>
          <w:rFonts w:ascii="Arial" w:cs="Arial" w:eastAsia="Arial" w:hAnsi="Arial"/>
          <w:sz w:val="18"/>
          <w:szCs w:val="18"/>
          <w:color w:val="auto"/>
        </w:rPr>
        <w:t>Since our inception on April 30, 2015, we have devoted substantially all of our resources to organizing and staffing our company, business planning, identifying potential product candidates, conducting pre clinical studies of our product candidates and clinical trials of our lead product candidates, raising capital, and acquiring and developing our technology platform among other matters. We have not generated any substantial revenues from sales of DANYELZA which is currently our only approved product.</w:t>
      </w:r>
    </w:p>
    <w:p>
      <w:pPr>
        <w:spacing w:after="0" w:line="188"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color w:val="auto"/>
        </w:rPr>
        <w:t>To date, we have financed our operations primarily through private placements of our securities, proceeds from our initial public offering and proceeds from our secondary public offering. On November 1, 2019, we completed our secondary public offering of 5,134,750 shares of our common stock, at a price of $28.00 per share, which includes the exercise in full of the underwriters’ option to purchase 669,750 additional shares of our common stock. The aggregate gross proceeds to us, before deducting underwriting discounts and commissions and estimated offering expenses payable by us, were approximately $143.8 million. We have received aggregate gross proceeds of $375.8 million through December 31, 2020 from the sale and issuance of our common stock of $373.8 million and exercise of stock options of $2.0 million.</w:t>
      </w:r>
    </w:p>
    <w:p>
      <w:pPr>
        <w:spacing w:after="0" w:line="192"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On February 22, 2021, we completed a secondary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 million, or aggregate net proceeds of approximately $107.7 million after deducting underwriting discounts and commissions and offering expenses.</w:t>
      </w:r>
    </w:p>
    <w:p>
      <w:pPr>
        <w:spacing w:after="0" w:line="188"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As of December 31, 2020, we had an accumulated deficit of $285.2 million. Our net losses were $119.3 million for the year ended December 31, 2020 and $81.0 million for the year ended December 31, 2019.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176" w:lineRule="exact"/>
        <w:rPr>
          <w:sz w:val="20"/>
          <w:szCs w:val="20"/>
          <w:color w:val="auto"/>
        </w:rPr>
      </w:pPr>
    </w:p>
    <w:p>
      <w:pPr>
        <w:ind w:left="1040" w:right="99" w:hanging="315"/>
        <w:spacing w:after="0" w:line="277"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the regulatory approval process both in the U.S. and internationally;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pre-clinical and clinical development;</w:t>
      </w:r>
    </w:p>
    <w:p>
      <w:pPr>
        <w:spacing w:after="0" w:line="225"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we identify;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25"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including expanding our operational, finance and management teams.</w:t>
      </w:r>
    </w:p>
    <w:p>
      <w:pPr>
        <w:spacing w:after="0" w:line="170"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In conjunction with the approval by the FDA of DANYELZA in November 2020 we received a Priority Review Voucher, or PRV, which we subsequently sold to United Therapeutics Corporation in 2021 based on an agreed valuation of $105.0 million. We are obligated to pay 40% of the net proceeds to MSK. We intend to use the remaining proceeds to fund further research and development and other operational programs. The transaction closed in January 2021 upon the resolution of the substantive closing conditions, and has not impacted the income statement or balance sheet as per December 31, 2020. We do not expect to generate revenues from product sales unless and until we successfully launch</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DANYELZA.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Pursuant to the MSK License, we have obtained exclusive rights to MSK’s rights in our current antibody product candidates. Under the MSK License, we have committed to funding scientific research at MSK as well as conducting certain clinical trial activities at MSK.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Master Data Services Agreement, or MDSA, and two separate Core Facility Service Agreements, or CFSAs. Also, under our Investigator-Sponsored Master Clinical Trial Agreement, or MCTA, with MSK, we will provide drug product and funding for certain clinical trials at MSK.</w:t>
      </w:r>
    </w:p>
    <w:p>
      <w:pPr>
        <w:spacing w:after="0" w:line="185" w:lineRule="exact"/>
        <w:rPr>
          <w:sz w:val="20"/>
          <w:szCs w:val="20"/>
          <w:color w:val="auto"/>
        </w:rPr>
      </w:pPr>
    </w:p>
    <w:p>
      <w:pPr>
        <w:ind w:left="60" w:right="79" w:firstLine="648"/>
        <w:spacing w:after="0" w:line="256" w:lineRule="auto"/>
        <w:rPr>
          <w:sz w:val="20"/>
          <w:szCs w:val="20"/>
          <w:color w:val="auto"/>
        </w:rPr>
      </w:pPr>
      <w:r>
        <w:rPr>
          <w:rFonts w:ascii="Arial" w:cs="Arial" w:eastAsia="Arial" w:hAnsi="Arial"/>
          <w:sz w:val="17"/>
          <w:szCs w:val="17"/>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w:t>
      </w:r>
    </w:p>
    <w:p>
      <w:pPr>
        <w:spacing w:after="0" w:line="193"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As required under the SADA License Agreement, in October 2020, we entered into a Sponsored Research Agreement to fund at least $1,500,000 in scientific research at MSK over the next three years. Further, 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pacing w:after="0" w:line="177"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Under the SADA License,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sales-based milestones, totaling $23,750,000, that become due should the Company achieve certain amounts of sales of licensed products. In addition, for each of the SADA constructs generated by MSK and sold for the Company by a sublicensee, the Company may pay sales milestones in the total amount up to $60,000,000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 The Company accrued $605,000 for milestones related to the SADA License in the year ended December 31, 2020.</w:t>
      </w:r>
    </w:p>
    <w:p>
      <w:pPr>
        <w:spacing w:after="0" w:line="18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These MSK agreements are important to our business. For a more detailed discussion of the terms and conditions of certain of these agreements, see Note 6 - License Agreements and Commitments.</w:t>
      </w:r>
    </w:p>
    <w:p>
      <w:pPr>
        <w:spacing w:after="0" w:line="170"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If we obtain regulatory approval for our product candidates, we expect to incur significant milestone costs, as well as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Since it was first reported to have emerged in December 2019, a novel strain of coronavirus, which causes COVID-19, has spread around the world, including the New York metropolitan area and Copenhagen, Denmark, where our primary office and laboratory spaces are located. The coronavirus pandemic is evolving, and to date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clinical trials, manufacturing operations and commercialization efforts,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We have taken temporary precautionary measures intended to help minimize the risk of the virus to our employees, including temporarily requiring all employees to work remotely, other than those performing or supporting business-critical functions, such as certain members of our laboratory staff, suspending all non-essential travel worldwide for our employees and employee attendance at industry events and in-person work-related meetings, which could negatively affect our business. For those employees that are performing or supporting business-critical functions, we have implemented stringent safety measures designed to comply with applicable US federal, state and local guidelines as well as Danish safety guidelines instituted in response to the COVID-19 pandemic. We cannot presently predict the scope and severity of the planned and potential shutdowns or disruptions of businesses and government agencies, such as the Securities and Exchange Commission, or SEC, the FDA or other domestic and international regulatory authorities.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 xml:space="preserve">The Company received FDA approval of DANYELZA in November 2020 and entered into exclusive licensing and distribution agreements for DANYELZA and omburtamab in certain international territories. License revenue consists of nonrefundable up-front payments received for the licensing rights as the company determined that the license was distinct from other promises within the arrangement.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additional detail.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Research and development expenses consist of expenses incurred in connection with the discovery and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development of our product candidates. We expense research and development costs as incurred. These expenses include:</w:t>
      </w:r>
    </w:p>
    <w:p>
      <w:pPr>
        <w:spacing w:after="0" w:line="245" w:lineRule="exact"/>
        <w:rPr>
          <w:sz w:val="20"/>
          <w:szCs w:val="20"/>
          <w:color w:val="auto"/>
        </w:rPr>
      </w:pPr>
    </w:p>
    <w:p>
      <w:pPr>
        <w:ind w:left="1040" w:right="299" w:hanging="315"/>
        <w:spacing w:after="0" w:line="308" w:lineRule="auto"/>
        <w:tabs>
          <w:tab w:leader="none" w:pos="1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sponsored research, laboratory facility services, clinical trial and data service at MSK under the Sponsored Research Agreements, or the SRA, the two CFSAs, the MCTA, and the MDSA, with MSK;</w:t>
      </w:r>
    </w:p>
    <w:p>
      <w:pPr>
        <w:spacing w:after="0" w:line="146" w:lineRule="exact"/>
        <w:rPr>
          <w:rFonts w:ascii="Arial" w:cs="Arial" w:eastAsia="Arial" w:hAnsi="Arial"/>
          <w:sz w:val="17"/>
          <w:szCs w:val="17"/>
          <w:color w:val="auto"/>
        </w:rPr>
      </w:pPr>
    </w:p>
    <w:p>
      <w:pPr>
        <w:ind w:left="1040" w:right="299" w:hanging="315"/>
        <w:spacing w:after="0" w:line="277"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studies and pre-clinical and clinical trials;</w:t>
      </w:r>
    </w:p>
    <w:p>
      <w:pPr>
        <w:spacing w:after="0" w:line="170"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expenses incurred under agreements with CMOs, including manufacturing scale-up expenses and the cost of acquiring and manufacturing pre-clinical and clinical trial materials, including manufacturing validation batches;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upfront, milestone and other non-revenue related payments due under our third-party licensing agreements;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travel and stock-based compensation;</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pacing w:after="0" w:line="170"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and omburtamab or any future product candidates we may develop. This uncertainty is due to the numerous risks and uncertainties associated with the duration and cost of clinical trials, which vary significantly over the life of a project as a result of many factors, including:</w:t>
      </w:r>
    </w:p>
    <w:p>
      <w:pPr>
        <w:spacing w:after="0" w:line="176" w:lineRule="exact"/>
        <w:rPr>
          <w:sz w:val="20"/>
          <w:szCs w:val="20"/>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1040" w:right="79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timing of our BLA submissions and their acceptance;</w:t>
      </w:r>
    </w:p>
    <w:p>
      <w:pPr>
        <w:spacing w:after="0" w:line="225"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non-U.S. regulatory authority;</w:t>
      </w:r>
    </w:p>
    <w:p>
      <w:pPr>
        <w:spacing w:after="0" w:line="170"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requirement by the FDA or any non-US regulatory authority to conduct post market surveillance or safety studies;</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expenditures are subject to additional uncertainties, including the terms and timing of regulatory approvals.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may never succeed in achieving regulatory approval for omburtamab or any other product candidates we may develop.</w:t>
      </w:r>
    </w:p>
    <w:p>
      <w:pPr>
        <w:spacing w:after="0" w:line="234"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78"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submissions for our pipeline candidates, including supplementary regulatory submissions for DANYELZA.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157" w:lineRule="exact"/>
        <w:rPr>
          <w:sz w:val="20"/>
          <w:szCs w:val="20"/>
          <w:color w:val="auto"/>
        </w:rPr>
      </w:pPr>
    </w:p>
    <w:p>
      <w:pPr>
        <w:ind w:left="60" w:right="399" w:firstLine="648"/>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potential commercialization of our product candidates and costs associated with operating as a public company, including expenses related to services associated with maintaining compliance with exchange listing and the SEC requirements, director and officer insurance costs and investor and public relations costs. These increases will likely include increased costs related to the hiring of additional personnel and fees to outside consultants, lawyers and accountants, among other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Royalty Expenses</w:t>
      </w:r>
    </w:p>
    <w:p>
      <w:pPr>
        <w:spacing w:after="0" w:line="225" w:lineRule="exact"/>
        <w:rPr>
          <w:sz w:val="20"/>
          <w:szCs w:val="20"/>
          <w:color w:val="auto"/>
        </w:rPr>
      </w:pPr>
    </w:p>
    <w:p>
      <w:pPr>
        <w:ind w:left="60" w:right="839" w:firstLine="648"/>
        <w:spacing w:after="0" w:line="277" w:lineRule="auto"/>
        <w:rPr>
          <w:sz w:val="20"/>
          <w:szCs w:val="20"/>
          <w:color w:val="auto"/>
        </w:rPr>
      </w:pPr>
      <w:r>
        <w:rPr>
          <w:rFonts w:ascii="Arial" w:cs="Arial" w:eastAsia="Arial" w:hAnsi="Arial"/>
          <w:sz w:val="18"/>
          <w:szCs w:val="18"/>
          <w:color w:val="auto"/>
        </w:rPr>
        <w:t>Royalty expenses consist of royalty costs calculated as a percentage of license revenue per our licensing agreements.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 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8"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to be most critical to the judgments and estimates used in the preparation of our financial statements.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stock options. Estimates are periodically reviewed in light of changes in circumstances, facts and experience. Changes in estimates are recorded in the period in which they become known. Actual results could differ from those estimates.</w:t>
      </w:r>
    </w:p>
    <w:p>
      <w:pPr>
        <w:spacing w:after="0" w:line="177"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 We have made estimates of the impact of COVID-19 within our financial statements and there may be changes to those estimates in future periods. Actual results may differ from these estimates.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We have certain license agreements that are within the scope of Accounting Standards Codification 606, Revenue from Contracts with Customers (ASC 606), to determine the distinct performance obligations. We analogize to ASC 606 for the accounting for distinct performance obligations for which there is a customer relationship.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Total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16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the company assess the goods or services promised within each contract, determine those that are performance obligations, and assess whether each promised good or service is distinct. The company then recognize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If there are multiple distinct performance obligations, we allocate the transaction price to each distinct performance obligation based on our relative standalone selling price. In assessing whether a promised good or service is distinct in the evaluation of a license arrangement subject to ASC 606, the Company considers factors such as the research, manufacturing and commercialization capabilities of the licensing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it identifies a bundle of goods or services that is distinct.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standalone selling price is generally determined based on the prices charged to customers. We estimate the efforts needed to complete the performance obligations and recognize revenue by measuring the progress towards complete satisfaction of the performance obligations using input measures.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costs to obtain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CD33 License, MabVax Sublicense, and SADA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95"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policy is to recognize, when applicable, interest and penalties on uncertain tax positions as part of income tax</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We measure stock options granted to employees, directors, and consultants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service-based vesting conditions and record the expense for these awards using the straight-line method over the requisite service period.</w:t>
      </w:r>
    </w:p>
    <w:p>
      <w:pPr>
        <w:spacing w:after="0" w:line="176"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the historical volatility of a group of publicly-traded peer companies and we expect to continue to do so until such time as we have adequate historical data regarding the volatility of our own traded share price. The expected term of our stock options has been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model.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assumptions that the Company used to determine the fair value of the granted stock options were as follows:</w:t>
      </w:r>
    </w:p>
    <w:p>
      <w:pPr>
        <w:spacing w:after="0" w:line="248" w:lineRule="exact"/>
        <w:rPr>
          <w:sz w:val="20"/>
          <w:szCs w:val="20"/>
          <w:color w:val="auto"/>
        </w:rPr>
      </w:pPr>
    </w:p>
    <w:p>
      <w:pPr>
        <w:ind w:left="1040" w:right="79" w:hanging="315"/>
        <w:spacing w:after="0" w:line="277" w:lineRule="auto"/>
        <w:tabs>
          <w:tab w:leader="none" w:pos="1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170"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3" w:lineRule="exact"/>
        <w:rPr>
          <w:rFonts w:ascii="Arial" w:cs="Arial" w:eastAsia="Arial" w:hAnsi="Arial"/>
          <w:sz w:val="18"/>
          <w:szCs w:val="18"/>
          <w:color w:val="auto"/>
        </w:rPr>
      </w:pPr>
    </w:p>
    <w:p>
      <w:pPr>
        <w:ind w:left="1040" w:right="99" w:hanging="315"/>
        <w:spacing w:after="0" w:line="286" w:lineRule="auto"/>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65" w:lineRule="exact"/>
        <w:rPr>
          <w:rFonts w:ascii="Arial" w:cs="Arial" w:eastAsia="Arial" w:hAnsi="Arial"/>
          <w:sz w:val="17"/>
          <w:szCs w:val="17"/>
          <w:color w:val="auto"/>
        </w:rPr>
      </w:pPr>
    </w:p>
    <w:p>
      <w:pPr>
        <w:ind w:left="1040" w:right="219" w:hanging="315"/>
        <w:spacing w:after="0" w:line="259" w:lineRule="auto"/>
        <w:tabs>
          <w:tab w:leader="none" w:pos="1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Expected Term: We determine the average expected life of stock options based on the simplified method in accordance with SEC Staff Accounting Bulletin Nos. 107 and 110. We expect to continue to use the simplified method until we have sufficient historical exercise data to provide a reasonable basis upon which to estimate expected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our results of operations for the years ended December 31, 2020 and 2019:</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center"/>
              <w:ind w:right="32"/>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License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93,697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(119,935)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(83,004)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(119,337)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(81,028)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60" w:right="299" w:firstLine="540"/>
        <w:spacing w:after="0" w:line="257" w:lineRule="auto"/>
        <w:rPr>
          <w:sz w:val="20"/>
          <w:szCs w:val="20"/>
          <w:color w:val="auto"/>
        </w:rPr>
      </w:pPr>
      <w:r>
        <w:rPr>
          <w:rFonts w:ascii="Arial" w:cs="Arial" w:eastAsia="Arial" w:hAnsi="Arial"/>
          <w:sz w:val="18"/>
          <w:szCs w:val="18"/>
          <w:color w:val="auto"/>
        </w:rPr>
        <w:t>License revenue was $20.8 million for the year ended December 31, 2020 and was attributable to revenue earned from outlicensing DANYELZA and omburtamab in Greater China and Israel. As part of the agreements, we received nonrefundable up-front fees of $20.8 million for the transfer of the license and know-how related to the product indications. We recognized the revenue as we determined the license to be distinct from other promises within the arrangement.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have any revenues in the year ended December 31,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We do not record our research and development expenses on a program-by-program or on a product-by-product basis as they primarily relate to personnel, research, manufacturing, license fees, non-cash expense in connection with equity issuances to MSK, MIT, and non-employee researchers; and consumable costs, which are simultaneously deployed across multiple projects under development. These costs are included in the table below.</w:t>
      </w:r>
    </w:p>
    <w:p>
      <w:pPr>
        <w:spacing w:after="0" w:line="176"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Year Ended</w:t>
      </w:r>
    </w:p>
    <w:p>
      <w:pPr>
        <w:ind w:left="68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r>
      <w:tr>
        <w:trPr>
          <w:trHeight w:val="128"/>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60" w:type="dxa"/>
            <w:vAlign w:val="bottom"/>
            <w:gridSpan w:val="3"/>
          </w:tcPr>
          <w:p>
            <w:pPr>
              <w:jc w:val="right"/>
              <w:ind w:right="259"/>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$ 30,478</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Clinical trials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5,870</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Outsourced research and supplies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15,466</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Milestones and license acquisition costs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13,314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6,512</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2,789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1,686</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4,080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2,403</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$ 93,697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$ 63,492</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Research and development expenses increased by $30.2 million, from $63.5 million for the year ended December 31, 2019, to $93.7 million for the year ended December 31, 2020. This was primarily due to a $13.2 million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Milestones and license acquisition cost related to the SADA agreement, including an upfront payment of $2.0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million, $3.3 million associated with equity issuances to MSK/MIT, $7.4 million for the issuance of shares to two non-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employees, and $0.6 million for milestones which we considered probable for the period ending December 31, 2020.</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Outsourced services and supplies costs increased by $1.6 million for the year ended December 31, 2020, primarily obtained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from MSK and CROs for DANYELZA and our lead product candidate omburtamab. Personnel-related costs including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salary, benefits and non-cash stock-based compensation for personnel related to our research activities, increased by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$13.4 million for the year ended December 31, 2020. The increase includes $4.8 million in stock-based compensation for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non-employee consultant who assisted with a development program. Professional and consulting fees increased by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million for the year ended December 31, 2020.</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General and administrative expenses increased by $25.3 million from $19.5 million for the year ended December 31, 2019 to $44.8 million for the year ended December 31, 2020. The increase in general and administrative expenses was primarily attributable to a $12.7 million increase in commercial expense incurred in conjunction with building up the sales and marketing infrastructure for the launch of DANYELZA and the potential launch of omburtamab; and a $8.9 million increase in employee-related costs, including salary, benefits and non-cash stock-based compensation for personnel related to our business activities. In addition, compared with 2019, insurance expenses increased by $2.1 million, and professional fees increased by $2.1 million in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Royalty Expense</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Royalty expense was $2.2 million for the year ended December 31, 2019 and was attributable royalties owed related to the Sciclone and Takeda agreements discussed in License Revenue above. We did not have any royalty expenses in the year ended December 31,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225"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Interest and Other Income for the year ended December 31, 2020 decreased by $1.4 million from $2.0 million for the year ended December 31, 2019 to $0.6 million for the year ended December 31, 2020. Our interest income decreased by $1.4 million due to a decrease in interest rates foreign currency and exchange losses and in the current period.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 operations through December 31, 2020 primarily through gross proceeds from the sale of our common stock of $230.0 million in the years 2015 through 2018 and an additional $143.8 million from the sale of our common stock in 2019. As of December 31, 2020, we had cash and cash equivalents of $114.6 million. We will need additional capital to continue funding our operations, which we may obtain from additional equity or debt financings, collaborations, licensing arrangements, or other sources.</w:t>
      </w:r>
    </w:p>
    <w:p>
      <w:pPr>
        <w:spacing w:after="0" w:line="17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conjunction with the approval by the FDA of DANYELZA in November 2020 we received a Priority Review Voucher, or PRV, which we subsequently sold to United Therapeutics Corporation based on an agreed valuation of $105.0 million. We were obligated to pay 40% of the net proceeds to MSK. We inted to use the remaining proceeds to fund further research and development and other operational programs. The transaction closed in January 2021 once all closing conditions had been met, and has not impacted the income statement or balance sheet as per December 31, 2020. We do not expect to generate revenues from product sales unless and until we successfully launch DANYELZA.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provides information regarding our cash flows for the years ended December 31,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216"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Year Ended</w:t>
      </w:r>
    </w:p>
    <w:p>
      <w:pPr>
        <w:ind w:left="7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(91,231)</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decrease in cash and cash equivalents</w:t>
            </w:r>
          </w:p>
        </w:tc>
        <w:tc>
          <w:tcPr>
            <w:tcW w:w="1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(92,502)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use of cash in all periods resulted primarily from our net losses adjusted for non-cash charges and changes in components of working capital.</w:t>
      </w:r>
    </w:p>
    <w:p>
      <w:pPr>
        <w:spacing w:after="0" w:line="17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Net cash used in operating activities was $91.2 million during the year ended December 31, 2020, as compared to $73.5 million during the year ended December 31, 2019. The $17.7 million increase in net cash used in operations was primarily due to an increase in our net loss for the year ended December 31, 2020 of $38.3 million, compared to the year ended December 31, 2019. This increase was primarily due to an increase in our operating expenses in connection with the development of our lead product candidates, DANYELZA and omburtamab, and the expansion of our other business activities. Non-cash expenses included stock-based compensation to employees and non-employees, which increased by $20.6 million. Adjustments of working capital reflect an increase of $0.8 million for the year ended December 31, 2020 compared to the year ended December 31, 2019.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Net cash used in investing activities was $2.8 million for the year ended December 31, 2020, as compared to $2.0 million for the year ended December 31, 2019. The $0.8 million increase in net cash used in investing activities was primarily caused by $2.6 million in loans to two researchers related to their individual tax payments due in conjunction with stock grant, refer to Note 7, “Stockholder’s Equity”. The increase was partially offset by decreased spending on laboratory equipment in 2020 as our New Jersey laboratory facilities were finalized in 2019.</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left="60" w:right="439" w:firstLine="648"/>
        <w:spacing w:after="0" w:line="275" w:lineRule="auto"/>
        <w:rPr>
          <w:sz w:val="20"/>
          <w:szCs w:val="20"/>
          <w:color w:val="auto"/>
        </w:rPr>
      </w:pPr>
      <w:r>
        <w:rPr>
          <w:rFonts w:ascii="Arial" w:cs="Arial" w:eastAsia="Arial" w:hAnsi="Arial"/>
          <w:sz w:val="17"/>
          <w:szCs w:val="17"/>
          <w:color w:val="auto"/>
        </w:rPr>
        <w:t>Net cash provided by financing activities was $2.0 million during the year ended December 31, 2020, as compared to $134.7 million during the year ended December 31, 2019. The decrease in cash provided by financing activities was attributable to net proceeds of $134.7 million related to the issuance of common stock in the Company’s secondary public offering in the year ended December 31, 2019, which exceeded the $2.0 million net proceeds from exercise of stock options in the year ended December 31,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DANYELZA and omburtamab, and initiate and advance our BLA resubmission for omburtamab. In addition, we plan to advance the development of other pipeline programs, initiate new research and pre-clinical development efforts and seek marketing approval for any additional product candidates that we successfully develop. If we obtain approval for any additional product candidates, we expect to incur commercialization expenses, which may be significant, related to establishing sales, marketing, manufacturing capabilities, distribution and other commercial infrastructure to commercialize such products. Accordingly, we might need to obtain substantial additional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84"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In conjunction with the approval by the FDA of DANYELZA in November 2020 we received a PRV, which we subsequently sold to United Therapeutics Corporation based on an agreed valuation of $105.0 million. We were obligated to pay 40% of the net proceeds to MSK. We inted to use the remaining proceeds to fund further research and development and other operational programs. The transaction closed in January 2021, and has not impacted the income statement or balance sheet as per December 31, 2020.</w:t>
      </w:r>
    </w:p>
    <w:p>
      <w:pPr>
        <w:spacing w:after="0" w:line="188"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61" w:lineRule="exact"/>
        <w:rPr>
          <w:sz w:val="20"/>
          <w:szCs w:val="20"/>
          <w:color w:val="auto"/>
        </w:rPr>
      </w:pPr>
    </w:p>
    <w:p>
      <w:pPr>
        <w:ind w:left="1040" w:right="419" w:hanging="315"/>
        <w:spacing w:after="0" w:line="263"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research and pre-clinical development efforts for any future product candidates that we may develop;</w:t>
      </w:r>
    </w:p>
    <w:p>
      <w:pPr>
        <w:spacing w:after="0" w:line="236" w:lineRule="exact"/>
        <w:rPr>
          <w:rFonts w:ascii="Arial" w:cs="Arial" w:eastAsia="Arial" w:hAnsi="Arial"/>
          <w:sz w:val="17"/>
          <w:szCs w:val="17"/>
          <w:color w:val="auto"/>
        </w:rPr>
      </w:pPr>
    </w:p>
    <w:p>
      <w:pPr>
        <w:ind w:left="1040" w:right="399" w:hanging="315"/>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distribution agreements or other arrangements;</w:t>
      </w:r>
    </w:p>
    <w:p>
      <w:pPr>
        <w:spacing w:after="0" w:line="170" w:lineRule="exact"/>
        <w:rPr>
          <w:rFonts w:ascii="Arial" w:cs="Arial" w:eastAsia="Arial" w:hAnsi="Arial"/>
          <w:sz w:val="18"/>
          <w:szCs w:val="18"/>
          <w:color w:val="auto"/>
        </w:rPr>
      </w:pPr>
    </w:p>
    <w:p>
      <w:pPr>
        <w:ind w:left="1040" w:right="779" w:hanging="315"/>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5" w:lineRule="exact"/>
        <w:rPr>
          <w:rFonts w:ascii="Arial" w:cs="Arial" w:eastAsia="Arial" w:hAnsi="Arial"/>
          <w:sz w:val="18"/>
          <w:szCs w:val="18"/>
          <w:color w:val="auto"/>
        </w:rPr>
      </w:pPr>
    </w:p>
    <w:p>
      <w:pPr>
        <w:ind w:left="1040" w:right="119" w:hanging="315"/>
        <w:spacing w:after="0" w:line="286" w:lineRule="auto"/>
        <w:tabs>
          <w:tab w:leader="none" w:pos="10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1040" w:right="379" w:hanging="315"/>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and timing of future revenue, if any, received from commercial sales of our current and future product candidates upon any marketing approvals;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additional financing to achieve our business objectives. Adequate additional financing may not be available to us on acceptable terms, or at all.</w:t>
      </w:r>
    </w:p>
    <w:p>
      <w:pPr>
        <w:spacing w:after="0" w:line="170"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Contractual obligations as of December 31, 2020 are related to payments of operating leases for a development, manufacturing and supply agreement with SpectronRx in South Bend, Indiana, and our office spaces at our corporate headquarters in New York, New York, a laboratory space located in Nutley, New Jersey, and Hørsholm, Denmark. Our obligations and commitments are disclosed in the contractual obligations table below:</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940" w:type="dxa"/>
            <w:vAlign w:val="bottom"/>
            <w:gridSpan w:val="4"/>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4 to 5 Years</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3"/>
              </w:rPr>
              <w:t>Less Than 1 Year</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1 to 3 Years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$ 4,377,000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2,180,000</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$ 2,133,000</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64,000</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$ 4,377,000</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2,180,000</w:t>
            </w: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$ 2,133,000</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64,000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above.</w:t>
      </w:r>
    </w:p>
    <w:p>
      <w:pPr>
        <w:spacing w:after="0" w:line="177"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where timing is uncertain. In addition, we have other contingent payment obligations, such as royalties or other third party milestones, which are not included in the table above as the amount, timing and likelihood of such payments are not known.</w:t>
      </w:r>
    </w:p>
    <w:p>
      <w:pPr>
        <w:spacing w:after="0" w:line="188" w:lineRule="exact"/>
        <w:rPr>
          <w:sz w:val="20"/>
          <w:szCs w:val="20"/>
          <w:color w:val="auto"/>
        </w:rPr>
      </w:pPr>
    </w:p>
    <w:p>
      <w:pPr>
        <w:jc w:val="both"/>
        <w:ind w:left="60" w:right="279" w:firstLine="648"/>
        <w:spacing w:after="0" w:line="286" w:lineRule="auto"/>
        <w:rPr>
          <w:sz w:val="20"/>
          <w:szCs w:val="20"/>
          <w:color w:val="auto"/>
        </w:rPr>
      </w:pPr>
      <w:r>
        <w:rPr>
          <w:rFonts w:ascii="Arial" w:cs="Arial" w:eastAsia="Arial" w:hAnsi="Arial"/>
          <w:sz w:val="17"/>
          <w:szCs w:val="17"/>
          <w:color w:val="auto"/>
        </w:rPr>
        <w:t>We have entered into three license agreements and certain other agreements with MSK. The license agreements are further described below as the MSK License, the MSK CD33 License, and the SADA License. Additionally, through the SAAA we have established a direct license with MSK relating to the GD2-GD3 Vaccine.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Under the MSK License and MSK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based on net sales of products licensed under the applicable agreement and (iii) pay to MSK a percentage of any sublicense fees received by us. Under the MSK License, we are also obligated to pay annual minimum royalties of $80,000 over the royalty term, starting in 2020.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The total expensed minimum royalty payments in 2016 under the MSK License were $1,200,000, upon determination that the payment of such minimum royalties was probable and the amount was estimable in 2016. We are also obligated to pay MSK certain clinical, regulatory and sales-based milestone payments under the MSK License and MSK CD33 License. Certain of the clinical and regulatory milestone payments become due at the earlier of completion of the related milestone activity or the date indicated in the MSK License. Total clinical, regulatory and sales based milestones potentially due under the MSK License are $2,450,000, $9,000,000 and $20,000,000, respectively. In addition, under the MSK CD33 License, we are obligated to make potential payments of $550,000, $500,000 and $7,500,000 for clinical, regulatory and sales based milestones, respectively. We record milestones in the period in which the contingent liability is probable and the amount is reasonably estimable.</w:t>
      </w:r>
    </w:p>
    <w:p>
      <w:pPr>
        <w:spacing w:after="0" w:line="17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On April 15, 2020, we entered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 refundable but are creditable against royalty payments otherwise due under the SADA License Agreement. Under the SADA License Agreement, we are also obligated to pay MSK and MIT certain clinical, regulatory and sales 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 based milestones, totaling $23,750,000, that become due should the Company achieve certain amounts of sales of licensed products. In addition, for each SADA construct generated by MSK and sold for the Company by a sublicensee, the Company may pay sales milestones in the total amount of $60,000,000 based on the achievement of various levels of cumulative net sales by the sublicensee. Further, under the SADA License Agreement, we have committed to funding scientific research at MSK for up to $1,500,000 over the next three years, which we will expense as incurred.</w:t>
      </w:r>
    </w:p>
    <w:p>
      <w:pPr>
        <w:spacing w:after="0" w:line="18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w:t>
      </w:r>
    </w:p>
    <w:p>
      <w:pPr>
        <w:spacing w:after="0" w:line="166"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On March 21, 2019, MabVax filed a voluntary petition for relief under Chapter 11 of the Bankruptcy Code. The essence of the transaction created by the SAAA was for us, in light of the Chapter 11 bankruptcy proceedings affecting MabVax, to preserve the MabVax/MSK License Agreement and the rights granted to us under the MabVax/Y-mAbs Sublicense and for us to create a direct relationship with MSK with respect to the rights covered under the MabVax/Y-mAbs Sublicense. Pursuant to the SAAA, MabVax agreed to assume the MabVax/Y-mAbs Sublicense and the MabVax/Y-mAbs License Agreement pursuant to Section 365 of the Bankruptcy Code and concurrently to assign both of these agreements to MSK. MabVax has also agreed to pay MSK a certain amount to cure all of its existing defaults under the MabVax/MSK License Agreement. We remain responsible for any potential downstream payment obligations by MabVax to MSK related to the GD2-GD3 Vaccine that were specified in the MabVax/MSK License Agreement. This includes the obligation to pay development milestones totaling $1,400,000 and mid single-digit royalty payments to MSK. In addition, if we obtain FDA approval for the GD2-GD3 Vaccine, then we are obligated to file with the FDA for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a PRV. The SAAA stipulates that, if we are granted a PRV from the FDA covering a licensed product under the MabVax/Y-mAbs Sublicense and the PRV is subsequently sold, we will pay directly to MabVax and to MSK, respectively, a percentage of the proceeds from the sale thereof in order that MabVax and MSK each receive the same amount therefrom as envisaged under the MabVax/MSK License Agreement. The MabVax/MSK License Agreement will expire with effect for us, on a country by 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19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Research and development is inherently uncertain and, should such research and development fail, the MSK License, the MSK CD33 License, and SADA License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CD33 License, the SADA License or the MabVax License. We have entered sublicenses with SciClone and Takeda under the MSK License in 2020. Our failure to meet certain conditions under such arrangements could cause the related license to such licensed product to be canceled and could result in termination of the entire respective arrangement with MSK. In addition, we may terminate the MSK License, the MSK CD33 License, or the SADA License with prior written notice to MSK.</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Controls and Procedures</w:t>
      </w:r>
    </w:p>
    <w:p>
      <w:pPr>
        <w:spacing w:after="0" w:line="229"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We are required, pursuant to Section 404(a) of the Sarbanes Oxley Act, to furnish a report by management on, among other things, the effectiveness of our internal control over financial reporting. This assessment includes disclosure of any material weaknesses identified by management over our internal control over financial reporting. Our independent registered public accounting firm is required to report on the effectiveness of our internal control over financial reporting pursuant to Section 404(b) of the Sarbanes-Oxley Act.</w:t>
      </w:r>
    </w:p>
    <w:p>
      <w:pPr>
        <w:spacing w:after="0" w:line="176"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in accordance with GAAP. Certain material weaknesses have been identified in our internal control over financial reporting. See the section herein entitled “Risk Factors”—We have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84" w:lineRule="exact"/>
        <w:rPr>
          <w:sz w:val="20"/>
          <w:szCs w:val="20"/>
          <w:color w:val="auto"/>
        </w:rPr>
      </w:pPr>
    </w:p>
    <w:p>
      <w:pPr>
        <w:jc w:val="both"/>
        <w:ind w:left="60" w:right="159" w:firstLine="648"/>
        <w:spacing w:after="0" w:line="286" w:lineRule="auto"/>
        <w:rPr>
          <w:sz w:val="20"/>
          <w:szCs w:val="20"/>
          <w:color w:val="auto"/>
        </w:rPr>
      </w:pPr>
      <w:r>
        <w:rPr>
          <w:rFonts w:ascii="Arial" w:cs="Arial" w:eastAsia="Arial" w:hAnsi="Arial"/>
          <w:sz w:val="17"/>
          <w:szCs w:val="17"/>
          <w:color w:val="auto"/>
        </w:rPr>
        <w:t>We have completed an evaluation of our internal control over financial reporting, as required by Section 404, and concluded that our disclosure controls and procedures were not effective at the reasonable assurance level as of December 31, 2020, due to material weaknesses in our internal control over financial reporting.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We have engaged an independent registered public accounting firm to perform an audit of our internal control over financial reporting as of December 31, 2020, who has concluded that our internal controls over financial reporting are not effective as of December 31, 2020 due to material weaknesses identified.</w:t>
      </w:r>
    </w:p>
    <w:p>
      <w:pPr>
        <w:spacing w:after="0" w:line="184"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took various steps to address the material weaknesses identified which included the following during the year ended December 31, 2020:</w:t>
      </w:r>
    </w:p>
    <w:p>
      <w:pPr>
        <w:spacing w:after="0" w:line="170" w:lineRule="exact"/>
        <w:rPr>
          <w:sz w:val="20"/>
          <w:szCs w:val="20"/>
          <w:color w:val="auto"/>
        </w:rPr>
      </w:pPr>
    </w:p>
    <w:p>
      <w:pPr>
        <w:ind w:left="720" w:right="499" w:hanging="319"/>
        <w:spacing w:after="0" w:line="271" w:lineRule="auto"/>
        <w:tabs>
          <w:tab w:leader="none" w:pos="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Hired additional professionals to enhance the depth and competence of our accounting and finance team and strengthened the overall oversight and review procedures with regards to segregation of duties, financial reporting, financial processes and procedures and overall internal control procedures;</w:t>
      </w:r>
    </w:p>
    <w:p>
      <w:pPr>
        <w:ind w:left="720" w:right="259" w:hanging="319"/>
        <w:spacing w:after="0" w:line="265" w:lineRule="auto"/>
        <w:tabs>
          <w:tab w:leader="none" w:pos="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Implemented business process-level controls across all significant accounts and information technology general controls across all relevant domains. This included completing training such that the preparers and control operators had clear expectations as it relates to the control design, execution and monitoring of such controls, including enhancements to the documentation to evidence the execution of the controls;</w:t>
      </w:r>
    </w:p>
    <w:p>
      <w:pPr>
        <w:ind w:left="720" w:right="259" w:hanging="319"/>
        <w:spacing w:after="0" w:line="281"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Enhanced controls relating to the posting of journal entries and the preparation of account reconciliations. Specifically, we have systematically enforced segregation of duties by restricting the ability of individuals to create and post certain journal entries and also implemented a secondary review of manual journal entries by an individual without the ability to post journal entries. Additionally, we have enhanced our account reconciliation process by incorporating standardized checklists and templates and also designed the process in a manner in which the reconciliations are reviewed by an individual without access to post journal entries;</w:t>
      </w:r>
    </w:p>
    <w:p>
      <w:pPr>
        <w:spacing w:after="0" w:line="3" w:lineRule="exact"/>
        <w:rPr>
          <w:rFonts w:ascii="Arial" w:cs="Arial" w:eastAsia="Arial" w:hAnsi="Arial"/>
          <w:sz w:val="16"/>
          <w:szCs w:val="16"/>
          <w:color w:val="auto"/>
        </w:rPr>
      </w:pPr>
    </w:p>
    <w:p>
      <w:pPr>
        <w:ind w:left="720" w:right="219" w:hanging="319"/>
        <w:spacing w:after="0" w:line="250"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the business-process and information technology controls such that appropriate segregation of duties are in place. We have also instituted periodic monitoring controls across relevant segregation of duties conflicts to assess whether access remains appropriate and necessary implemented compensating controls where access could not be restricted; and</w:t>
      </w:r>
    </w:p>
    <w:p>
      <w:pPr>
        <w:spacing w:after="0" w:line="1" w:lineRule="exact"/>
        <w:rPr>
          <w:rFonts w:ascii="Arial" w:cs="Arial" w:eastAsia="Arial" w:hAnsi="Arial"/>
          <w:sz w:val="18"/>
          <w:szCs w:val="18"/>
          <w:color w:val="auto"/>
        </w:rPr>
      </w:pPr>
    </w:p>
    <w:p>
      <w:pPr>
        <w:ind w:left="720" w:right="319" w:hanging="319"/>
        <w:spacing w:after="0" w:line="260"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Strengthened our processes and controls surrounding the review of complex accounting transactions, including the preparation and review of such accounting memos.</w:t>
      </w:r>
    </w:p>
    <w:p>
      <w:pPr>
        <w:spacing w:after="0" w:line="185"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Until the controls described above have been in place long enough for management to conclude that they are operating effectively, the material weakness described above will continue to exist.</w:t>
      </w:r>
    </w:p>
    <w:p>
      <w:pPr>
        <w:spacing w:after="0" w:line="170" w:lineRule="exact"/>
        <w:rPr>
          <w:sz w:val="20"/>
          <w:szCs w:val="20"/>
          <w:color w:val="auto"/>
        </w:rPr>
      </w:pPr>
    </w:p>
    <w:p>
      <w:pPr>
        <w:ind w:left="60" w:right="79" w:firstLine="693"/>
        <w:spacing w:after="0" w:line="296" w:lineRule="auto"/>
        <w:rPr>
          <w:sz w:val="20"/>
          <w:szCs w:val="20"/>
          <w:color w:val="auto"/>
        </w:rPr>
      </w:pPr>
      <w:r>
        <w:rPr>
          <w:rFonts w:ascii="Arial" w:cs="Arial" w:eastAsia="Arial" w:hAnsi="Arial"/>
          <w:sz w:val="16"/>
          <w:szCs w:val="16"/>
          <w:color w:val="auto"/>
        </w:rPr>
        <w:t>We may not be able to complete our evaluation, testing or any required remediation in a timely fashion. During the evaluation and testing process I nsubsequent periods,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373"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color w:val="auto"/>
        </w:rPr>
        <w:t>We are exposed to market risk related to changes in interest rates. As of December 31, 2020 and December 31, 2019, we had cash and cash equivalents of $114.6 million and $207.1 million, respectively. Due to the nature of our investments in money market funds, the carrying value of our cash equivalents approximate their fair value at December 31, 2020. We currently have, and may, from time to time in the future, cash in banks in excess of FDIC insurance limits. We have not experienced any losses to date. We mitigate our risk by maintaining the majority of our cash and equivalents with high quality financial institutions. Our exposure to changes in the general level of U.S. interest rates is considered immaterial, particularly because our cash equivalents are primarily held in highly rated securities including a Treasury money market fund. Due to the short-term nature of such balances, an immediate 100 basis point change in interest rates would not have any significant effect on the fair market value of cash balances.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Our primary exposure to market risk is foreign exchange rate sensitivity to the Danish Kroner, or DKK, the currency used in the Kingdom of Denmark, where our wholly owned subsidiary, Y-mAbs Therapeutics A/S, is located. As of December 31, 2020 and December 31, 2019, we had cash and cash equivalents denominated in DKK of $(0.5) million and $1.1 million, respectively, and an immediate 2% change in DKK exchange rate would not have any material effect on the fair market value of cash balances with the subsidiary.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Y-mAbs Therapeutics, Inc.</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We have audited the accompanying consolidated balance sheets of Y-mAbs Therapeutics, Inc. and its subsidiaries (the “Company”) as of December 31, 2020 and 2019, and the related consolidated statements of net loss and comprehensive loss, of changes in stockholders’ equity and of cash flows for the years then ended, including the related notes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64"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 Also in our opinion, the Company did not maintain, in all material respects, effective internal control over financial reporting as of December 31, 2020, based on criteria established in Internal Control - Integrated Framework (2013) issued by the COSO because material weaknesses in internal control over financial reporting existed as of that date related to the lack of a sufficient number of trained professionals with an appropriate level of accounting knowledge, training and experience to</w:t>
      </w:r>
    </w:p>
    <w:p>
      <w:pPr>
        <w:spacing w:after="0" w:line="2" w:lineRule="exact"/>
        <w:rPr>
          <w:sz w:val="20"/>
          <w:szCs w:val="20"/>
          <w:color w:val="auto"/>
        </w:rPr>
      </w:pPr>
    </w:p>
    <w:p>
      <w:pPr>
        <w:ind w:left="60" w:right="139" w:hanging="10"/>
        <w:spacing w:after="0" w:line="253" w:lineRule="auto"/>
        <w:tabs>
          <w:tab w:leader="none" w:pos="3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design and maintain formal accounting policies, procedures and controls over the fair presentation of its financial statements; (b) design and maintain controls to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91"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2020 consolidated financial statements, and our opinion regarding the effectiveness of the Company’s internal control over financial reporting does not affect our opinion on those consolidated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15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As discussed in Note 3 to the consolidated financial statements, the Company changed the manner in which it accounts for leases in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Recognition of Research and Development Costs related to Clinical Milestones under the SADA arrangement</w:t>
      </w:r>
    </w:p>
    <w:p>
      <w:pPr>
        <w:spacing w:after="0" w:line="22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As described in Note 3 to the consolidated financial statements, management estimated that the total research and development costs related to clinical milestones under the SADA agreement that became probable during the year ended December 31, 2020 was $0.6 million, and accordingly, accrued for these costs as non-current liabilities. The remaining clinical milestones, not considered probable, were $4.1 million as of December 31, 2020. Management records clinical milestone payments when the achievement of the milestones or payment of the milestones is deemed probable, and the amount of the payment is reasonably estimable. Specifically, management uses the collective clinical experience across the Company to determine likelihood of achievement, as well as the current stage of the compounds under development, and estimates the progress of its preclinical studies and clinical trials, completion of milestone events per underlying agreements, the time expected to complete certain development activities, each party’s termination right under the license agreements, invoices received and contracted costs when evaluating whether the clinical milestones should be recognized in each reporting period.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principal considerations for our determination that performing procedures relating to recognition of research and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2" w:lineRule="auto"/>
        <w:rPr>
          <w:sz w:val="20"/>
          <w:szCs w:val="20"/>
          <w:color w:val="auto"/>
        </w:rPr>
      </w:pPr>
      <w:r>
        <w:rPr>
          <w:rFonts w:ascii="Arial" w:cs="Arial" w:eastAsia="Arial" w:hAnsi="Arial"/>
          <w:sz w:val="17"/>
          <w:szCs w:val="17"/>
          <w:color w:val="auto"/>
        </w:rPr>
        <w:t>development costs related to clinical milestones under the SADA agreement is a critical audit matter are the significant judgment by management when evaluating whether clinical milestones are probable in estimating the research and development costs to accrue or disclose in the reporting period; this in turn led to a high degree of auditor judgment, subjectivity and effort in performing procedures to evaluate the audit evidence obtained relating to whether the achievement of the licensing milestones was probable and the amount of the milestone payments were estimable. As described in the “Opinions on the Financial Statements and Internal Control over Financial Reporting” section, material weaknesses were identified which are related to this matter.</w:t>
      </w:r>
    </w:p>
    <w:p>
      <w:pPr>
        <w:spacing w:after="0" w:line="177" w:lineRule="exact"/>
        <w:rPr>
          <w:sz w:val="20"/>
          <w:szCs w:val="20"/>
          <w:color w:val="auto"/>
        </w:rPr>
      </w:pPr>
    </w:p>
    <w:p>
      <w:pPr>
        <w:ind w:left="60" w:right="199"/>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over management’s process relating to the recognition of research and development costs related to milestone payments, including controls over the determination of the estimate of milestones payments recognized at the initial accounting for the licensing agreements and controls monitoring the subsequent accounting for milestones payments. These procedures also included, among others, (i) testing management’s process for estimating research and development costs related to milestones payments for accrual or disclosure in the reporting period; (ii) evaluating the completeness and accuracy of underlying data provided by management; and (iii) evaluating the reasonableness of assumptions used in the estimate. Evaluating the reasonableness of assumptions used in the estimate involved assessing management’s ability to reasonably estimate milestone payments becoming probable by (i) obtaining supporting evidence for expected development activities and current stage of the compounds under development; (ii) evaluating the consistency of the assumptions with the underlying contractual terms of the arrangements, development plans and budgets; (iii) performing a comparison of the estimated length of time to complete preclinical and clinical studies for similar compounds or technologies, and (iv) reading communications from stakeholders on the development of the compounds.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2021</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114,634</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132,047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216,366</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9,372</w:t>
            </w:r>
          </w:p>
        </w:tc>
        <w:tc>
          <w:tcPr>
            <w:tcW w:w="18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Accrued milestone and royalty payments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long-term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color w:val="auto"/>
                <w:w w:val="92"/>
              </w:rPr>
              <w:t>Preferred stock, $0.0001 par value, 5,500,000 shares authorized at December 31, 2020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December 31, 2019; none issued at December 31, 2020 and December 31,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$0.0001 par value, 100,000,000 shares authorized at December 31, 2020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2019; 40,688,447 and 39,728,416 shares issued at December 31, 2020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391,558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(285,200)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(165,863)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198,903</w:t>
            </w: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132,047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6"/>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License revenue</w:t>
            </w:r>
          </w:p>
        </w:tc>
        <w:tc>
          <w:tcPr>
            <w:tcW w:w="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20,750</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93,697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Royalties</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140,685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 (loss)</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9"/>
        </w:trPr>
        <w:tc>
          <w:tcPr>
            <w:tcW w:w="57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48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(119,913)</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7"/>
              </w:rPr>
              <w:t>Net loss per share attributable to common stockholders, basic and diluted</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40,118,537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35,183,488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11"/>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9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0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4"/>
              </w:rPr>
              <w:t>Paid-in Capital</w:t>
            </w:r>
          </w:p>
        </w:tc>
        <w:tc>
          <w:tcPr>
            <w:tcW w:w="1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Income / (Loss)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34,193,666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140,527</w:t>
            </w:r>
          </w:p>
        </w:tc>
        <w:tc>
          <w:tcPr>
            <w:tcW w:w="0" w:type="dxa"/>
            <w:vAlign w:val="bottom"/>
          </w:tcPr>
          <w:p>
            <w:pPr>
              <w:spacing w:after="0"/>
              <w:rPr>
                <w:sz w:val="1"/>
                <w:szCs w:val="1"/>
                <w:color w:val="auto"/>
              </w:rPr>
            </w:pPr>
          </w:p>
        </w:tc>
      </w:tr>
      <w:tr>
        <w:trPr>
          <w:trHeight w:val="182"/>
        </w:trPr>
        <w:tc>
          <w:tcPr>
            <w:tcW w:w="3020" w:type="dxa"/>
            <w:vAlign w:val="bottom"/>
          </w:tcPr>
          <w:p>
            <w:pPr>
              <w:ind w:left="220"/>
              <w:spacing w:after="0" w:line="182" w:lineRule="exact"/>
              <w:rPr>
                <w:sz w:val="20"/>
                <w:szCs w:val="20"/>
                <w:color w:val="auto"/>
              </w:rPr>
            </w:pPr>
            <w:r>
              <w:rPr>
                <w:rFonts w:ascii="Arial" w:cs="Arial" w:eastAsia="Arial" w:hAnsi="Arial"/>
                <w:sz w:val="18"/>
                <w:szCs w:val="18"/>
                <w:color w:val="auto"/>
              </w:rPr>
              <w:t>Issuance of common stock to</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20"/>
              <w:spacing w:after="0"/>
              <w:rPr>
                <w:sz w:val="20"/>
                <w:szCs w:val="20"/>
                <w:color w:val="auto"/>
              </w:rPr>
            </w:pPr>
            <w:r>
              <w:rPr>
                <w:rFonts w:ascii="Arial" w:cs="Arial" w:eastAsia="Arial" w:hAnsi="Arial"/>
                <w:sz w:val="18"/>
                <w:szCs w:val="18"/>
                <w:color w:val="auto"/>
              </w:rPr>
              <w:t>investors, net of issuance costs</w:t>
            </w:r>
          </w:p>
        </w:tc>
        <w:tc>
          <w:tcPr>
            <w:tcW w:w="940" w:type="dxa"/>
            <w:vAlign w:val="bottom"/>
          </w:tcPr>
          <w:p>
            <w:pPr>
              <w:jc w:val="right"/>
              <w:spacing w:after="0"/>
              <w:rPr>
                <w:sz w:val="20"/>
                <w:szCs w:val="20"/>
                <w:color w:val="auto"/>
              </w:rPr>
            </w:pPr>
            <w:r>
              <w:rPr>
                <w:rFonts w:ascii="Arial" w:cs="Arial" w:eastAsia="Arial" w:hAnsi="Arial"/>
                <w:sz w:val="18"/>
                <w:szCs w:val="18"/>
                <w:color w:val="auto"/>
              </w:rPr>
              <w:t>5,134,750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134,703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134,704</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w w:val="95"/>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(81,028)</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39,728,416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(165,863)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198,903</w:t>
            </w:r>
          </w:p>
        </w:tc>
        <w:tc>
          <w:tcPr>
            <w:tcW w:w="0" w:type="dxa"/>
            <w:vAlign w:val="bottom"/>
          </w:tcPr>
          <w:p>
            <w:pPr>
              <w:spacing w:after="0"/>
              <w:rPr>
                <w:sz w:val="1"/>
                <w:szCs w:val="1"/>
                <w:color w:val="auto"/>
              </w:rPr>
            </w:pPr>
          </w:p>
        </w:tc>
      </w:tr>
      <w:tr>
        <w:trPr>
          <w:trHeight w:val="209"/>
        </w:trPr>
        <w:tc>
          <w:tcPr>
            <w:tcW w:w="302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299,706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656,896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w w:val="95"/>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3,429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(119,337)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(119,337)</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40,688,447</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391,558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(285,200)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(119,337)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Non-cash expense in connection with equity issuance to MSK/MIT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expense in connection with equity issuance to inventors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Foreign currency transactions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 and other</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Loans to inventors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134,704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134,704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207,136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147,871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2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period</w:t>
            </w:r>
          </w:p>
        </w:tc>
        <w:tc>
          <w:tcPr>
            <w:tcW w:w="8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114,634</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207,136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Y-mAbs Therapeutics, Inc. (“we,” “us,” “our,” the “Company,” or “Y-mAbs”) is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8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The Company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1"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Company’s drug candidates are in various stages of development. DANYELZA (naxitamab-gqgk) was approved by the U.S. FDA in November 2020, but there can be no assurance that the Company’s other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Company’s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$285.2 million as of December 31, 2020 and $165.9 million as of December 31, 2019. Through December 31, 2020, the Company has funded its operations through proceeds from sales of shares of its common stock, including its initial public offering in September 2018 and its secondary public offering in November 2019.</w:t>
      </w:r>
    </w:p>
    <w:p>
      <w:pPr>
        <w:spacing w:after="0" w:line="19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As discussed in Note 12—Subsequent Events, after December 31, 2020, the Company announced the closing of its public offering of 2,804,878 shares of its common stock, at a public offering price of $41.00 per share, which includes the exercise in full of the underwriters' option to purchase 365,853 additional shares of common stock. The aggregate gross proceeds to Y-mAbs, before deducting underwriting discounts and commissions and estimated offering expenses payable by the Company, were approximately $115 million.</w:t>
      </w:r>
    </w:p>
    <w:p>
      <w:pPr>
        <w:spacing w:after="0" w:line="188" w:lineRule="exact"/>
        <w:rPr>
          <w:sz w:val="20"/>
          <w:szCs w:val="20"/>
          <w:color w:val="auto"/>
        </w:rPr>
      </w:pPr>
    </w:p>
    <w:p>
      <w:pPr>
        <w:jc w:val="both"/>
        <w:ind w:left="60" w:right="119" w:firstLine="648"/>
        <w:spacing w:after="0" w:line="311" w:lineRule="auto"/>
        <w:rPr>
          <w:sz w:val="20"/>
          <w:szCs w:val="20"/>
          <w:color w:val="auto"/>
        </w:rPr>
      </w:pPr>
      <w:r>
        <w:rPr>
          <w:rFonts w:ascii="Arial" w:cs="Arial" w:eastAsia="Arial" w:hAnsi="Arial"/>
          <w:sz w:val="16"/>
          <w:szCs w:val="16"/>
          <w:color w:val="auto"/>
        </w:rPr>
        <w:t>As of December 31, 2020, the Company had cash and cash equivalents of $114.6 million, and as of December 31, 2019 the Company had cash and cash equivalents of $207.1 million. As of the issuance date of the financial statements for the year ended December 31, 2020, the Company expects that its cash and cash equivalents at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color w:val="auto"/>
        </w:rPr>
        <w:t>December 31, 2020 will be sufficient to fund its operating expenses and capital expenditure requirements through at least the next twelve months, irrespective of whether any additional product approvals are obtained.</w:t>
      </w:r>
    </w:p>
    <w:p>
      <w:pPr>
        <w:spacing w:after="0" w:line="146"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 may raise additional capital to fund future operations through the sale of its equity securities, incurring debt, entering into licensing or collaboration agreements with partners, grants or other sources of financing. Sufficient funds may not be available to the Company on attractive terms or at all when needed from equity or debt financing. If FDA approval for omburtamab does not occur or is significantly delayed, and the Company is unable to obtain additional financing from these or other sources when needed, it will likely be necessary to take other actions to enhance its liquidity position which may include significantly reducing the current rate of spending through delaying, scaling back current operations, or suspending certain research and development programs and other operational programs.</w:t>
      </w:r>
    </w:p>
    <w:p>
      <w:pPr>
        <w:spacing w:after="0" w:line="166"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The accompanying consolidated financial statements reflect the accounts of the Company and its wholly-owned subsidiary and have been prepared in accordance with accounting principles generally accepted in the United States of America (“GAAP”). All intercompany balances and transactions have been eliminated.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spacing w:after="0" w:line="16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 We have made estimates of the impact of COVID-19 within our financial statements and there may be changes to those estimates in future periods. Actual results may differ from these estimates.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any losses on its cash and cash equivalents. The carrying amount of cash and cash equivalents approximates its fair value due to its short-term and liquid nature. We maintain cash balances in excess of insured limits. We do not anticipate any losses with respect to such cash balances.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Level 1 — Unadjusted quoted prices for identical assets or liabilities in active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38"/>
        <w:spacing w:after="0" w:line="277" w:lineRule="auto"/>
        <w:tabs>
          <w:tab w:leader="none" w:pos="81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60" w:right="119" w:firstLine="638"/>
        <w:spacing w:after="0" w:line="308" w:lineRule="auto"/>
        <w:tabs>
          <w:tab w:leader="none" w:pos="81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60" w:right="759" w:firstLine="648"/>
        <w:spacing w:after="0" w:line="342" w:lineRule="auto"/>
        <w:rPr>
          <w:sz w:val="20"/>
          <w:szCs w:val="20"/>
          <w:color w:val="auto"/>
        </w:rPr>
      </w:pPr>
      <w:r>
        <w:rPr>
          <w:rFonts w:ascii="Arial" w:cs="Arial" w:eastAsia="Arial" w:hAnsi="Arial"/>
          <w:sz w:val="16"/>
          <w:szCs w:val="16"/>
          <w:color w:val="auto"/>
        </w:rPr>
        <w:t>Cash equivalents held in money market funds are valued using other significant observable inputs, which represent a Level 2 measurement within the fair value hierarchy. The Company has no other cash equivalents.</w:t>
      </w:r>
    </w:p>
    <w:p>
      <w:pPr>
        <w:spacing w:after="0" w:line="12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following tables present the Company’s fair value hierarchy for its cash equivalents, which are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4"/>
          </w:tcPr>
          <w:p>
            <w:pPr>
              <w:ind w:left="80"/>
              <w:spacing w:after="0"/>
              <w:rPr>
                <w:sz w:val="20"/>
                <w:szCs w:val="20"/>
                <w:color w:val="auto"/>
              </w:rPr>
            </w:pPr>
            <w:r>
              <w:rPr>
                <w:rFonts w:ascii="Arial" w:cs="Arial" w:eastAsia="Arial" w:hAnsi="Arial"/>
                <w:sz w:val="14"/>
                <w:szCs w:val="14"/>
                <w:b w:val="1"/>
                <w:bCs w:val="1"/>
                <w:color w:val="auto"/>
                <w:w w:val="99"/>
              </w:rPr>
              <w:t>Fair Value Measurements at December 31, 2020 Using:</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97,302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97,302</w:t>
            </w:r>
          </w:p>
        </w:tc>
      </w:tr>
      <w:tr>
        <w:trPr>
          <w:trHeight w:val="210"/>
        </w:trPr>
        <w:tc>
          <w:tcPr>
            <w:tcW w:w="50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97,302</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r>
      <w:tr>
        <w:trPr>
          <w:trHeight w:val="574"/>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4"/>
          </w:tcPr>
          <w:p>
            <w:pPr>
              <w:ind w:left="80"/>
              <w:spacing w:after="0"/>
              <w:rPr>
                <w:sz w:val="20"/>
                <w:szCs w:val="20"/>
                <w:color w:val="auto"/>
              </w:rPr>
            </w:pPr>
            <w:r>
              <w:rPr>
                <w:rFonts w:ascii="Arial" w:cs="Arial" w:eastAsia="Arial" w:hAnsi="Arial"/>
                <w:sz w:val="14"/>
                <w:szCs w:val="14"/>
                <w:b w:val="1"/>
                <w:bCs w:val="1"/>
                <w:color w:val="auto"/>
                <w:w w:val="99"/>
              </w:rPr>
              <w:t>Fair Value Measurements at December 31, 2019 Using:</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197,879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197,879</w:t>
            </w:r>
          </w:p>
        </w:tc>
      </w:tr>
      <w:tr>
        <w:trPr>
          <w:trHeight w:val="210"/>
        </w:trPr>
        <w:tc>
          <w:tcPr>
            <w:tcW w:w="50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197,879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197,879</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years ended December 31, 2020 and 2019, there were no transfers between Level 1, Level 2 and Level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As described below, the Company adopted Topic 842 as of January 1, 2019. 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pacing w:after="0" w:line="168"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Topic 842 also provides practical expedients and certain exemptions for an entity’s ongoing accounting post implementation. The Company currently elected the short-term lease recognition exemption for all leases that qualify. This means, for those leases that qualify, we will not recognize right-of-use assets or liabilities, and this includes not recognizing right-of-use assets or liabilities for existing short-term leases of those assets in transition. We also elected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Note 6 for the related disclosures.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900" w:type="dxa"/>
            <w:vAlign w:val="bottom"/>
            <w:gridSpan w:val="2"/>
          </w:tcPr>
          <w:p>
            <w:pPr>
              <w:ind w:left="130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5"/>
              </w:rPr>
              <w:t>Shorter of life of lease or 15 years</w:t>
            </w:r>
          </w:p>
        </w:tc>
      </w:tr>
    </w:tbl>
    <w:p>
      <w:pPr>
        <w:spacing w:after="0" w:line="202"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Depreciation expense on property and equipment was $396,000 and $166,000 for the years ended December 31, 2020 and 2019, respectively.</w:t>
      </w:r>
    </w:p>
    <w:p>
      <w:pPr>
        <w:spacing w:after="0" w:line="170"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Upon retirement or sale, the cost of assets disposed of and the related accumulated depreciation and amortization are removed from the accounts and any resulting gain or loss is included in loss from operations. Expenditures for repairs and maintenance are charged to expense as incurred.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ASC 360, Property, Plant and Equipment, addresses the financial accounting and reporting for impairment or disposal of long-lived assets. The Company reviews the recorded values of long-lived assets for impairment whenever events or changes in business circumstance indicate that the carrying amount of an asset or group of assets may not be fully recoverable.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319" w:firstLine="648"/>
        <w:spacing w:after="0" w:line="271" w:lineRule="auto"/>
        <w:rPr>
          <w:sz w:val="20"/>
          <w:szCs w:val="20"/>
          <w:color w:val="auto"/>
        </w:rPr>
      </w:pPr>
      <w:r>
        <w:rPr>
          <w:rFonts w:ascii="Arial" w:cs="Arial" w:eastAsia="Arial" w:hAnsi="Arial"/>
          <w:sz w:val="17"/>
          <w:szCs w:val="17"/>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We maintain a full valuation allowance on our deferred tax assets based on cumulative historical and expected losses. If we successfully commercialize our products and achieve profitability, we will consider the continued need for such valuation allowance.</w:t>
      </w:r>
    </w:p>
    <w:p>
      <w:pPr>
        <w:spacing w:after="0" w:line="178"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6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In accordance with guidance issued by Financial Accounting Standards Board (“FASB”), companies should make and disclose a policy election as to whether they will recognize deferred taxes for basis differences expected to reverse as Global Intangible Low-Taxed Income (“GILTI”) or whether they will account for GILTI as period costs if and when incurred. The Company has elected to recognize the resulting tax with respect to the GILTI provision as a period cost. No costs were incurred by the Company through December 31, 2020 as a result of GILTI.</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 whether each promised good or service is distinct. The company then recognizes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Under the practical expedient permitted under Topic 606, the Company expenses incremental costs of obtaining a contract as and when incurred if the expected amortization period of the assets is one year or less.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If there are multiple distinct performance obligations, we allocate the transaction price to each distinct performance obligation based on its relative standalone selling price. In assessing whether a promised good or service is distinct in the evaluation of a license arrangement subject to ASC 606, the Company considers factors such as the research, manufacturing and commercialization capabilities of the licensing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it identifies a bundle of goods or services that is distinct. The standalone selling price is generally determined based on the prices charged to customers or using expected cost-plus margin.</w:t>
      </w:r>
    </w:p>
    <w:p>
      <w:pPr>
        <w:spacing w:after="0" w:line="181" w:lineRule="exact"/>
        <w:rPr>
          <w:sz w:val="20"/>
          <w:szCs w:val="20"/>
          <w:color w:val="auto"/>
        </w:rPr>
      </w:pPr>
    </w:p>
    <w:p>
      <w:pPr>
        <w:jc w:val="both"/>
        <w:ind w:left="60" w:right="239" w:firstLine="648"/>
        <w:spacing w:after="0" w:line="259" w:lineRule="auto"/>
        <w:rPr>
          <w:sz w:val="20"/>
          <w:szCs w:val="20"/>
          <w:color w:val="auto"/>
        </w:rPr>
      </w:pPr>
      <w:r>
        <w:rPr>
          <w:rFonts w:ascii="Arial" w:cs="Arial" w:eastAsia="Arial" w:hAnsi="Arial"/>
          <w:sz w:val="18"/>
          <w:szCs w:val="18"/>
          <w:color w:val="auto"/>
        </w:rPr>
        <w:t>The Company received FDA approval of DANYELZA in November 2020 and entered into exclusive licensing and distribution agreements for DANYELZA and omburtamab in certain international territories resulting in total license revenue of $20.8 million for the year ended December 31, 2020. Of this amount, we have $0.8 million as an outstanding receivable included within other current assets.</w:t>
      </w:r>
    </w:p>
    <w:p>
      <w:pPr>
        <w:spacing w:after="0" w:line="187"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In December 2020, the Company entered into a development and commercialization arrangement with SciClone International Pharamceuticals Ltd. (SciClone) for certain indications of DANYELZA and omburtamab within China. As part of the agreement, we received a nonrefundable up-front fee of $20 million for the transfer of the license and know-how related to the product indications. The Company may receive regulatory-based milestone payments up to $40 million and sales-based milestone payments up to $60 million and is entitled to royalties based upon the net sales generated by SciClone related to the product indications in the territory. We considered the license to be distinct from other promises within the arrangement based on the rights and know-how transferred, late-stage development of the underlying indications and anticipated lack of significant involvement required from the joint steering committee associated with the indications. Accordingly, the full transaction price of $20 million was recognized upon transferring of the license and know-how to SciClone. The future potential regulatory milestone amounts were not included in the transaction price, as they were all determined to be fully constrained following the concepts of ASC 606. As part of our evaluation of the regulatory milestones constraint, we determined that the achievement of such milestones are contingent upon regulatory approvals which are not within our control and therefore not deemed probable. We expect that the sales-based milestone payments and royalty arrangements will be recognized when the related sales occur or the milestone is achieved. We will re-evaluate the transaction price each quarter and as uncertain events are resolved or other changes in circumstances occur, we assess whether this resolves the constraint and revenue will be recognized. We also considered that the manufacturing and supply terms, including within the arrangement, did not represent a material right to SciClone at inception as the terms reflected stand-alone selling price for similar goods or services. There was no license revenue generated in the period ended December 31,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In addition, the Company recorded $2.2 million in royalty expense which remained in accrued liabilities as of December 31, 2020 which are due to MSK based on the terms of the original MSK License agreement.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its license agreement with MSK based upon the resolution of certain contingencies. The Company records the milestone and royalty payments when the achievement of the milestone or payment of the milestone or royalty is probable and the amount of the payment is reasonably estimable. Research and development costs were $93.7 million and $63.5 million for the years ended December 31, 2020 and 2019, respectively.</w:t>
      </w:r>
    </w:p>
    <w:p>
      <w:pPr>
        <w:spacing w:after="0" w:line="168"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Additionally, the Company is obligated to make certain royalty and clinical, regulatory and sales-based milestone payments in accordance with the contractual terms of the MSK License, CD33 License, MabVax Sublicense, and SADA License based upon the resolution of certain contingencies. Royalty payments and sales-based milestones are not due and deemed not probable as of December 31, 2020, as we have not recognized revenue for our only approved</w:t>
      </w:r>
    </w:p>
    <w:p>
      <w:pPr>
        <w:spacing w:after="0" w:line="1" w:lineRule="exact"/>
        <w:rPr>
          <w:sz w:val="20"/>
          <w:szCs w:val="20"/>
          <w:color w:val="auto"/>
        </w:rPr>
      </w:pPr>
    </w:p>
    <w:p>
      <w:pPr>
        <w:ind w:left="60" w:right="119"/>
        <w:spacing w:after="0" w:line="284" w:lineRule="auto"/>
        <w:rPr>
          <w:sz w:val="20"/>
          <w:szCs w:val="20"/>
          <w:color w:val="auto"/>
        </w:rPr>
      </w:pPr>
      <w:r>
        <w:rPr>
          <w:rFonts w:ascii="Arial" w:cs="Arial" w:eastAsia="Arial" w:hAnsi="Arial"/>
          <w:sz w:val="16"/>
          <w:szCs w:val="16"/>
          <w:color w:val="auto"/>
        </w:rPr>
        <w:t xml:space="preserve">product, DANYELZA. We record the clinical and regulatory milestone payments when the achievement of the milestones or payment of the milestones is deemed probable, and the amount of the payment is reasonably estimable. As it relates to clinical and regulatory milestone payments under the SADA agreement, those may become due and payable with the passage of time whether or not the milestones have actually been met. When evaluating whether licensing milestones should be recognized under the SADA agreement, the Company uses its collective clinical experience across the company to determine the likelihood of achievement, as well as the current stage of the compounds under development, and estimates the progress of its preclinical studies and clinical trials, completion of milestone events per underlying agreements, the time expected to complete certain development activities, each party’s termination right under the license agreements, invoices received and contracted costs when evaluating whether the clinical milestones should be recognized in each reporting period. We review our assessment each period and make revisions to such estimates as necessary. We recognized research and development costs in connection with SADA licensing milestones of $0.6 million for the year ended December 31, 2020 as we deemed them probable of occuring. The Company determined that the achievement of the regulatory milestones under the SADA agreement were not probable given the current stage of the product development. The remaining total clinical milestones of $4.1 million were determined to not be probable as of December 31, 2020, as detailed in Note 6 – </w:t>
      </w:r>
      <w:r>
        <w:rPr>
          <w:rFonts w:ascii="Arial" w:cs="Arial" w:eastAsia="Arial" w:hAnsi="Arial"/>
          <w:sz w:val="16"/>
          <w:szCs w:val="16"/>
          <w:i w:val="1"/>
          <w:iCs w:val="1"/>
          <w:color w:val="auto"/>
        </w:rPr>
        <w:t>License Agreements And Commitments</w:t>
      </w:r>
      <w:r>
        <w:rPr>
          <w:rFonts w:ascii="Arial" w:cs="Arial" w:eastAsia="Arial" w:hAnsi="Arial"/>
          <w:sz w:val="16"/>
          <w:szCs w:val="16"/>
          <w:color w:val="auto"/>
        </w:rPr>
        <w:t>.</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expenses the costs of obtaining and maintaining patents as general and administrative expenses.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225"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Advertising and promotion costs are included in general and administrative expenses and were immaterial in the years ended December 31, 2020 and 2019. Advertising and product promotion costs are expensed as incurred.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The Company measures stock options granted to employees, directors and consultants based on the fair value on the date of the grant and recognizes compensation expense of those awards, over the requisite service period, which for employees and directors is the vesting period of the respective award. Forfeitures are accounted for as they occur.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 Company issues stock options with only service-based or immediate vesting conditions and records the expense for these awards using the straight-line method over the requisite service period.</w:t>
      </w:r>
    </w:p>
    <w:p>
      <w:pPr>
        <w:spacing w:after="0" w:line="170"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Following the Company’s adoption of ASU 2018-07, Compensation—Stock Compensation (Topic 718), Improvements to Nonemployee Share-Based Payment Accounting (“ASU 2018-07”), on January 1, 2019, for stock-based option awards issued to non-employees, the Company no longer revalues non-employee awards at each reporting date and instead calculates the fair value of the awards as of the grant date using the Black-Scholes option-pricing model. The overall fair value measurement for non-employees awards is consistent with the awards issued to employees.</w:t>
      </w:r>
    </w:p>
    <w:p>
      <w:pPr>
        <w:spacing w:after="0" w:line="161"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Prior to September 2018, the Company historically was a private company and lacks sufficient company-specific historical and implied volatility information for its shares. Therefore, it estimates its expected share price volatility based on the historical volatility of a group of publicly-traded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68"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Stock-based compensation costs were $16.1 million and $4.7 million for the years ended December 31, 2020 and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The Company is engaged solely in the discovery and development of novel antibody-based therapeutic products for the treatment of cancer. Accordingly, the Company has determined that it operates in one operating segment.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financial statements was due to foreign currency translation.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left="60" w:right="379" w:firstLine="648"/>
        <w:spacing w:after="0" w:line="273" w:lineRule="auto"/>
        <w:rPr>
          <w:sz w:val="20"/>
          <w:szCs w:val="20"/>
          <w:color w:val="auto"/>
        </w:rPr>
      </w:pPr>
      <w:r>
        <w:rPr>
          <w:rFonts w:ascii="Arial" w:cs="Arial" w:eastAsia="Arial" w:hAnsi="Arial"/>
          <w:sz w:val="17"/>
          <w:szCs w:val="17"/>
          <w:color w:val="auto"/>
        </w:rPr>
        <w:t>The financial statements of our Danish subsidiary with a functional currency other than the U.S. dollar are translated into U.S. dollars using period-end exchange rates for assets and liabilities, historical exchange rates for stockholders’ equity and weighted average exchange rates during the period for operating results. Translation gains and losses are included in accumulated other comprehensive income / (loss), net of tax, in stockholders’ equity. Foreign currency transaction gains and losses are included in the results of operations in other income and expense, and totaled $(576,000) and $43,000 for the years ended December 31, 2020 and 2019,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In October 2020, the FASB issued Accounting Standards Update No. 2020-10 (“ASU 2020-10”), Codification improvements. The amendments in this Update represent changes to clarify the Codification, correct unintended application of guidance, or make minor improvements to the Codification. The adoption of this standard on December 31, 2020 did not have a material impact on our consolidated financial statements and related disclosures.</w:t>
      </w:r>
    </w:p>
    <w:p>
      <w:pPr>
        <w:spacing w:after="0" w:line="157"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In August 2018, the FASB issued Accounting Standards Update No. 2018 -13 (“ASU2018-13”), Fair Value Measurement (Topic 820) Disclosure Framework – Changes to the Disclosure Requirements for Fair Value Measurement. ASU 2018-13 allows to remove the reasons for transfer between Level 1 and Level 2 assets, and adds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7" w:name="page168"/>
    <w:bookmarkEnd w:id="1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changes in unrealized gains and losses for recurring level 3 fair value measurements. ASU 2018-13 is effective for fiscal years beginning after December 15, 2019, and interim periods within those fiscal years with early adoption permitted. The adoption of this standard on January 1, 2020 did not have a material impact on our consolidated financial statements and related disclosures.</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In August 2018, the FASB issued Accounting Standards Update No. 2018-15 (“ASU 2018-15”), Customer’s Accounting for Implementation Costs Incurred in a Cloud Computing Arrangement That Is a Service Contract. ASU 2018-15 clarifies certain aspects of ASU 2015-05, Customer’s Accounting for Fees Paid in a Cloud Computing Arrangement, which was issued in April 2015. Specifically, ASU 2018-15 aligns the requirements for capitalizing implementation costs incurred in a hosting arrangement that is a service contract with the requirements for capitalizing implementation costs incurred to develop or obtain internal use software (and hosting arrangements that include an internal-use software license). ASU 2018-15 is effective for fiscal years beginning after December 15, 2019, and interim periods within those fiscal years with early adoption permitted. The adoption of this standard on January 1, 2020 did not have a material impact on our consolidated financial statements and related disclosures.</w:t>
      </w:r>
    </w:p>
    <w:p>
      <w:pPr>
        <w:spacing w:after="0" w:line="18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July 2018, the FASB issued Accounting Standards Update No. 2018-09 (“ASU 2018-09”), Codification Improvements, which clarify, correct errors in, or make minor improvements to a variety of ASC topics. The changes in ASU 2018-09 are not expected to have a significant effect on current accounting practices. Some of the amendments in this update do not require transition guidance and will be effective upon this update. However, many of the updates do have transition guidance with effective dates for periods beginning after December 15, 2018. The adoption of this standard on January 1, 2019 did not have a material impact on our consolidated financial statements and related disclosures.</w:t>
      </w:r>
    </w:p>
    <w:p>
      <w:pPr>
        <w:spacing w:after="0" w:line="16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ASU 2018-07 is intended to simplify aspects of share-based compensation issued to non-employees by making the guidance consistent with the accounting for employee share-based compensation. ASU 2018-07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19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In February 2018, the FASB issued Accounting Standards Update No. 2018-02, (“ASU 2018-02”), Reclassification of Certain Tax Effects from Accumulated Other Comprehensive Income. ASU 2018-02 allows a reclassification from accumulated other comprehensive income to retained earnings for stranded tax effects resulting from the Tax Cuts and Jobs Act. ASU 2018-07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178"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Update No. 2016-13 (“ASU 2016-13”) Financial Instruments—Credit Losses (Topic 326): Measurement of credit losses on financial instruments. ASU 2016-13 introduces the current expected credit losses methodology (CECL) for estimating allowances for credit losses. The standard is effective in fiscal years and interim periods beginning after December 15, 2019. The adoption of this standard on January 1, 2020 did not have a material impact on our consolidated financial statements and related disclosures.</w:t>
      </w:r>
    </w:p>
    <w:p>
      <w:pPr>
        <w:spacing w:after="0" w:line="192"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In February 2016, the FASB issued Accounting Standards Update No. 2016-02 (“ASU 2016-02”), Leases, which is effective for fiscal years, and interim periods within those years, beginning after December 15, 2018 with early adoption permitted. Under ASU 2016-02, lessees will be required to recognize for most leases, at the commencement date of the lease, a lease liability, which is a lessee’s obligation to make lease payments arising from a lease measured on a discounted basis, and a right-to-use asset, which is an asset that represents the lessee’s right to use or control the use of a specified asset for the lease term. Topic 842 was subsequently amended by ASU 2017-13, Revenue and Leases: Amendments to SEC Paragraphs Pursuant to the Staff Announcement at the July 20, 2017 EITF Meeting and Rescission of Prior SEC Staff Announcements and Observer Comments; ASU 2018-01, Land Easement Practical Expedient for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8" w:name="page169"/>
    <w:bookmarkEnd w:id="1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Transition to Topic 842; ASU No. 2018-10, Codification Improvements to Topic 842, Leases; ASU No. 2018-11, Targeted Improvements and ASU No. 2018-20, Narrow Scope Improvements for Lessors.</w:t>
      </w:r>
    </w:p>
    <w:p>
      <w:pPr>
        <w:spacing w:after="0" w:line="170"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An entity may choose to use either (1) its effective date or (2) the beginning of the earliest comparative period presented in the financial statements as its date of initial application. The Company used the effective date as our date of initial application. Consequently, financial information was not updated and the disclosures required under the new standard are not provided for dates and periods before January 1, 2019. The new standard also provides a number of optional practical expedients in transition. The Company elected the package of practical expedients, which permits us not to reassess under the new standard our prior conclusions about lease identification, lease classification and initial direct costs.</w:t>
      </w:r>
    </w:p>
    <w:p>
      <w:pPr>
        <w:spacing w:after="0" w:line="165"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auto"/>
        </w:rPr>
        <w:t>Upon adoption of the new leasing standards, the Company recognized a lease liability of $1.8 million and a related right-of-use asset of $1.5 million with the difference being due to the elimination of previously reported deferred rent. Please refer to lease footnotes at Note 6 License Agreements And Commitments.</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4—NET LOSS PER SHARE</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4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20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(119,337)</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shares (denominator)</w:t>
            </w:r>
          </w:p>
        </w:tc>
        <w:tc>
          <w:tcPr>
            <w:tcW w:w="18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40,119</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35,183</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39" w:firstLine="648"/>
        <w:spacing w:after="0" w:line="311" w:lineRule="auto"/>
        <w:rPr>
          <w:sz w:val="20"/>
          <w:szCs w:val="20"/>
          <w:color w:val="auto"/>
        </w:rPr>
      </w:pPr>
      <w:r>
        <w:rPr>
          <w:rFonts w:ascii="Arial" w:cs="Arial" w:eastAsia="Arial" w:hAnsi="Arial"/>
          <w:sz w:val="16"/>
          <w:szCs w:val="16"/>
          <w:color w:val="auto"/>
        </w:rPr>
        <w:t>Potentially dilutive securities excluded from the computation of diluted earnings per share relate to stock options and unvested restricted share units (“RSUs”) outstanding totaled 5,704,246 shares as of December 31, 2020 and 4,005,873 shares as of December 31, 2019, and were excluded because including them would have an anti-dilutive impact.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short-term liabilities are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licensing, milestone and royalty payments</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manufacturing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9" w:name="page170"/>
    <w:bookmarkEnd w:id="1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2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As of December 31, 2020, the Company has entered into two license agreements and certain other agreements with Memorial Sloan Kettering Cancer Center (“MSK”). The license agreements are the MSK License and the CD33 License Agreement. Through a Settlement and Assumption and Assignment of the MSK License and Y-mAbs Sublicense Agreement (“SAAA”) with MabVax, Inc. (“MabVax”) and MSK, the Company has established a direct license with MSK relating to the GD2-GD3 Vaccine, which was originally sublicensed by the Company in 2018 from MabVax.</w:t>
      </w:r>
    </w:p>
    <w:p>
      <w:pPr>
        <w:spacing w:after="0" w:line="161"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In addition, the Company has entered into the SADA License Agreement with MSK and Massachusetts Institute of Technology (“MIT”) in 2020. The license agreement with MSK and MIT grants the Company certain patent rights and intellectual property rights, and in consideration thereof, the Company agreed to make certain payments and issue shares of the Company’s common stock to MSK and MIT.</w:t>
      </w:r>
    </w:p>
    <w:p>
      <w:pPr>
        <w:spacing w:after="0" w:line="187"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Certain of the payments are contingent milestone and royalty payments, as disclosed in the table below. Amounts disclosed in Note 5 for accrued milestone and royalty payments are inclusive of obligations under the MSK License, CD33 License Agreement and SADA License Agreement, collectively. We have the following significant license agreements and related commitments which include all obligations that have been paid or are accrued as of and for the period ending December 31, 2020:</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Cash paid</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Cash paid</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Expense</w:t>
            </w: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Expense</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Accrued liabilities</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Accrued liabilities</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Accrued liabilities</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9"/>
              </w:rPr>
              <w:t>Accrued liabilities</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Twelve months</w:t>
            </w:r>
          </w:p>
        </w:tc>
        <w:tc>
          <w:tcPr>
            <w:tcW w:w="98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Twelve months</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Twelve months</w:t>
            </w:r>
          </w:p>
        </w:tc>
        <w:tc>
          <w:tcPr>
            <w:tcW w:w="9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1"/>
              </w:rPr>
              <w:t>Twelve months</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7"/>
              </w:rPr>
              <w:t>Current as of</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Non-current</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1"/>
              </w:rPr>
              <w:t>Current as of</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w w:val="92"/>
              </w:rPr>
              <w:t>Non-current</w:t>
            </w:r>
          </w:p>
        </w:tc>
        <w:tc>
          <w:tcPr>
            <w:tcW w:w="0" w:type="dxa"/>
            <w:vAlign w:val="bottom"/>
          </w:tcPr>
          <w:p>
            <w:pPr>
              <w:spacing w:after="0"/>
              <w:rPr>
                <w:sz w:val="1"/>
                <w:szCs w:val="1"/>
                <w:color w:val="auto"/>
              </w:rPr>
            </w:pPr>
          </w:p>
        </w:tc>
      </w:tr>
      <w:tr>
        <w:trPr>
          <w:trHeight w:val="122"/>
        </w:trPr>
        <w:tc>
          <w:tcPr>
            <w:tcW w:w="1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Agreements</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7"/>
              </w:rPr>
              <w:t>ended December</w:t>
            </w:r>
          </w:p>
        </w:tc>
        <w:tc>
          <w:tcPr>
            <w:tcW w:w="9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5"/>
              </w:rPr>
              <w:t>ended December</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7"/>
              </w:rPr>
              <w:t>ended December</w:t>
            </w:r>
          </w:p>
        </w:tc>
        <w:tc>
          <w:tcPr>
            <w:tcW w:w="9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5"/>
              </w:rPr>
              <w:t>ended December</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December</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December</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0"/>
              </w:rPr>
              <w:t>December</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w w:val="90"/>
              </w:rPr>
              <w:t>December</w:t>
            </w:r>
          </w:p>
        </w:tc>
        <w:tc>
          <w:tcPr>
            <w:tcW w:w="0" w:type="dxa"/>
            <w:vAlign w:val="bottom"/>
          </w:tcPr>
          <w:p>
            <w:pPr>
              <w:spacing w:after="0"/>
              <w:rPr>
                <w:sz w:val="1"/>
                <w:szCs w:val="1"/>
                <w:color w:val="auto"/>
              </w:rPr>
            </w:pPr>
          </w:p>
        </w:tc>
      </w:tr>
      <w:tr>
        <w:trPr>
          <w:trHeight w:val="131"/>
        </w:trPr>
        <w:tc>
          <w:tcPr>
            <w:tcW w:w="1260" w:type="dxa"/>
            <w:vAlign w:val="bottom"/>
            <w:tcBorders>
              <w:bottom w:val="single" w:sz="8" w:color="CCEEFF"/>
            </w:tcBorders>
            <w:vMerge w:val="continue"/>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2019</w:t>
            </w:r>
          </w:p>
        </w:tc>
        <w:tc>
          <w:tcPr>
            <w:tcW w:w="1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2019</w:t>
            </w: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2019</w:t>
            </w: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2019</w:t>
            </w:r>
          </w:p>
        </w:tc>
        <w:tc>
          <w:tcPr>
            <w:tcW w:w="0" w:type="dxa"/>
            <w:vAlign w:val="bottom"/>
          </w:tcPr>
          <w:p>
            <w:pPr>
              <w:spacing w:after="0"/>
              <w:rPr>
                <w:sz w:val="1"/>
                <w:szCs w:val="1"/>
                <w:color w:val="auto"/>
              </w:rPr>
            </w:pPr>
          </w:p>
        </w:tc>
      </w:tr>
      <w:tr>
        <w:trPr>
          <w:trHeight w:val="115"/>
        </w:trPr>
        <w:tc>
          <w:tcPr>
            <w:tcW w:w="126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MSK</w:t>
            </w:r>
          </w:p>
        </w:tc>
        <w:tc>
          <w:tcPr>
            <w:tcW w:w="8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$ 80,000</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$ 725,000</w:t>
            </w: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$ 75,000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$ 305,000</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$ 1,640,000</w:t>
            </w: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$ 254,000</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$ 1,471,000</w:t>
            </w: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Arial" w:cs="Arial" w:eastAsia="Arial" w:hAnsi="Arial"/>
                <w:sz w:val="11"/>
                <w:szCs w:val="11"/>
                <w:color w:val="auto"/>
              </w:rPr>
              <w:t>CD33</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100,000</w:t>
            </w: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450,000</w:t>
            </w:r>
          </w:p>
        </w:tc>
        <w:tc>
          <w:tcPr>
            <w:tcW w:w="12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100,000</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450,000</w:t>
            </w:r>
          </w:p>
        </w:tc>
        <w:tc>
          <w:tcPr>
            <w:tcW w:w="0" w:type="dxa"/>
            <w:vAlign w:val="bottom"/>
          </w:tcPr>
          <w:p>
            <w:pPr>
              <w:spacing w:after="0"/>
              <w:rPr>
                <w:sz w:val="1"/>
                <w:szCs w:val="1"/>
                <w:color w:val="auto"/>
              </w:rPr>
            </w:pPr>
          </w:p>
        </w:tc>
      </w:tr>
      <w:tr>
        <w:trPr>
          <w:trHeight w:val="122"/>
        </w:trPr>
        <w:tc>
          <w:tcPr>
            <w:tcW w:w="12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MabVax</w:t>
            </w:r>
          </w:p>
        </w:tc>
        <w:tc>
          <w:tcPr>
            <w:tcW w:w="9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600,000</w:t>
            </w: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The below table represents the maximum clinical, regulatory or sales-based miletones as reflected within the agreements, certain of which have been paid in prior periods or are accrued as presented in the table above: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Agreements</w:t>
            </w: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2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Clinical Milestones</w:t>
            </w:r>
          </w:p>
        </w:tc>
        <w:tc>
          <w:tcPr>
            <w:tcW w:w="2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Regulatory Milestones</w:t>
            </w: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Sales-based milestones</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MSK</w:t>
            </w:r>
          </w:p>
        </w:tc>
        <w:tc>
          <w:tcPr>
            <w:tcW w:w="1860" w:type="dxa"/>
            <w:vAlign w:val="bottom"/>
            <w:tcBorders>
              <w:top w:val="single" w:sz="8" w:color="auto"/>
            </w:tcBorders>
            <w:shd w:val="clear" w:color="auto" w:fill="CCEEFF"/>
          </w:tcPr>
          <w:p>
            <w:pPr>
              <w:jc w:val="center"/>
              <w:ind w:left="137"/>
              <w:spacing w:after="0"/>
              <w:rPr>
                <w:sz w:val="20"/>
                <w:szCs w:val="20"/>
                <w:color w:val="auto"/>
              </w:rPr>
            </w:pPr>
            <w:r>
              <w:rPr>
                <w:rFonts w:ascii="Arial" w:cs="Arial" w:eastAsia="Arial" w:hAnsi="Arial"/>
                <w:sz w:val="18"/>
                <w:szCs w:val="18"/>
                <w:color w:val="auto"/>
                <w:w w:val="88"/>
              </w:rPr>
              <w:t>$ 2,450,000</w:t>
            </w:r>
          </w:p>
        </w:tc>
        <w:tc>
          <w:tcPr>
            <w:tcW w:w="2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ind w:left="137"/>
              <w:spacing w:after="0"/>
              <w:rPr>
                <w:sz w:val="20"/>
                <w:szCs w:val="20"/>
                <w:color w:val="auto"/>
              </w:rPr>
            </w:pPr>
            <w:r>
              <w:rPr>
                <w:rFonts w:ascii="Arial" w:cs="Arial" w:eastAsia="Arial" w:hAnsi="Arial"/>
                <w:sz w:val="18"/>
                <w:szCs w:val="18"/>
                <w:color w:val="auto"/>
                <w:w w:val="88"/>
              </w:rPr>
              <w:t>$ 9,000,000</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ind w:left="137"/>
              <w:spacing w:after="0"/>
              <w:rPr>
                <w:sz w:val="20"/>
                <w:szCs w:val="20"/>
                <w:color w:val="auto"/>
              </w:rPr>
            </w:pPr>
            <w:r>
              <w:rPr>
                <w:rFonts w:ascii="Arial" w:cs="Arial" w:eastAsia="Arial" w:hAnsi="Arial"/>
                <w:sz w:val="18"/>
                <w:szCs w:val="18"/>
                <w:color w:val="auto"/>
                <w:w w:val="91"/>
              </w:rPr>
              <w:t>$ 20,000,000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4"/>
                <w:szCs w:val="14"/>
                <w:color w:val="auto"/>
              </w:rPr>
              <w:t>CD33</w:t>
            </w:r>
          </w:p>
        </w:tc>
        <w:tc>
          <w:tcPr>
            <w:tcW w:w="1860" w:type="dxa"/>
            <w:vAlign w:val="bottom"/>
          </w:tcPr>
          <w:p>
            <w:pPr>
              <w:jc w:val="center"/>
              <w:ind w:left="137"/>
              <w:spacing w:after="0"/>
              <w:rPr>
                <w:sz w:val="20"/>
                <w:szCs w:val="20"/>
                <w:color w:val="auto"/>
              </w:rPr>
            </w:pPr>
            <w:r>
              <w:rPr>
                <w:rFonts w:ascii="Arial" w:cs="Arial" w:eastAsia="Arial" w:hAnsi="Arial"/>
                <w:sz w:val="18"/>
                <w:szCs w:val="18"/>
                <w:color w:val="auto"/>
                <w:w w:val="92"/>
              </w:rPr>
              <w:t>550,000</w:t>
            </w:r>
          </w:p>
        </w:tc>
        <w:tc>
          <w:tcPr>
            <w:tcW w:w="220" w:type="dxa"/>
            <w:vAlign w:val="bottom"/>
          </w:tcPr>
          <w:p>
            <w:pPr>
              <w:spacing w:after="0"/>
              <w:rPr>
                <w:sz w:val="18"/>
                <w:szCs w:val="18"/>
                <w:color w:val="auto"/>
              </w:rPr>
            </w:pPr>
          </w:p>
        </w:tc>
        <w:tc>
          <w:tcPr>
            <w:tcW w:w="1860" w:type="dxa"/>
            <w:vAlign w:val="bottom"/>
          </w:tcPr>
          <w:p>
            <w:pPr>
              <w:jc w:val="center"/>
              <w:ind w:left="137"/>
              <w:spacing w:after="0"/>
              <w:rPr>
                <w:sz w:val="20"/>
                <w:szCs w:val="20"/>
                <w:color w:val="auto"/>
              </w:rPr>
            </w:pPr>
            <w:r>
              <w:rPr>
                <w:rFonts w:ascii="Arial" w:cs="Arial" w:eastAsia="Arial" w:hAnsi="Arial"/>
                <w:sz w:val="18"/>
                <w:szCs w:val="18"/>
                <w:color w:val="auto"/>
                <w:w w:val="92"/>
              </w:rPr>
              <w:t>500,000</w:t>
            </w:r>
          </w:p>
        </w:tc>
        <w:tc>
          <w:tcPr>
            <w:tcW w:w="220" w:type="dxa"/>
            <w:vAlign w:val="bottom"/>
          </w:tcPr>
          <w:p>
            <w:pPr>
              <w:spacing w:after="0"/>
              <w:rPr>
                <w:sz w:val="18"/>
                <w:szCs w:val="18"/>
                <w:color w:val="auto"/>
              </w:rPr>
            </w:pPr>
          </w:p>
        </w:tc>
        <w:tc>
          <w:tcPr>
            <w:tcW w:w="1900" w:type="dxa"/>
            <w:vAlign w:val="bottom"/>
          </w:tcPr>
          <w:p>
            <w:pPr>
              <w:jc w:val="center"/>
              <w:ind w:left="137"/>
              <w:spacing w:after="0"/>
              <w:rPr>
                <w:sz w:val="20"/>
                <w:szCs w:val="20"/>
                <w:color w:val="auto"/>
              </w:rPr>
            </w:pPr>
            <w:r>
              <w:rPr>
                <w:rFonts w:ascii="Arial" w:cs="Arial" w:eastAsia="Arial" w:hAnsi="Arial"/>
                <w:sz w:val="18"/>
                <w:szCs w:val="18"/>
                <w:color w:val="auto"/>
                <w:w w:val="89"/>
              </w:rPr>
              <w:t>7,500,000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MabVax</w:t>
            </w:r>
          </w:p>
        </w:tc>
        <w:tc>
          <w:tcPr>
            <w:tcW w:w="186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2"/>
              </w:rPr>
              <w:t>200,000</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89"/>
              </w:rPr>
              <w:t>1,200,000</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Minimum royalties and certain clinical milestones that become due based upon the passage of time under the CD33 License Agreement and the MabVax Agreement are not recorded as a liability as the Company does not consider such obligations to be probable as of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SADA License Agreement</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On April 15, 2020, we entered into a license agreement (the “SADA License Agreement”) with MSK and Massachusetts Institute of Technology (“MIT”) that grants us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SADA BiDE Pre-targeted Radioimmunotherapy Platform (“SADA technology”). We have assessed the licensing and other rights acquired and given the lack of outputs upon acquisition and that no employees were acquired, among other factors, we have concluded that the licensing rights represented an asset acquisition.</w:t>
      </w:r>
    </w:p>
    <w:p>
      <w:pPr>
        <w:spacing w:after="0" w:line="166"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The patents and patent applications covered by this agreement are directed, in part, to the SADA technology, as well as a number of SADA constructs developed by MSK. Upon entering into the SADA License Agreement and in exchange for the licenses granted thereunder, we concluded that the technology acquired under the licensing arrangement had no alternative future use. This conclusion was based on consideration of the rights conveyed under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0" w:name="page171"/>
    <w:bookmarkEnd w:id="1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agreement, extent of further development necessary and presence of uncertainty prior to obtaining regulatory approval for any product. Accordingly, we expensed and paid an upfront payment to MSK and MIT of $1,995,000. During the year ended December 31, 2020, we expensed $3,331,000 associated with stock grants available to MSK and MIT. This includes $1,331,000 related to 42,900 shares of common stock issued to the licensors on the effective date of the agreement based on the fair value of the stock on the grant date and $2,000,000 of future stock grants which will be paid on the anniversary date of the SADA License Agreement in 2021 and 2022. These awards survive the potential termination of the licensing arrangement, unless a breach by the licensors occurs, and can be settled in cash or stock at the determination of the Company. During the year ended December 31, 2020, we expensed $7,376,000 related to 213,996 shares issued to two non-employee researchers based on the fair value of the shares on the grant date. Please reference Note 7-Stockholders’ Equity for additional details.</w:t>
      </w:r>
    </w:p>
    <w:p>
      <w:pPr>
        <w:spacing w:after="0" w:line="185"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pacing w:after="0" w:line="161"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The Company is also obligated to pay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w:t>
      </w:r>
    </w:p>
    <w:p>
      <w:pPr>
        <w:spacing w:after="0" w:line="149" w:lineRule="exact"/>
        <w:rPr>
          <w:sz w:val="20"/>
          <w:szCs w:val="20"/>
          <w:color w:val="auto"/>
        </w:rPr>
      </w:pPr>
    </w:p>
    <w:p>
      <w:pPr>
        <w:ind w:left="60" w:right="119" w:firstLine="693"/>
        <w:spacing w:after="0" w:line="273" w:lineRule="auto"/>
        <w:rPr>
          <w:sz w:val="20"/>
          <w:szCs w:val="20"/>
          <w:color w:val="auto"/>
        </w:rPr>
      </w:pPr>
      <w:r>
        <w:rPr>
          <w:rFonts w:ascii="Arial" w:cs="Arial" w:eastAsia="Arial" w:hAnsi="Arial"/>
          <w:sz w:val="17"/>
          <w:szCs w:val="17"/>
          <w:color w:val="auto"/>
        </w:rPr>
        <w:t>In addition, to the extent we enter into sublicense arrangements, we are obligated to pay to MSK and MIT a percentage of certain payments received from sublicensees of the rights licensed to us by MSK and MIT, which percentage will be based upon the achievement of certain clinical milestones. The Company has not entered into any sublicenses related to the SADA License Agreement. For each of the constructs previously generated by MSK using the SADA technology and sold for the Company by a sublicensee, the Company may pay sales milestones up to $60,000,000, in total, based on the achievement of various levels of cumulative net sales made by the sublicensee.</w:t>
      </w:r>
    </w:p>
    <w:p>
      <w:pPr>
        <w:spacing w:after="0" w:line="178"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Failure by the Company to meet certain conditions under the arrangement could cause the related license to such licensed products to be canceled and could result in termination of the entire arrangement with MSK and MIT. In addition, the Company may terminate the SADA License Agreement with prior written notice.</w:t>
      </w:r>
    </w:p>
    <w:p>
      <w:pPr>
        <w:spacing w:after="0" w:line="184"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Research and development is inherently uncertain and as described above, should such research and development fail, the SADA License Agreement is cancelable at the Company’s option. The Company will also consider the development risk and each party’s termination rights under the agreement when considering whether any clinical or regulatory based milestone payments, certain of which also contain time-based payment requirements, are probable. The Company records milestones in the period in which the contingent liability is probable and the amount is reasonably estimable. During the twelve months ended December 31, 2020, we expensed $605,000 of milestones under the SADA License Agreement. This includes all time-based milestones coming due within 36 months of the effective date of the agreement as this continues to represent the time period we expect will be required to gather necessary clinical data to determine which patent rights to further pursue, if any, under the SADA License Agreement. The Company does not consider any other milestones under the SADA License Agreement to be probable as of December 31, 2020.</w:t>
      </w:r>
    </w:p>
    <w:p>
      <w:pPr>
        <w:spacing w:after="0" w:line="168"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We have the following SADA related balances and commitments which include all obligations that have been paid or accrued as of and for the priod ending December 31, 2020:</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Cash paid</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Expense</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Expense</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Accrued liabilities</w:t>
            </w: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Accrued liabilities</w:t>
            </w: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Accrued liabilities</w:t>
            </w:r>
          </w:p>
        </w:tc>
        <w:tc>
          <w:tcPr>
            <w:tcW w:w="1740" w:type="dxa"/>
            <w:vAlign w:val="bottom"/>
            <w:gridSpan w:val="3"/>
          </w:tcPr>
          <w:p>
            <w:pPr>
              <w:jc w:val="center"/>
              <w:ind w:right="860"/>
              <w:spacing w:after="0"/>
              <w:rPr>
                <w:sz w:val="20"/>
                <w:szCs w:val="20"/>
                <w:color w:val="auto"/>
              </w:rPr>
            </w:pPr>
            <w:r>
              <w:rPr>
                <w:rFonts w:ascii="Arial" w:cs="Arial" w:eastAsia="Arial" w:hAnsi="Arial"/>
                <w:sz w:val="11"/>
                <w:szCs w:val="11"/>
                <w:b w:val="1"/>
                <w:bCs w:val="1"/>
                <w:color w:val="auto"/>
                <w:w w:val="89"/>
              </w:rPr>
              <w:t>Accrued liabilities</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Twelve months</w:t>
            </w:r>
          </w:p>
        </w:tc>
        <w:tc>
          <w:tcPr>
            <w:tcW w:w="98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9"/>
              </w:rPr>
              <w:t>Twelve months</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Twelve months</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Agreements</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5"/>
              </w:rPr>
              <w:t>ended December</w:t>
            </w:r>
          </w:p>
        </w:tc>
        <w:tc>
          <w:tcPr>
            <w:tcW w:w="9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5"/>
              </w:rPr>
              <w:t>ended December</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5"/>
              </w:rPr>
              <w:t>ended December</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7"/>
              </w:rPr>
              <w:t>Current as of</w:t>
            </w:r>
          </w:p>
        </w:tc>
        <w:tc>
          <w:tcPr>
            <w:tcW w:w="96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9"/>
              </w:rPr>
              <w:t>Non-current as of</w:t>
            </w:r>
          </w:p>
        </w:tc>
        <w:tc>
          <w:tcPr>
            <w:tcW w:w="96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7"/>
              </w:rPr>
              <w:t>Current as of</w:t>
            </w:r>
          </w:p>
        </w:tc>
        <w:tc>
          <w:tcPr>
            <w:tcW w:w="1740" w:type="dxa"/>
            <w:vAlign w:val="bottom"/>
            <w:gridSpan w:val="3"/>
          </w:tcPr>
          <w:p>
            <w:pPr>
              <w:jc w:val="center"/>
              <w:ind w:right="860"/>
              <w:spacing w:after="0" w:line="122" w:lineRule="exact"/>
              <w:rPr>
                <w:sz w:val="20"/>
                <w:szCs w:val="20"/>
                <w:color w:val="auto"/>
              </w:rPr>
            </w:pPr>
            <w:r>
              <w:rPr>
                <w:rFonts w:ascii="Arial" w:cs="Arial" w:eastAsia="Arial" w:hAnsi="Arial"/>
                <w:sz w:val="11"/>
                <w:szCs w:val="11"/>
                <w:color w:val="auto"/>
                <w:w w:val="89"/>
              </w:rPr>
              <w:t>Non-current as of</w:t>
            </w:r>
          </w:p>
        </w:tc>
        <w:tc>
          <w:tcPr>
            <w:tcW w:w="0" w:type="dxa"/>
            <w:vAlign w:val="bottom"/>
          </w:tcPr>
          <w:p>
            <w:pPr>
              <w:spacing w:after="0"/>
              <w:rPr>
                <w:sz w:val="1"/>
                <w:szCs w:val="1"/>
                <w:color w:val="auto"/>
              </w:rPr>
            </w:pPr>
          </w:p>
        </w:tc>
      </w:tr>
      <w:tr>
        <w:trPr>
          <w:trHeight w:val="131"/>
        </w:trPr>
        <w:tc>
          <w:tcPr>
            <w:tcW w:w="1300" w:type="dxa"/>
            <w:vAlign w:val="bottom"/>
            <w:vMerge w:val="continue"/>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December 2020</w:t>
            </w:r>
          </w:p>
        </w:tc>
        <w:tc>
          <w:tcPr>
            <w:tcW w:w="96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December 2020</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December 2019</w:t>
            </w:r>
          </w:p>
        </w:tc>
        <w:tc>
          <w:tcPr>
            <w:tcW w:w="1740" w:type="dxa"/>
            <w:vAlign w:val="bottom"/>
            <w:gridSpan w:val="3"/>
          </w:tcPr>
          <w:p>
            <w:pPr>
              <w:jc w:val="center"/>
              <w:ind w:right="860"/>
              <w:spacing w:after="0"/>
              <w:rPr>
                <w:sz w:val="20"/>
                <w:szCs w:val="20"/>
                <w:color w:val="auto"/>
              </w:rPr>
            </w:pPr>
            <w:r>
              <w:rPr>
                <w:rFonts w:ascii="Arial" w:cs="Arial" w:eastAsia="Arial" w:hAnsi="Arial"/>
                <w:sz w:val="11"/>
                <w:szCs w:val="11"/>
                <w:color w:val="auto"/>
                <w:w w:val="86"/>
              </w:rPr>
              <w:t>December 2019</w:t>
            </w:r>
          </w:p>
        </w:tc>
        <w:tc>
          <w:tcPr>
            <w:tcW w:w="0" w:type="dxa"/>
            <w:vAlign w:val="bottom"/>
          </w:tcPr>
          <w:p>
            <w:pPr>
              <w:spacing w:after="0"/>
              <w:rPr>
                <w:sz w:val="1"/>
                <w:szCs w:val="1"/>
                <w:color w:val="auto"/>
              </w:rPr>
            </w:pPr>
          </w:p>
        </w:tc>
      </w:tr>
      <w:tr>
        <w:trPr>
          <w:trHeight w:val="209"/>
        </w:trPr>
        <w:tc>
          <w:tcPr>
            <w:tcW w:w="1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SADA</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$ 2,707,000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$ 14,019,000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$ 1,000,000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$ 1,605,000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The below table represents the maximum clinical, regulatory or sales-based miletones as reflected within the agreements, certain of which have been paid in prior periods or are accrued as presented in the table above: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1" w:name="page172"/>
    <w:bookmarkEnd w:id="1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Agreements</w:t>
            </w:r>
          </w:p>
        </w:tc>
        <w:tc>
          <w:tcPr>
            <w:tcW w:w="2100" w:type="dxa"/>
            <w:vAlign w:val="bottom"/>
            <w:gridSpan w:val="2"/>
          </w:tcPr>
          <w:p>
            <w:pPr>
              <w:ind w:left="620"/>
              <w:spacing w:after="0"/>
              <w:rPr>
                <w:sz w:val="20"/>
                <w:szCs w:val="20"/>
                <w:color w:val="auto"/>
              </w:rPr>
            </w:pPr>
            <w:r>
              <w:rPr>
                <w:rFonts w:ascii="Arial" w:cs="Arial" w:eastAsia="Arial" w:hAnsi="Arial"/>
                <w:sz w:val="14"/>
                <w:szCs w:val="14"/>
                <w:b w:val="1"/>
                <w:bCs w:val="1"/>
                <w:color w:val="auto"/>
              </w:rPr>
              <w:t>Maximum</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Arial" w:cs="Arial" w:eastAsia="Arial" w:hAnsi="Arial"/>
                <w:sz w:val="14"/>
                <w:szCs w:val="14"/>
                <w:b w:val="1"/>
                <w:bCs w:val="1"/>
                <w:color w:val="auto"/>
              </w:rPr>
              <w:t>Clinical Milestones</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Regulatory Milestones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6"/>
              </w:rPr>
              <w:t>Sales-based milestones</w:t>
            </w: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SADA</w:t>
            </w:r>
          </w:p>
        </w:tc>
        <w:tc>
          <w:tcPr>
            <w:tcW w:w="1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$ 4,730,000</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rPr>
              <w:t>$ 18,125,000</w:t>
            </w:r>
          </w:p>
        </w:tc>
        <w:tc>
          <w:tcPr>
            <w:tcW w:w="2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rPr>
              <w:t>$ 23,750,000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Minimum royalties and certain clinical milestones that become due based upon the passage of time under the SADA Agreement are not recorded as a liability as the Company does not consider such obligations to be probable as of December 31, 2020.</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have also entered into various other support agreements with MSK including a sponsored research agreement to provide research services related to the intellectual property licensed under the MSK License Agreement; a master data services agreement, for services provided by approximately five full time employees at MSK, who are engaged in transferring clinical data, databases, regulatory files and other know-how included in the MSK License Agreement to the Company; a master clinical trial agreement pursuant to which we committed to fund certain clinical trials at MSK; two separate core facility service agreements pursuant to which we committed to obtaining certain laboratory services from MSK; and a CD33 sponsored research agreement pursuant to which we agreed to pay MSK to provide research services over a period of two years related to the intellectual property licensed under the CD33 License Agreement; and in October 2020 we entered into a SADA sponsored research agreement pursuant to which we agreed to pay MSK to provide research services over a period of three years related to the intellectual property licensed under the SADA License Agreement. During 2020 and 2019, we incurred research and development expenses of $4.2 million and $6.8 million, respectively, under these agreements.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In July 2019, the Company entered a development, manufacturing and supply agreement with SpectronRx in South Bend, Indiana, to secure access to clinical and commercial scale radiolabeling capacity for omburtamab. Under the terms of the agreement, SpectronRx has agreed to establish a manufacturing unit designated for the Company within its existing facilities, at which both clinical and commercial supply of radiolabeled omburtamab can be produced. Since the Company possesses the right to substantially all the economic benefits and directs the use of the production area, the Company accounts for the payments related to the access to the manufacturing space under ASC 842 as an operating lease. The term of the lease is two years from the commencement date of August 31, 2020. Upon the lease commencement date, we recorded $3,617,000 as right-of-use asset and $2,680,000 as lease liability with the difference of $937,000 being due to prepayment of an initial fee of $500,000 to commence design and construction of the production area and access fees of $437,000. The company pays equal monthly installments of approximately $117,000 per month in additional access fees through September 2022 resulting in total payments of $2,330,000 remaining under the agreement. There are no renewal options in this agreement.</w:t>
      </w:r>
    </w:p>
    <w:p>
      <w:pPr>
        <w:spacing w:after="0" w:line="17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In February 2019, the Company entered into a lease agreement in connection with its 4,548 square feet laboratory in New Jersey. In December 2019, we expanded the space with an additional 235 square feet. The term of the lease is three years from the date the Company occupied the premises, with an option to extend for an additional two years which the Company expects to exercise and has included in the determination of the related lease liability. Fixed rent payable under the lease is approximately $144,000 per annum and is payable in equal monthly installments of approximately $12,000.</w:t>
      </w:r>
    </w:p>
    <w:p>
      <w:pPr>
        <w:spacing w:after="0" w:line="161"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January 2018, the Company entered into a lease agreement in connection with its corporate headquarters in New York. The term of the lease is five years from the date the Company begins to occupy the premises. Fixed rent payable under the lease is approximately $384,000 per annum and is payable in equal monthly installments of approximately $32,000, which are recognized on a straight-line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2" w:name="page173"/>
    <w:bookmarkEnd w:id="1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Additionally, the Company entered a three-year lease agreement for the lease of certain office space in Denmark in February 2018, as amended in November 2018 and February 2019. The lease is payable in monthly installments of approximately $19,000, which are recognized on a straight-line basis.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described above in Note 3, the Company adopted Topic 842 as of January 1, 2019.</w:t>
      </w:r>
    </w:p>
    <w:p>
      <w:pPr>
        <w:spacing w:after="0" w:line="225"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Total operating lease costs were $1,324,000 and $676,000 for the year ended December 31, 2020 and 2019, respectively. During the year ended December 31, 2020, the expenses were recorded as $1,114,000 in research and development expense and $210,000 in general and administrative expense. During year ended December 31, 2019, the expenses were recorded as $493,000 in research and development expense and $183,000 in general and administrative expense. Cash paid for amounts included in the measurement of lease liabilities was $1,248,000 for year ended December 31, 2020 and $606,000 for year ended December 31, 2019, and was included in net cash used in operating activities in the Company’s Consolidated Statements of Cash Flows.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operating lease liabilities at December 31, 2020 and 2019 were as follows (in thousands):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rPr>
              <w:t>Operating Leases</w:t>
            </w:r>
          </w:p>
        </w:tc>
      </w:tr>
      <w:tr>
        <w:trPr>
          <w:trHeight w:val="171"/>
        </w:trPr>
        <w:tc>
          <w:tcPr>
            <w:tcW w:w="7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at December 31, 2020</w:t>
            </w:r>
          </w:p>
        </w:tc>
      </w:tr>
      <w:tr>
        <w:trPr>
          <w:trHeight w:val="209"/>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29"/>
        </w:trPr>
        <w:tc>
          <w:tcPr>
            <w:tcW w:w="7400" w:type="dxa"/>
            <w:vAlign w:val="bottom"/>
          </w:tcPr>
          <w:p>
            <w:pPr>
              <w:jc w:val="right"/>
              <w:ind w:right="673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3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9"/>
        </w:trPr>
        <w:tc>
          <w:tcPr>
            <w:tcW w:w="7400" w:type="dxa"/>
            <w:vAlign w:val="bottom"/>
            <w:tcBorders>
              <w:bottom w:val="single" w:sz="8" w:color="CCEEFF"/>
            </w:tcBorders>
          </w:tcPr>
          <w:p>
            <w:pPr>
              <w:jc w:val="right"/>
              <w:ind w:right="673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at December 31, 2020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Future minimum lease payments, including imputed interest, under non-cancelable operating leases at December 31, 2019 were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rPr>
              <w:t>Operating Leases</w:t>
            </w:r>
          </w:p>
        </w:tc>
      </w:tr>
      <w:tr>
        <w:trPr>
          <w:trHeight w:val="171"/>
        </w:trPr>
        <w:tc>
          <w:tcPr>
            <w:tcW w:w="7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at December 31, 2019</w:t>
            </w:r>
          </w:p>
        </w:tc>
      </w:tr>
      <w:tr>
        <w:trPr>
          <w:trHeight w:val="21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7400" w:type="dxa"/>
            <w:vAlign w:val="bottom"/>
          </w:tcPr>
          <w:p>
            <w:pPr>
              <w:jc w:val="right"/>
              <w:ind w:right="67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7400" w:type="dxa"/>
            <w:vAlign w:val="bottom"/>
          </w:tcPr>
          <w:p>
            <w:pPr>
              <w:jc w:val="right"/>
              <w:ind w:right="673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2,764</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Total operating lease liabilities at December 31, 2019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December 31, 2020, the weighted average remaining lease term is 2.18 years and the weighted average discount rate used to determine the operating lease liability was 7.6%. As of December 31, 2019, the weighted average remaining lease term is 3.83 years and the weighted average discount rate used to determine the operating lease liability was 11.0%.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3" w:name="page174"/>
    <w:bookmarkEnd w:id="1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As of December 31, 2020 and 2019, the Company has authorized a total of 105,500,000 shares, 100,000,000 of which are to be common stock, par value $0.0001 per stock, and 5,500,000 of which are to preferred stock, par value $0.0001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359" w:firstLine="648"/>
        <w:spacing w:after="0" w:line="279" w:lineRule="auto"/>
        <w:rPr>
          <w:sz w:val="20"/>
          <w:szCs w:val="20"/>
          <w:color w:val="auto"/>
        </w:rPr>
      </w:pPr>
      <w:r>
        <w:rPr>
          <w:rFonts w:ascii="Arial" w:cs="Arial" w:eastAsia="Arial" w:hAnsi="Arial"/>
          <w:sz w:val="17"/>
          <w:szCs w:val="17"/>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40,688,447 shares of its common stock as of December 31, 2020 and 39,728,416 shares of its common stock as of December 31, 2019.</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2020 or December 31, 2019.</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In August 2015, we entered into certain stock grant agreements with non-employees of the Company. We agreed to issue a total of 2,800,000 shares to two non-employee researchers who were involved in the development of technology licensed from MSK in consideration for their prior service. The shares are released according to a vesting schedule. A total of 560,000 shares were issued in 2015, and a total of 448,000 shares issued in each of 2016 and 2017. In 2018, a total of 544,000 shares were issued to the two researchers, whereby one of the two grants was fully issued. In 2019 a total of 400,000 shares were issued to one of the physicians, and the remaining 400,000 shares were issued in August 2020, subject to certain conditions. No future shares will be issued under this award. The total award was expensed at its estimated fair value in 2015, as no future service was required to continue to vest in and receive the shares.</w:t>
      </w:r>
    </w:p>
    <w:p>
      <w:pPr>
        <w:spacing w:after="0" w:line="165"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In April 2020, in connection with the SADA License Agreement, we entered into certain stock grant agreements pursuant to which we agreed to issue a total of 213,996 shares to two non-employee researchers who were involved in the development of the SADA technology licensed from MSK and MIT in consideration for their prior service. All 213,996 shares were issued in April 2020 into escrow with 40% of the shares immediately vesting at the time of issuance and the remaining 60% of the shares subject to vesting ratably over the next three years on the anniversary date of the agreement. The shares are subject to forfeiture to the extent the SADA License Agreement is terminated prior to the vesting of the shares. There is no cash settlement feature, and no future service is required for researchers to vest and receive the shares. While the shares vest over time, there is no performance condition for the shares. In April 2020, we recorded an expense within research and development totaling $7,376,000 related to the shares which represents the fair value of the shares on the grant date.</w:t>
      </w:r>
    </w:p>
    <w:p>
      <w:pPr>
        <w:spacing w:after="0" w:line="18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July 2020, pursuant to the stock grant agreements, we also loaned the two researchers a total of $2,610,000 related to their individual tax payments due in conjunction with the stock grants. Each of the loans are evidenced by a three year Secured Promissory Note. The outstanding principal amounts of the loans, together with all accrued interest thereon at the rate of 1% per annum, is due and payable on the maturity date of the loans. The loans are secured by Pledge and Security Agreements, pursuant to which the researchers have pledged the shares as security for repayment of the loans with interest rates that are at market. The loans are recorded at amortized cost, which approximates fair value due to the short-term nature and minimal changes in market interest rates.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In November 2019, we completed a secondary public offering and issued 5,134,750 shares of Common Stock at a purchase price of $28.00 per share for an aggregate consideration of $134,704,000, net of issuance costs of $9,100,000.</w:t>
      </w:r>
    </w:p>
    <w:p>
      <w:pPr>
        <w:spacing w:after="0" w:line="12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As dosclosed in Note 12, subsequent to December 31, 2020, on February 22, 2021, we completed a secondary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 million, or aggregate net proceeds of approximately $107.7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8—SHARE-BASED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Our board of directors and stockholders have approved and adopted the 2015 Plan, which provided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were reserved for issuance pursuant to the 2015 Plan. Options granted under the 2015 Plan vest according to the schedule specified in the grant agreements, which is generally a four year period and generally become immediately exercisable upon the occurrence of a change in control, as defined. Upon the 2018 Equity Incentive Plan (the “2018 Plan’) becoming effective in September 2018, no further grants were allowed under the 2015 Plan.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Our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a four-year period and generally become immediately exercisable upon the occurrence of a change in control, as defined.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Valuation and Restricted Stock Units</w:t>
      </w:r>
    </w:p>
    <w:p>
      <w:pPr>
        <w:spacing w:after="0" w:line="225"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During the years ended December 31, 2020 and 2019, stock-based compensation expenses for stock option grants were $15,949,000 and $4,581,000, respectively. During 2020 the expenses were recorded as $7,401,000 in research and development expense and $8,548,000 in general and administrative expense. During 2019 the expenses were recorded as $933,000 in research and development expense and $3,648,000 in general and administrative expense.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5" w:name="page176"/>
    <w:bookmarkEnd w:id="1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Other than $15,949,000 stock option compensation in 2020, another $186,000 restricted stock units, $169,000 in research and development expense and $17,000 in general and administrative expense were recorded in 2020. Other than $4,581,000 stock option compensation in 2019, another $76,000 restricted stock units, $69,000 in research and development expense and $7,000 in general and administrative expense were recorded in 2019. The total stock based compensation was $16,135,000 in 2020 and $4,657,000 in 2019,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Valuation Activity</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directors and consultants were as follows, presented on a weighted average basis:</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20" w:type="dxa"/>
            <w:vAlign w:val="bottom"/>
          </w:tcPr>
          <w:p>
            <w:pPr>
              <w:jc w:val="right"/>
              <w:ind w:right="156"/>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20" w:type="dxa"/>
            <w:vAlign w:val="bottom"/>
          </w:tcPr>
          <w:p>
            <w:pPr>
              <w:jc w:val="right"/>
              <w:ind w:right="156"/>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During the year ended December 31, 2020, the Company recognized $4.8 million in stock-based compensation related to an option grant of 150,000 options to a non-employee consultant for past service and contributions to a development program. No further service is required by the non-employee consultant to obtain the options and therefore the Company recorded the full value of the grant on the date of the grant.</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recognizes compensation expense for only the portion of awards that vest.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4,005,873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2,057,600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5,674,100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156,726</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2,907,404</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8.42</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119,454</w:t>
            </w:r>
          </w:p>
        </w:tc>
        <w:tc>
          <w:tcPr>
            <w:tcW w:w="140" w:type="dxa"/>
            <w:vAlign w:val="bottom"/>
          </w:tcPr>
          <w:p>
            <w:pPr>
              <w:spacing w:after="0"/>
              <w:rPr>
                <w:sz w:val="17"/>
                <w:szCs w:val="17"/>
                <w:color w:val="auto"/>
              </w:rPr>
            </w:pPr>
          </w:p>
        </w:tc>
        <w:tc>
          <w:tcPr>
            <w:tcW w:w="78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2020 and 2019 was $25.40 and $14.92 per share, respectively.</w:t>
      </w:r>
    </w:p>
    <w:p>
      <w:pPr>
        <w:spacing w:after="0" w:line="170"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fair value of each stock option grant is estimated on the date of grant using the Black-Scholes option pricing model. We estimate our expected share price volatility based on the historical volatility of a group of publicly-traded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 There were no significant changes to the inputs included in the Black-Scholes option pricing model during the period ended December 31, 2020.</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6" w:name="page177"/>
    <w:bookmarkEnd w:id="1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As of December 31, 2020 and 2019, we had $52,239,000 and $15,942,000, respectively, of unrecognized compensation related to employee stock options that are expected to vest over a period of 3.09 years in 2020 and 2.72 years in 2019.</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restricted stock units issued and outstanding:</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Restricted Stock Units</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grant</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vesting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price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182"/>
        </w:trPr>
        <w:tc>
          <w:tcPr>
            <w:tcW w:w="3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and expected to vest at</w:t>
            </w: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$ 23.11</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23,939</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20.76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Outstanding and expected to vest at</w:t>
            </w: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40" w:type="dxa"/>
            <w:vAlign w:val="bottom"/>
            <w:vMerge w:val="continue"/>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30,146</w:t>
            </w:r>
          </w:p>
        </w:tc>
        <w:tc>
          <w:tcPr>
            <w:tcW w:w="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$ 25.45</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As of December 31, 2020, we had $586,000 of unrecognized compensation related to employee restricted stock units that are expected to vest over a period of 2.18 years. As of December 31, 2019, we had $163,000 of unrecognized compensation related to employee restricted stock units that are expected to vest over a period of 2.05 years.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MSK is a shareholder of the Company. Under the MSK License Agreement, SADA License Agreement, the CD33 License Agreement, and various other supporting agreements with MSK, we have expensed costs in the total amount of $11,556,000 and $6,832,000 in the years ended December 31, 2020 and 2019, respectively, for milestones, minimum royalties, research and development costs, and patent activities. Please refer to Note 6 – License Agreements and Commitments for additional details on our agreements with MSK. As of December 31, 2020, we had a total of $833,000 recorded as accounts payable, $7,161,000 as accrued liabilities, thereby totaling $7,994,000 due to MSK. As of December 31, 2019, we had a total of $188,000 recorded as accounts payable, $3,983,000 as accrued liabilities, thereby totaling $4,171,000 due to MSK.</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Domestic and foreign loss before income taxes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For The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For The</w:t>
            </w:r>
          </w:p>
        </w:tc>
      </w:tr>
      <w:tr>
        <w:trPr>
          <w:trHeight w:val="149"/>
        </w:trPr>
        <w:tc>
          <w:tcPr>
            <w:tcW w:w="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2"/>
                <w:szCs w:val="12"/>
                <w:color w:val="auto"/>
              </w:rPr>
            </w:pPr>
          </w:p>
        </w:tc>
        <w:tc>
          <w:tcPr>
            <w:tcW w:w="17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8"/>
        </w:trPr>
        <w:tc>
          <w:tcPr>
            <w:tcW w:w="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7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48"/>
        </w:trPr>
        <w:tc>
          <w:tcPr>
            <w:tcW w:w="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2019</w:t>
            </w:r>
          </w:p>
        </w:tc>
        <w:tc>
          <w:tcPr>
            <w:tcW w:w="900" w:type="dxa"/>
            <w:vAlign w:val="bottom"/>
          </w:tcPr>
          <w:p>
            <w:pPr>
              <w:spacing w:after="0"/>
              <w:rPr>
                <w:sz w:val="12"/>
                <w:szCs w:val="12"/>
                <w:color w:val="auto"/>
              </w:rPr>
            </w:pPr>
          </w:p>
        </w:tc>
      </w:tr>
      <w:tr>
        <w:trPr>
          <w:trHeight w:val="171"/>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160" w:type="dxa"/>
            <w:vAlign w:val="bottom"/>
          </w:tcPr>
          <w:p>
            <w:pPr>
              <w:spacing w:after="0"/>
              <w:rPr>
                <w:sz w:val="14"/>
                <w:szCs w:val="14"/>
                <w:color w:val="auto"/>
              </w:rPr>
            </w:pPr>
          </w:p>
        </w:tc>
        <w:tc>
          <w:tcPr>
            <w:tcW w:w="176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(thousands)</w:t>
            </w:r>
          </w:p>
        </w:tc>
      </w:tr>
      <w:tr>
        <w:trPr>
          <w:trHeight w:val="210"/>
        </w:trPr>
        <w:tc>
          <w:tcPr>
            <w:tcW w:w="9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(119,153)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3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90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(119,337)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(81,028)</w:t>
            </w:r>
          </w:p>
        </w:tc>
        <w:tc>
          <w:tcPr>
            <w:tcW w:w="900" w:type="dxa"/>
            <w:vAlign w:val="bottom"/>
          </w:tcPr>
          <w:p>
            <w:pPr>
              <w:spacing w:after="0"/>
              <w:rPr>
                <w:sz w:val="18"/>
                <w:szCs w:val="18"/>
                <w:color w:val="auto"/>
              </w:rPr>
            </w:pPr>
          </w:p>
        </w:tc>
      </w:tr>
      <w:tr>
        <w:trPr>
          <w:trHeight w:val="858"/>
        </w:trPr>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20" w:type="dxa"/>
            <w:vAlign w:val="bottom"/>
          </w:tcPr>
          <w:p>
            <w:pPr>
              <w:jc w:val="right"/>
              <w:ind w:right="143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77" w:name="page178"/>
    <w:bookmarkEnd w:id="1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provided no current and deferred income tax benefits on net losses of $(119,337,000)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$(81,028,000) for years ended December 31, 2020 and 2019, respectively, and maintains a full valuation allowance against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its net deferred tax assets.</w:t>
      </w:r>
    </w:p>
    <w:p>
      <w:pPr>
        <w:spacing w:after="0" w:line="211"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The difference between income taxes expected at the U.S. federal statutory income tax rate of 21% for tax years ended December 31, 2020 and December 31, 2019, respectively, and income taxes provided are set forth below:</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2019</w:t>
            </w: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(thousands)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(thousands)</w:t>
            </w: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(17,016)</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(11,022)</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Effect of rate change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33,984</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Tax credits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(5,924)</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components of the Company’s net deferred tax assets/(liabilities) are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r>
      <w:tr>
        <w:trPr>
          <w:trHeight w:val="171"/>
        </w:trPr>
        <w:tc>
          <w:tcPr>
            <w:tcW w:w="20" w:type="dxa"/>
            <w:vAlign w:val="bottom"/>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(thousands)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(thousands)</w:t>
            </w: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assets/(liabilities):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Acquired intangibles</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2,504</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bonus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Unrealized foreign exchange loss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royalty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2,594</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51,649</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8,412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ROU asset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Lease liability</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Total deferred tax assets/(liabilities)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96,460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65,489</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(65,489)</w:t>
            </w:r>
          </w:p>
        </w:tc>
      </w:tr>
      <w:tr>
        <w:trPr>
          <w:trHeight w:val="210"/>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Net deferred tax assets/(liabilities)</w:t>
            </w:r>
          </w:p>
        </w:tc>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Company recognizes income tax benefits for tax positions determined more likely than not to be sustained upon examination, based on the technical merits of the positions. As of December 31, 2020, and 2019, the Company has determined that there were no uncertain tax positions. The Company’s tax returns for the years 2019, 2018, 2017 and 2016 are open for tax examination by U.S. federal and state, and the Danish tax authorities.</w:t>
      </w:r>
    </w:p>
    <w:p>
      <w:pPr>
        <w:spacing w:after="0" w:line="171"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8"/>
          <w:szCs w:val="18"/>
          <w:color w:val="auto"/>
        </w:rPr>
        <w:t>The Company maintains a full valuation allowance on its U.S. and foreign deferred tax assets. The assessment regarding whether a valuation allowance is required considers both positive and negative evidence when determining whether it is more-likely-than-not that deferred tax assets are recoverable. In making this assessment, significant weight is given to evidence that can be objectively verified. In its evaluation, the Company considered its cumulative losses historically and in recent years and its forecasted losses in the near-term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96"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As of December 31, 2020, the Company had U.S. federal and state net operating loss (“NOL”) carryforwards of approximately $248,942,000 and $168,792,000, respectively, which are available to reduce future taxable income.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8" w:name="page179"/>
    <w:bookmarkEnd w:id="1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Company also had approximately $168,301,000 of unused NOL carryforwards for New York City purposes. The Company also had U.S. federal tax credits of $13,146,000 as of December 31, 2020, which may be used to offset future tax liabilities. The federal NOL carryforwards of approximately $29,909,000 will expire through 2037. The federal NOL of approximately $219,033,000 can be carried forward indefinitely but limited to offset 80% of taxable income. The Arizona, Massachusetts, Montana, New York State, and New York City NOL and tax credit carryforwards will begin to expire in 2035. The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of 1986 (“IRC”). The Company has performed an analysis of its Section 382 ownership changes through December 31, 2018. Due to the large annual limitation, the Company believes that it is more likely than not that none of the net operating loss carryforwards will expire as a result of the limitation from the ownership change under Section 382. The Company also has Danish NOL carryforwards of $1,850,000, which have an indefinite carryforward period.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11—OTHER BENEFITS</w:t>
      </w:r>
    </w:p>
    <w:p>
      <w:pPr>
        <w:spacing w:after="0" w:line="229"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has established a retirement program for employees of our Danish subsidiary pursuant to which all such employees can contribute an amount at their election from their base compensation and may receive contributions from our Danish subsidiary. Contributions from our Danish subsidiary were immaterial during the years ended December 31, 2020 and 2019. In addition, health insurance benefits for our Danish employees are fully paid for by such employees. Our Danish subsidiary does not incur any costs for these health insurance benefits.</w:t>
      </w:r>
    </w:p>
    <w:p>
      <w:pPr>
        <w:spacing w:after="0" w:line="17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On October 1, 2018, the Company adopted a defined contribution 401(k) savings plan (the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during the years ended December 31, 2020 and December 31,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On December 28, 2020, the Company announced that it entered into a definitive agreement to sell its DANYELZA Priority Review Voucher to United Therapeutics Corporation for $105 million. The PRV was granted in conjunction with the approval by the U.S. Food and Drug Administration (“FDA”) of DANYELZA®, for the treatment of refractory/relapsed high-risk neuroblastoma. Under the terms of the Company’s license agreement with MSK, Y-mAbs will retain 60% of the net proceeds received from the sale, and the remaining 40% will be paid to MSK. The transaction closed on January 21, 2021 once the substantive closing conditions including within the agreement were resolved.</w:t>
      </w:r>
    </w:p>
    <w:p>
      <w:pPr>
        <w:spacing w:after="0" w:line="16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On February 22, 2021, the Company announced the closing of its public offering of 2,804,878 shares of its common stock, at a public offering price of $41.00 per share, which includes the exercise in full of the underwriters' option to purchase 365,853 additional shares of common stock. The aggregate gross proceeds to Y-mAbs, before deducting underwriting discounts and commissions and estimated offering expenses payable by the Company, were approximately $115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13—QUARTERLY CONSOLIDATED FINANCIAL DATA (unaudited)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780" w:type="dxa"/>
            <w:vAlign w:val="bottom"/>
          </w:tcPr>
          <w:p>
            <w:pPr>
              <w:spacing w:after="0"/>
              <w:rPr>
                <w:sz w:val="14"/>
                <w:szCs w:val="14"/>
                <w:color w:val="auto"/>
              </w:rPr>
            </w:pPr>
          </w:p>
        </w:tc>
        <w:tc>
          <w:tcPr>
            <w:tcW w:w="10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7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September 30   December 31</w:t>
            </w:r>
          </w:p>
        </w:tc>
      </w:tr>
      <w:tr>
        <w:trPr>
          <w:trHeight w:val="20"/>
        </w:trPr>
        <w:tc>
          <w:tcPr>
            <w:tcW w:w="5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(26,747)</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(40,452)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(32,641)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(26,179)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(40,393)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(32,832)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6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1"/>
              </w:rPr>
              <w:t>June 30</w:t>
            </w:r>
          </w:p>
        </w:tc>
        <w:tc>
          <w:tcPr>
            <w:tcW w:w="14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(16,253)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(18,634)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(24,359)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(15,934)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(23,922)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(0.53)</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60" w:right="6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the effectiveness of our disclosure controls and procedures (as defined in Rules 13a-15(e) and 15d-15(e) under the Securities Exchange Act of 1934, as amended, or the Exchange Act). Based on that evaluation, our Chief Executive Officer and Chief Financial Officer concluded that our disclosure controls and procedures were not effective at the reasonable assurance level as of December 31, 2020, due to material weaknesses in our internal control over financial reporting.</w:t>
      </w:r>
    </w:p>
    <w:p>
      <w:pPr>
        <w:spacing w:after="0" w:line="178"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their inherent limitations, disclosure controls and procedures may not prevent or detect all misstatements. Accordingly, even effective disclosure controls and procedures can only provide reasonable assurance of achieving their control objectives.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left="60" w:right="79" w:firstLine="641"/>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of the Exchange Act). Under the supervision of and with the participation of our Chief Executive Officer and our Chief Financial Officer, our management conducted an assessment of the effectiveness of our internal control over financial reporting as of December 31, 2020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(2013 framework).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0" w:name="page181"/>
    <w:bookmarkEnd w:id="1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firstLine="506"/>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4" w:lineRule="exact"/>
        <w:rPr>
          <w:sz w:val="20"/>
          <w:szCs w:val="20"/>
          <w:color w:val="auto"/>
        </w:rPr>
      </w:pPr>
    </w:p>
    <w:p>
      <w:pPr>
        <w:ind w:left="60" w:right="519" w:firstLine="506"/>
        <w:spacing w:after="0" w:line="277" w:lineRule="auto"/>
        <w:rPr>
          <w:sz w:val="20"/>
          <w:szCs w:val="20"/>
          <w:color w:val="auto"/>
        </w:rPr>
      </w:pPr>
      <w:r>
        <w:rPr>
          <w:rFonts w:ascii="Arial" w:cs="Arial" w:eastAsia="Arial" w:hAnsi="Arial"/>
          <w:sz w:val="18"/>
          <w:szCs w:val="18"/>
          <w:color w:val="auto"/>
        </w:rPr>
        <w:t>Based on this assessment, management has concluded that as of December 31, 2020, our internal control over financial reporting was ineffective due to the following material weaknesses:</w:t>
      </w:r>
    </w:p>
    <w:p>
      <w:pPr>
        <w:spacing w:after="0" w:line="170" w:lineRule="exact"/>
        <w:rPr>
          <w:sz w:val="20"/>
          <w:szCs w:val="20"/>
          <w:color w:val="auto"/>
        </w:rPr>
      </w:pPr>
    </w:p>
    <w:p>
      <w:pPr>
        <w:ind w:left="60" w:right="99" w:firstLine="506"/>
        <w:spacing w:after="0" w:line="273" w:lineRule="auto"/>
        <w:rPr>
          <w:sz w:val="20"/>
          <w:szCs w:val="20"/>
          <w:color w:val="auto"/>
        </w:rPr>
      </w:pPr>
      <w:r>
        <w:rPr>
          <w:rFonts w:ascii="Arial" w:cs="Arial" w:eastAsia="Arial" w:hAnsi="Arial"/>
          <w:sz w:val="17"/>
          <w:szCs w:val="17"/>
          <w:color w:val="auto"/>
        </w:rPr>
        <w:t>We lack a sufficient number of trained professionals with an appropriate level of accounting knowledge, training and experience to: (a) design and maintain formal accounting policies, procedures and controls over the fair presentation of our financial statements; (b) design and maintain controls to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8" w:lineRule="exact"/>
        <w:rPr>
          <w:sz w:val="20"/>
          <w:szCs w:val="20"/>
          <w:color w:val="auto"/>
        </w:rPr>
      </w:pPr>
    </w:p>
    <w:p>
      <w:pPr>
        <w:ind w:left="60" w:right="119" w:firstLine="506"/>
        <w:spacing w:after="0" w:line="259" w:lineRule="auto"/>
        <w:rPr>
          <w:sz w:val="20"/>
          <w:szCs w:val="20"/>
          <w:color w:val="auto"/>
        </w:rPr>
      </w:pPr>
      <w:r>
        <w:rPr>
          <w:rFonts w:ascii="Arial" w:cs="Arial" w:eastAsia="Arial" w:hAnsi="Arial"/>
          <w:sz w:val="18"/>
          <w:szCs w:val="18"/>
          <w:color w:val="auto"/>
        </w:rPr>
        <w:t>These material weaknesses did not result in material misstatements of the annual or interim consolidated financial statements; however, each of the material weaknesses described above could result in a misstatement of substantially all account balances or disclosures that would result in a material misstatement of our annual or interim consolidated financial statements that would not be prevented or detected.</w:t>
      </w:r>
    </w:p>
    <w:p>
      <w:pPr>
        <w:spacing w:after="0" w:line="187" w:lineRule="exact"/>
        <w:rPr>
          <w:sz w:val="20"/>
          <w:szCs w:val="20"/>
          <w:color w:val="auto"/>
        </w:rPr>
      </w:pPr>
    </w:p>
    <w:p>
      <w:pPr>
        <w:ind w:left="60" w:right="339" w:firstLine="506"/>
        <w:spacing w:after="0" w:line="308" w:lineRule="auto"/>
        <w:rPr>
          <w:sz w:val="20"/>
          <w:szCs w:val="20"/>
          <w:color w:val="auto"/>
        </w:rPr>
      </w:pPr>
      <w:r>
        <w:rPr>
          <w:rFonts w:ascii="Arial" w:cs="Arial" w:eastAsia="Arial" w:hAnsi="Arial"/>
          <w:sz w:val="17"/>
          <w:szCs w:val="17"/>
          <w:color w:val="auto"/>
        </w:rPr>
        <w:t xml:space="preserve">Our independent registered public accounting firm has issued a report on the effectiveness of our internal control over financial reporting which is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Material Weakness Remediation Efforts</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We took various steps to address the material weaknesses identified above which included the following during the year ended December 31, 2020:</w:t>
      </w:r>
    </w:p>
    <w:p>
      <w:pPr>
        <w:spacing w:after="0" w:line="170" w:lineRule="exact"/>
        <w:rPr>
          <w:sz w:val="20"/>
          <w:szCs w:val="20"/>
          <w:color w:val="auto"/>
        </w:rPr>
      </w:pPr>
    </w:p>
    <w:p>
      <w:pPr>
        <w:ind w:left="720" w:right="499" w:hanging="319"/>
        <w:spacing w:after="0" w:line="271" w:lineRule="auto"/>
        <w:tabs>
          <w:tab w:leader="none" w:pos="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Hired additional professionals to enhance the depth and competence of our accounting and finance team and strengthened the overall oversight and review procedures with regards to segregation of duties, financial reporting, financial processes and procedures and overall internal control procedures;</w:t>
      </w:r>
    </w:p>
    <w:p>
      <w:pPr>
        <w:ind w:left="720" w:right="259" w:hanging="319"/>
        <w:spacing w:after="0" w:line="265" w:lineRule="auto"/>
        <w:tabs>
          <w:tab w:leader="none" w:pos="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Implemented business process-level controls across all significant accounts and information technology general controls across all relevant domains. This included completing training such that the preparers and control operators had clear expectations as it relates to the control design, execution and monitoring of such controls, including enhancements to the documentation to evidence the execution of the controls;</w:t>
      </w:r>
    </w:p>
    <w:p>
      <w:pPr>
        <w:ind w:left="720" w:right="259" w:hanging="319"/>
        <w:spacing w:after="0" w:line="281" w:lineRule="auto"/>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Enhanced controls relating to the posting of journal entries and the preparation of account reconciliations. Specifically, we have systematically enforced segregation of duties by restricting the ability of individuals to create and post certain journal entries and also implemented a secondary review of manual journal entries by an individual without the ability to post journal entries. Additionally, we have enhanced our account reconciliation process by incorporating standardized checklists and templates and also designed the process in a manner in which the reconciliations are reviewed by an individual without access to post journal entries;</w:t>
      </w:r>
    </w:p>
    <w:p>
      <w:pPr>
        <w:spacing w:after="0" w:line="3" w:lineRule="exact"/>
        <w:rPr>
          <w:rFonts w:ascii="Arial" w:cs="Arial" w:eastAsia="Arial" w:hAnsi="Arial"/>
          <w:sz w:val="16"/>
          <w:szCs w:val="16"/>
          <w:color w:val="auto"/>
        </w:rPr>
      </w:pPr>
    </w:p>
    <w:p>
      <w:pPr>
        <w:ind w:left="720" w:right="219" w:hanging="319"/>
        <w:spacing w:after="0" w:line="250"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the business-process and information technology controls such that appropriate segregation of duties are in place. We have also instituted periodic monitoring controls across relevant segregation of duties conflicts to assess whether access remains appropriate and necessary implemented compensating controls where access could not be restricted; and</w:t>
      </w:r>
    </w:p>
    <w:p>
      <w:pPr>
        <w:spacing w:after="0" w:line="1" w:lineRule="exact"/>
        <w:rPr>
          <w:rFonts w:ascii="Arial" w:cs="Arial" w:eastAsia="Arial" w:hAnsi="Arial"/>
          <w:sz w:val="18"/>
          <w:szCs w:val="18"/>
          <w:color w:val="auto"/>
        </w:rPr>
      </w:pPr>
    </w:p>
    <w:p>
      <w:pPr>
        <w:ind w:left="720" w:right="319" w:hanging="319"/>
        <w:spacing w:after="0" w:line="260"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Strengthened our processes and controls surrounding the review of complex accounting transactions, including the preparation and review of such accounting memos.</w:t>
      </w:r>
    </w:p>
    <w:p>
      <w:pPr>
        <w:spacing w:after="0" w:line="185"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Until the controls described above have been in place long enough for management to conclude that they are operating effectively, the material weaknesses described above will continue to exist.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1" w:name="page182"/>
    <w:bookmarkEnd w:id="1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during the fourth quarter of the year ended December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The information required by this Item 10 is incorporated by reference to the information set forth in the sections titled “Proposal 1 – Election of Directors,” “Executive Officers of the Company,” and “Information Regarding the Board and Corporate Governance” and “Section 16(a) Beneficial Ownership Reporting Compliance” in our Definitive Proxy Statement to be filed with the SEC with respect to our 2021 Annual Meeting of Stockholders.</w:t>
      </w:r>
    </w:p>
    <w:p>
      <w:pPr>
        <w:spacing w:after="0" w:line="383"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The information required by this Item 11 is incorporated by reference to the information set forth in the section titled “Executive Compensation” in our Definitive Proxy Statement to be filed with the SEC with respect to our 2021 Annual Meeting of Stockholders.</w:t>
      </w:r>
    </w:p>
    <w:p>
      <w:pPr>
        <w:spacing w:after="0" w:line="396" w:lineRule="exact"/>
        <w:rPr>
          <w:sz w:val="20"/>
          <w:szCs w:val="20"/>
          <w:color w:val="auto"/>
        </w:rPr>
      </w:pPr>
    </w:p>
    <w:p>
      <w:pPr>
        <w:ind w:left="1160" w:right="3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The information required by this Item 12 is incorporated by reference to the information set forth in the sections titled “Security Ownership of Certain Beneficial Owners and Management” and “Executive Compensation” in our Definitive Proxy Statement to be filed with the SEC with respect to our 2021 Annual Meeting of Stockholders.</w:t>
      </w:r>
    </w:p>
    <w:p>
      <w:pPr>
        <w:spacing w:after="0" w:line="377" w:lineRule="exact"/>
        <w:rPr>
          <w:sz w:val="20"/>
          <w:szCs w:val="20"/>
          <w:color w:val="auto"/>
        </w:rPr>
      </w:pPr>
    </w:p>
    <w:p>
      <w:pPr>
        <w:ind w:left="1160" w:right="12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jc w:val="both"/>
        <w:ind w:left="60" w:right="179" w:firstLine="648"/>
        <w:spacing w:after="0" w:line="311" w:lineRule="auto"/>
        <w:rPr>
          <w:sz w:val="20"/>
          <w:szCs w:val="20"/>
          <w:color w:val="auto"/>
        </w:rPr>
      </w:pPr>
      <w:r>
        <w:rPr>
          <w:rFonts w:ascii="Arial" w:cs="Arial" w:eastAsia="Arial" w:hAnsi="Arial"/>
          <w:sz w:val="16"/>
          <w:szCs w:val="16"/>
          <w:color w:val="auto"/>
        </w:rPr>
        <w:t>The information required by this Item 13 is incorporated by reference to the information set forth in the sections titled “Transactions with Related Persons” and “Information regarding the Board of Directors and Corporate Governance” in our Definitive Proxy Statement to be filed with the SEC with respect to our 2021 Annual Meeting of Stockholders.</w:t>
      </w:r>
    </w:p>
    <w:p>
      <w:pPr>
        <w:spacing w:after="0" w:line="36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information required by this Item 14 is incorporated by reference to the information set forth in the section titled “Principal Accountant Fees and Services” in our Definitive Proxy Statement to be filed with the SEC with respect to our 2021 Annual Meeting of Stockholders.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2" w:name="page183"/>
    <w:bookmarkEnd w:id="1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43"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23" w:lineRule="exact"/>
        <w:rPr>
          <w:sz w:val="20"/>
          <w:szCs w:val="20"/>
          <w:color w:val="auto"/>
        </w:rPr>
      </w:pPr>
    </w:p>
    <w:p>
      <w:pPr>
        <w:ind w:left="860" w:right="319"/>
        <w:spacing w:after="0" w:line="260"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w:t>
      </w:r>
    </w:p>
    <w:p>
      <w:pPr>
        <w:spacing w:after="0" w:line="18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3" w:lineRule="exact"/>
        <w:rPr>
          <w:sz w:val="20"/>
          <w:szCs w:val="20"/>
          <w:color w:val="auto"/>
        </w:rPr>
      </w:pPr>
    </w:p>
    <w:p>
      <w:pPr>
        <w:ind w:left="860" w:right="199"/>
        <w:spacing w:after="0" w:line="255" w:lineRule="auto"/>
        <w:rPr>
          <w:sz w:val="20"/>
          <w:szCs w:val="20"/>
          <w:color w:val="auto"/>
        </w:rPr>
      </w:pPr>
      <w:r>
        <w:rPr>
          <w:rFonts w:ascii="Arial" w:cs="Arial" w:eastAsia="Arial" w:hAnsi="Arial"/>
          <w:sz w:val="18"/>
          <w:szCs w:val="18"/>
          <w:color w:val="auto"/>
        </w:rPr>
        <w:t>There are no Financial Statement Schedules included with this filing for the reason that they are not applicable or are not required or the required information is included in the Financial Statements or Notes listed in the Index to Financial Statements beginning on page F-1.</w:t>
      </w:r>
    </w:p>
    <w:p>
      <w:pPr>
        <w:spacing w:after="0" w:line="190"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3" w:lineRule="exact"/>
        <w:rPr>
          <w:sz w:val="20"/>
          <w:szCs w:val="20"/>
          <w:color w:val="auto"/>
        </w:rPr>
      </w:pPr>
    </w:p>
    <w:p>
      <w:pPr>
        <w:ind w:left="860" w:right="339"/>
        <w:spacing w:after="0" w:line="290" w:lineRule="auto"/>
        <w:rPr>
          <w:sz w:val="20"/>
          <w:szCs w:val="20"/>
          <w:color w:val="auto"/>
        </w:rPr>
      </w:pPr>
      <w:r>
        <w:rPr>
          <w:rFonts w:ascii="Arial" w:cs="Arial" w:eastAsia="Arial" w:hAnsi="Arial"/>
          <w:sz w:val="17"/>
          <w:szCs w:val="17"/>
          <w:color w:val="auto"/>
        </w:rPr>
        <w:t>See the Exhibit Index immediately before the signature page of this Annual Report. The exhibits listed in the Exhibit Index below are filed or incorporated by reference as part of this Annual Report.</w:t>
      </w:r>
    </w:p>
    <w:p>
      <w:pPr>
        <w:spacing w:after="0" w:line="38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60" w:type="dxa"/>
            <w:vAlign w:val="bottom"/>
            <w:gridSpan w:val="8"/>
          </w:tcPr>
          <w:p>
            <w:pPr>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840" w:type="dxa"/>
            <w:vAlign w:val="bottom"/>
          </w:tcPr>
          <w:p>
            <w:pPr>
              <w:ind w:left="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766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Amended and Restated Certificate of Incorporation of the Registrant (incorporated by reference to Exhibit</w:t>
              </w:r>
            </w:hyperlink>
          </w:p>
        </w:tc>
        <w:tc>
          <w:tcPr>
            <w:tcW w:w="12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3.</w:t>
              </w:r>
              <w:r>
                <w:rPr>
                  <w:rFonts w:ascii="Arial" w:cs="Arial" w:eastAsia="Arial" w:hAnsi="Arial"/>
                  <w:sz w:val="18"/>
                  <w:szCs w:val="18"/>
                  <w:u w:val="single" w:color="auto"/>
                  <w:color w:val="0000EE"/>
                  <w:w w:val="91"/>
                </w:rPr>
                <w:t>3</w:t>
              </w:r>
              <w:r>
                <w:rPr>
                  <w:rFonts w:ascii="Arial" w:cs="Arial" w:eastAsia="Arial" w:hAnsi="Arial"/>
                  <w:sz w:val="18"/>
                  <w:szCs w:val="18"/>
                  <w:color w:val="0000EE"/>
                  <w:w w:val="91"/>
                </w:rPr>
                <w:t xml:space="preserve"> to the Form S-1 filed August 24, 2018).</w:t>
              </w:r>
            </w:hyperlink>
          </w:p>
        </w:tc>
        <w:tc>
          <w:tcPr>
            <w:tcW w:w="4640" w:type="dxa"/>
            <w:vAlign w:val="bottom"/>
            <w:gridSpan w:val="7"/>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7780" w:type="dxa"/>
            <w:vAlign w:val="bottom"/>
            <w:gridSpan w:val="11"/>
          </w:tcPr>
          <w:p>
            <w:pPr>
              <w:ind w:left="20"/>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Amended and Restated Bylaws of the Registrant (incorporated by reference to Exhibit 3.4 to the Form S-1</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filed August 24, 2018).</w:t>
              </w:r>
            </w:hyperlink>
          </w:p>
        </w:tc>
        <w:tc>
          <w:tcPr>
            <w:tcW w:w="120" w:type="dxa"/>
            <w:vAlign w:val="bottom"/>
            <w:gridSpan w:val="3"/>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78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Specimen stock certificate evidencing the shares of common stock (incorporated by reference to Exhibit 4.1</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11"/>
          </w:tcPr>
          <w:p>
            <w:pPr>
              <w:ind w:left="20"/>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to the Form S-1/A filed September 7, 2018).</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7560" w:type="dxa"/>
            <w:vAlign w:val="bottom"/>
            <w:tcBorders>
              <w:bottom w:val="single" w:sz="8" w:color="0000EE"/>
            </w:tcBorders>
            <w:gridSpan w:val="7"/>
          </w:tcPr>
          <w:p>
            <w:pPr>
              <w:ind w:left="20"/>
              <w:spacing w:after="0"/>
              <w:rPr>
                <w:rFonts w:ascii="Arial" w:cs="Arial" w:eastAsia="Arial" w:hAnsi="Arial"/>
                <w:sz w:val="18"/>
                <w:szCs w:val="18"/>
                <w:color w:val="0000EE"/>
                <w:w w:val="89"/>
              </w:rPr>
            </w:pPr>
            <w:hyperlink r:id="rId210">
              <w:r>
                <w:rPr>
                  <w:rFonts w:ascii="Arial" w:cs="Arial" w:eastAsia="Arial" w:hAnsi="Arial"/>
                  <w:sz w:val="18"/>
                  <w:szCs w:val="18"/>
                  <w:color w:val="0000EE"/>
                  <w:w w:val="89"/>
                </w:rPr>
                <w:t>Registration Rights Agreement, dated as of October 13, 2017, among the Registrant and the other parties</w:t>
              </w:r>
            </w:hyperlink>
          </w:p>
        </w:tc>
        <w:tc>
          <w:tcPr>
            <w:tcW w:w="220" w:type="dxa"/>
            <w:vAlign w:val="bottom"/>
            <w:gridSpan w:val="4"/>
          </w:tcPr>
          <w:p>
            <w:pPr>
              <w:spacing w:after="0"/>
              <w:rPr>
                <w:sz w:val="24"/>
                <w:szCs w:val="24"/>
                <w:color w:val="auto"/>
              </w:rPr>
            </w:pPr>
          </w:p>
        </w:tc>
      </w:tr>
      <w:tr>
        <w:trPr>
          <w:trHeight w:val="237"/>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11"/>
          </w:tcPr>
          <w:p>
            <w:pPr>
              <w:ind w:left="20"/>
              <w:spacing w:after="0"/>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thereto (incorporated by reference to Exhibit 4.2 to the Form S-1 filed August 24, 2018).</w:t>
              </w:r>
            </w:hyperlink>
          </w:p>
        </w:tc>
      </w:tr>
      <w:tr>
        <w:trPr>
          <w:trHeight w:val="391"/>
        </w:trPr>
        <w:tc>
          <w:tcPr>
            <w:tcW w:w="840" w:type="dxa"/>
            <w:vAlign w:val="bottom"/>
          </w:tcPr>
          <w:p>
            <w:pPr>
              <w:ind w:left="20"/>
              <w:spacing w:after="0"/>
              <w:rPr>
                <w:sz w:val="20"/>
                <w:szCs w:val="20"/>
                <w:color w:val="auto"/>
              </w:rPr>
            </w:pPr>
            <w:r>
              <w:rPr>
                <w:rFonts w:ascii="Arial" w:cs="Arial" w:eastAsia="Arial" w:hAnsi="Arial"/>
                <w:sz w:val="18"/>
                <w:szCs w:val="18"/>
                <w:color w:val="auto"/>
              </w:rPr>
              <w:t>4.3(a)</w:t>
            </w:r>
          </w:p>
        </w:tc>
        <w:tc>
          <w:tcPr>
            <w:tcW w:w="200" w:type="dxa"/>
            <w:vAlign w:val="bottom"/>
          </w:tcPr>
          <w:p>
            <w:pPr>
              <w:spacing w:after="0"/>
              <w:rPr>
                <w:sz w:val="24"/>
                <w:szCs w:val="24"/>
                <w:color w:val="auto"/>
              </w:rPr>
            </w:pPr>
          </w:p>
        </w:tc>
        <w:tc>
          <w:tcPr>
            <w:tcW w:w="7740" w:type="dxa"/>
            <w:vAlign w:val="bottom"/>
            <w:tcBorders>
              <w:bottom w:val="single" w:sz="8" w:color="0000EE"/>
            </w:tcBorders>
            <w:gridSpan w:val="10"/>
          </w:tcPr>
          <w:p>
            <w:pPr>
              <w:ind w:left="20"/>
              <w:spacing w:after="0"/>
              <w:rPr>
                <w:rFonts w:ascii="Arial" w:cs="Arial" w:eastAsia="Arial" w:hAnsi="Arial"/>
                <w:sz w:val="18"/>
                <w:szCs w:val="18"/>
                <w:color w:val="0000EE"/>
                <w:w w:val="89"/>
              </w:rPr>
            </w:pPr>
            <w:hyperlink r:id="rId211">
              <w:r>
                <w:rPr>
                  <w:rFonts w:ascii="Arial" w:cs="Arial" w:eastAsia="Arial" w:hAnsi="Arial"/>
                  <w:sz w:val="18"/>
                  <w:szCs w:val="18"/>
                  <w:color w:val="0000EE"/>
                  <w:w w:val="89"/>
                </w:rPr>
                <w:t>Registration Rights Agreement, dated as of November 17, 2017, among the Registrant and the other parties</w:t>
              </w:r>
            </w:hyperlink>
          </w:p>
        </w:tc>
        <w:tc>
          <w:tcPr>
            <w:tcW w:w="40" w:type="dxa"/>
            <w:vAlign w:val="bottom"/>
          </w:tcPr>
          <w:p>
            <w:pPr>
              <w:spacing w:after="0"/>
              <w:rPr>
                <w:sz w:val="24"/>
                <w:szCs w:val="24"/>
                <w:color w:val="auto"/>
              </w:rPr>
            </w:pPr>
          </w:p>
        </w:tc>
      </w:tr>
      <w:tr>
        <w:trPr>
          <w:trHeight w:val="237"/>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11"/>
          </w:tcPr>
          <w:p>
            <w:pPr>
              <w:ind w:left="20"/>
              <w:spacing w:after="0"/>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thereto (incorporated by reference to Exhibit 4.3(a) to the Form S-1 filed August 24, 2018).</w:t>
              </w:r>
            </w:hyperlink>
          </w:p>
        </w:tc>
      </w:tr>
      <w:tr>
        <w:trPr>
          <w:trHeight w:val="391"/>
        </w:trPr>
        <w:tc>
          <w:tcPr>
            <w:tcW w:w="840" w:type="dxa"/>
            <w:vAlign w:val="bottom"/>
          </w:tcPr>
          <w:p>
            <w:pPr>
              <w:ind w:left="20"/>
              <w:spacing w:after="0"/>
              <w:rPr>
                <w:sz w:val="20"/>
                <w:szCs w:val="20"/>
                <w:color w:val="auto"/>
              </w:rPr>
            </w:pPr>
            <w:r>
              <w:rPr>
                <w:rFonts w:ascii="Arial" w:cs="Arial" w:eastAsia="Arial" w:hAnsi="Arial"/>
                <w:sz w:val="18"/>
                <w:szCs w:val="18"/>
                <w:color w:val="auto"/>
              </w:rPr>
              <w:t>4.3(b)</w:t>
            </w:r>
          </w:p>
        </w:tc>
        <w:tc>
          <w:tcPr>
            <w:tcW w:w="200" w:type="dxa"/>
            <w:vAlign w:val="bottom"/>
          </w:tcPr>
          <w:p>
            <w:pPr>
              <w:spacing w:after="0"/>
              <w:rPr>
                <w:sz w:val="24"/>
                <w:szCs w:val="24"/>
                <w:color w:val="auto"/>
              </w:rPr>
            </w:pPr>
          </w:p>
        </w:tc>
        <w:tc>
          <w:tcPr>
            <w:tcW w:w="7740" w:type="dxa"/>
            <w:vAlign w:val="bottom"/>
            <w:tcBorders>
              <w:bottom w:val="single" w:sz="8" w:color="0000EE"/>
            </w:tcBorders>
            <w:gridSpan w:val="10"/>
          </w:tcPr>
          <w:p>
            <w:pPr>
              <w:ind w:left="20"/>
              <w:spacing w:after="0"/>
              <w:rPr>
                <w:rFonts w:ascii="Arial" w:cs="Arial" w:eastAsia="Arial" w:hAnsi="Arial"/>
                <w:sz w:val="18"/>
                <w:szCs w:val="18"/>
                <w:color w:val="0000EE"/>
                <w:w w:val="89"/>
              </w:rPr>
            </w:pPr>
            <w:hyperlink r:id="rId212">
              <w:r>
                <w:rPr>
                  <w:rFonts w:ascii="Arial" w:cs="Arial" w:eastAsia="Arial" w:hAnsi="Arial"/>
                  <w:sz w:val="18"/>
                  <w:szCs w:val="18"/>
                  <w:color w:val="0000EE"/>
                  <w:w w:val="89"/>
                </w:rPr>
                <w:t>Registration Rights Agreement, dated as of November 17, 2017, among the Registrant and the other parties</w:t>
              </w:r>
            </w:hyperlink>
          </w:p>
        </w:tc>
        <w:tc>
          <w:tcPr>
            <w:tcW w:w="40" w:type="dxa"/>
            <w:vAlign w:val="bottom"/>
          </w:tcPr>
          <w:p>
            <w:pPr>
              <w:spacing w:after="0"/>
              <w:rPr>
                <w:sz w:val="24"/>
                <w:szCs w:val="24"/>
                <w:color w:val="auto"/>
              </w:rPr>
            </w:pPr>
          </w:p>
        </w:tc>
      </w:tr>
      <w:tr>
        <w:trPr>
          <w:trHeight w:val="236"/>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11"/>
          </w:tcPr>
          <w:p>
            <w:pPr>
              <w:ind w:left="20"/>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thereto (incorporated by reference to Exhibit 4.3(b) to the Form S-1 filed August 24, 2018).</w:t>
              </w:r>
            </w:hyperlink>
          </w:p>
        </w:tc>
      </w:tr>
      <w:tr>
        <w:trPr>
          <w:trHeight w:val="392"/>
        </w:trPr>
        <w:tc>
          <w:tcPr>
            <w:tcW w:w="840" w:type="dxa"/>
            <w:vAlign w:val="bottom"/>
          </w:tcPr>
          <w:p>
            <w:pPr>
              <w:ind w:left="20"/>
              <w:spacing w:after="0"/>
              <w:rPr>
                <w:sz w:val="20"/>
                <w:szCs w:val="20"/>
                <w:color w:val="auto"/>
              </w:rPr>
            </w:pPr>
            <w:r>
              <w:rPr>
                <w:rFonts w:ascii="Arial" w:cs="Arial" w:eastAsia="Arial" w:hAnsi="Arial"/>
                <w:sz w:val="18"/>
                <w:szCs w:val="18"/>
                <w:color w:val="auto"/>
              </w:rPr>
              <w:t>4.3(c)</w:t>
            </w:r>
          </w:p>
        </w:tc>
        <w:tc>
          <w:tcPr>
            <w:tcW w:w="200" w:type="dxa"/>
            <w:vAlign w:val="bottom"/>
          </w:tcPr>
          <w:p>
            <w:pPr>
              <w:spacing w:after="0"/>
              <w:rPr>
                <w:sz w:val="24"/>
                <w:szCs w:val="24"/>
                <w:color w:val="auto"/>
              </w:rPr>
            </w:pPr>
          </w:p>
        </w:tc>
        <w:tc>
          <w:tcPr>
            <w:tcW w:w="7740" w:type="dxa"/>
            <w:vAlign w:val="bottom"/>
            <w:tcBorders>
              <w:bottom w:val="single" w:sz="8" w:color="0000EE"/>
            </w:tcBorders>
            <w:gridSpan w:val="10"/>
          </w:tcPr>
          <w:p>
            <w:pPr>
              <w:ind w:left="20"/>
              <w:spacing w:after="0"/>
              <w:rPr>
                <w:rFonts w:ascii="Arial" w:cs="Arial" w:eastAsia="Arial" w:hAnsi="Arial"/>
                <w:sz w:val="18"/>
                <w:szCs w:val="18"/>
                <w:color w:val="0000EE"/>
                <w:w w:val="89"/>
              </w:rPr>
            </w:pPr>
            <w:hyperlink r:id="rId213">
              <w:r>
                <w:rPr>
                  <w:rFonts w:ascii="Arial" w:cs="Arial" w:eastAsia="Arial" w:hAnsi="Arial"/>
                  <w:sz w:val="18"/>
                  <w:szCs w:val="18"/>
                  <w:color w:val="0000EE"/>
                  <w:w w:val="89"/>
                </w:rPr>
                <w:t>Registration Rights Agreement, dated as of November 17, 2017, among the Registrant and the other parties</w:t>
              </w:r>
            </w:hyperlink>
          </w:p>
        </w:tc>
        <w:tc>
          <w:tcPr>
            <w:tcW w:w="40" w:type="dxa"/>
            <w:vAlign w:val="bottom"/>
          </w:tcPr>
          <w:p>
            <w:pPr>
              <w:spacing w:after="0"/>
              <w:rPr>
                <w:sz w:val="24"/>
                <w:szCs w:val="24"/>
                <w:color w:val="auto"/>
              </w:rPr>
            </w:pPr>
          </w:p>
        </w:tc>
      </w:tr>
      <w:tr>
        <w:trPr>
          <w:trHeight w:val="236"/>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11"/>
          </w:tcPr>
          <w:p>
            <w:pPr>
              <w:ind w:left="20"/>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thereto (incorporated by reference to Exhibit 4.3(c) to the Form S-1 filed August 24, 2018).</w:t>
              </w:r>
            </w:hyperlink>
          </w:p>
        </w:tc>
      </w:tr>
      <w:tr>
        <w:trPr>
          <w:trHeight w:val="608"/>
        </w:trPr>
        <w:tc>
          <w:tcPr>
            <w:tcW w:w="840" w:type="dxa"/>
            <w:vAlign w:val="bottom"/>
          </w:tcPr>
          <w:p>
            <w:pPr>
              <w:ind w:left="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7780" w:type="dxa"/>
            <w:vAlign w:val="bottom"/>
            <w:gridSpan w:val="11"/>
          </w:tcPr>
          <w:p>
            <w:pPr>
              <w:ind w:left="20"/>
              <w:spacing w:after="0"/>
              <w:rPr>
                <w:rFonts w:ascii="Arial" w:cs="Arial" w:eastAsia="Arial" w:hAnsi="Arial"/>
                <w:sz w:val="18"/>
                <w:szCs w:val="18"/>
                <w:color w:val="0000EE"/>
                <w:w w:val="90"/>
              </w:rPr>
            </w:pPr>
            <w:hyperlink w:anchor="page189">
              <w:r>
                <w:rPr>
                  <w:rFonts w:ascii="Arial" w:cs="Arial" w:eastAsia="Arial" w:hAnsi="Arial"/>
                  <w:sz w:val="18"/>
                  <w:szCs w:val="18"/>
                  <w:color w:val="0000EE"/>
                  <w:w w:val="90"/>
                </w:rPr>
                <w:t>Description of the registrant’s securities registered pursuant to section 12 of the Securities Exchange Act of</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4"/>
              </w:rPr>
            </w:pPr>
            <w:hyperlink w:anchor="page189">
              <w:r>
                <w:rPr>
                  <w:rFonts w:ascii="Arial" w:cs="Arial" w:eastAsia="Arial" w:hAnsi="Arial"/>
                  <w:sz w:val="18"/>
                  <w:szCs w:val="18"/>
                  <w:color w:val="0000EE"/>
                  <w:w w:val="84"/>
                </w:rPr>
                <w:t>1934.</w:t>
              </w:r>
            </w:hyperlink>
          </w:p>
        </w:tc>
        <w:tc>
          <w:tcPr>
            <w:tcW w:w="12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3" w:name="page184"/>
    <w:bookmarkEnd w:id="1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7880" w:type="dxa"/>
            <w:vAlign w:val="bottom"/>
            <w:gridSpan w:val="22"/>
          </w:tcPr>
          <w:p>
            <w:pPr>
              <w:ind w:left="20"/>
              <w:spacing w:after="0"/>
              <w:rPr>
                <w:rFonts w:ascii="Arial" w:cs="Arial" w:eastAsia="Arial" w:hAnsi="Arial"/>
                <w:sz w:val="18"/>
                <w:szCs w:val="18"/>
                <w:color w:val="0000EE"/>
                <w:w w:val="96"/>
              </w:rPr>
            </w:pPr>
            <w:hyperlink r:id="rId215">
              <w:r>
                <w:rPr>
                  <w:rFonts w:ascii="Arial" w:cs="Arial" w:eastAsia="Arial" w:hAnsi="Arial"/>
                  <w:sz w:val="18"/>
                  <w:szCs w:val="18"/>
                  <w:color w:val="0000EE"/>
                  <w:w w:val="96"/>
                </w:rPr>
                <w:t>License Agreement, dated as of August 20, 2015, by and between the Registrant and Memorial Sloan</w:t>
              </w:r>
            </w:hyperlink>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7880" w:type="dxa"/>
            <w:vAlign w:val="bottom"/>
            <w:gridSpan w:val="22"/>
          </w:tcPr>
          <w:p>
            <w:pPr>
              <w:ind w:left="20"/>
              <w:spacing w:after="0"/>
              <w:rPr>
                <w:rFonts w:ascii="Arial" w:cs="Arial" w:eastAsia="Arial" w:hAnsi="Arial"/>
                <w:sz w:val="18"/>
                <w:szCs w:val="18"/>
                <w:color w:val="0000EE"/>
                <w:w w:val="91"/>
              </w:rPr>
            </w:pPr>
            <w:hyperlink r:id="rId215">
              <w:r>
                <w:rPr>
                  <w:rFonts w:ascii="Arial" w:cs="Arial" w:eastAsia="Arial" w:hAnsi="Arial"/>
                  <w:sz w:val="18"/>
                  <w:szCs w:val="18"/>
                  <w:u w:val="single" w:color="auto"/>
                  <w:color w:val="0000EE"/>
                  <w:w w:val="91"/>
                </w:rPr>
                <w:t>Kettering Cancer Center (incorporated by reference to Exhibit 10.1 to the Form S-1 filed August 724, 2018)</w:t>
              </w:r>
              <w:r>
                <w:rPr>
                  <w:rFonts w:ascii="Arial" w:cs="Arial" w:eastAsia="Arial" w:hAnsi="Arial"/>
                  <w:sz w:val="18"/>
                  <w:szCs w:val="18"/>
                  <w:color w:val="0000EE"/>
                  <w:w w:val="91"/>
                </w:rPr>
                <w:t>.</w:t>
              </w:r>
            </w:hyperlink>
          </w:p>
        </w:tc>
      </w:tr>
      <w:tr>
        <w:trPr>
          <w:trHeight w:val="392"/>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7880" w:type="dxa"/>
            <w:vAlign w:val="bottom"/>
            <w:gridSpan w:val="22"/>
          </w:tcPr>
          <w:p>
            <w:pPr>
              <w:ind w:left="20"/>
              <w:spacing w:after="0"/>
              <w:rPr>
                <w:rFonts w:ascii="Arial" w:cs="Arial" w:eastAsia="Arial" w:hAnsi="Arial"/>
                <w:sz w:val="18"/>
                <w:szCs w:val="18"/>
                <w:color w:val="0000EE"/>
                <w:w w:val="93"/>
              </w:rPr>
            </w:pPr>
            <w:hyperlink r:id="rId216">
              <w:r>
                <w:rPr>
                  <w:rFonts w:ascii="Arial" w:cs="Arial" w:eastAsia="Arial" w:hAnsi="Arial"/>
                  <w:sz w:val="18"/>
                  <w:szCs w:val="18"/>
                  <w:color w:val="0000EE"/>
                  <w:w w:val="93"/>
                </w:rPr>
                <w:t>License Agreement, dated as of November 13, 2017, by and between the Registrant and Memorial Sloan</w:t>
              </w:r>
            </w:hyperlink>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7880" w:type="dxa"/>
            <w:vAlign w:val="bottom"/>
            <w:gridSpan w:val="22"/>
          </w:tcPr>
          <w:p>
            <w:pPr>
              <w:ind w:left="20"/>
              <w:spacing w:after="0"/>
              <w:rPr>
                <w:rFonts w:ascii="Arial" w:cs="Arial" w:eastAsia="Arial" w:hAnsi="Arial"/>
                <w:sz w:val="18"/>
                <w:szCs w:val="18"/>
                <w:u w:val="single" w:color="auto"/>
                <w:color w:val="0000EE"/>
                <w:w w:val="92"/>
              </w:rPr>
            </w:pPr>
            <w:hyperlink r:id="rId216">
              <w:r>
                <w:rPr>
                  <w:rFonts w:ascii="Arial" w:cs="Arial" w:eastAsia="Arial" w:hAnsi="Arial"/>
                  <w:sz w:val="18"/>
                  <w:szCs w:val="18"/>
                  <w:u w:val="single" w:color="auto"/>
                  <w:color w:val="0000EE"/>
                  <w:w w:val="92"/>
                </w:rPr>
                <w:t>Kettering Cancer Center (incorporated by reference to Exhibit 10.2 to the Form S-1 filed August 24, 2018).</w:t>
              </w:r>
            </w:hyperlink>
          </w:p>
        </w:tc>
      </w:tr>
      <w:tr>
        <w:trPr>
          <w:trHeight w:val="391"/>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7540" w:type="dxa"/>
            <w:vAlign w:val="bottom"/>
            <w:tcBorders>
              <w:bottom w:val="single" w:sz="8" w:color="0000EE"/>
            </w:tcBorders>
            <w:gridSpan w:val="15"/>
          </w:tcPr>
          <w:p>
            <w:pPr>
              <w:ind w:left="20"/>
              <w:spacing w:after="0"/>
              <w:rPr>
                <w:rFonts w:ascii="Arial" w:cs="Arial" w:eastAsia="Arial" w:hAnsi="Arial"/>
                <w:sz w:val="18"/>
                <w:szCs w:val="18"/>
                <w:color w:val="0000EE"/>
                <w:w w:val="89"/>
              </w:rPr>
            </w:pPr>
            <w:hyperlink r:id="rId217">
              <w:r>
                <w:rPr>
                  <w:rFonts w:ascii="Arial" w:cs="Arial" w:eastAsia="Arial" w:hAnsi="Arial"/>
                  <w:sz w:val="18"/>
                  <w:szCs w:val="18"/>
                  <w:color w:val="0000EE"/>
                  <w:w w:val="89"/>
                </w:rPr>
                <w:t>Sponsored Research Agreement, effective as of November 10, 2015, by and between the Registrant and</w:t>
              </w:r>
            </w:hyperlink>
          </w:p>
        </w:tc>
        <w:tc>
          <w:tcPr>
            <w:tcW w:w="34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740" w:type="dxa"/>
            <w:vAlign w:val="bottom"/>
            <w:tcBorders>
              <w:bottom w:val="single" w:sz="8" w:color="0000EE"/>
            </w:tcBorders>
            <w:gridSpan w:val="19"/>
          </w:tcPr>
          <w:p>
            <w:pPr>
              <w:ind w:left="20"/>
              <w:spacing w:after="0" w:line="196"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Memorial Sloan Kettering Cancer Center Registrant (incorporated by reference to Exhibit 10.3 to the Form</w:t>
              </w:r>
            </w:hyperlink>
          </w:p>
        </w:tc>
        <w:tc>
          <w:tcPr>
            <w:tcW w:w="14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98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S-1 filed August 24, 2018).</w:t>
              </w:r>
            </w:hyperlink>
          </w:p>
        </w:tc>
        <w:tc>
          <w:tcPr>
            <w:tcW w:w="5900" w:type="dxa"/>
            <w:vAlign w:val="bottom"/>
            <w:gridSpan w:val="20"/>
          </w:tcPr>
          <w:p>
            <w:pPr>
              <w:spacing w:after="0"/>
              <w:rPr>
                <w:sz w:val="17"/>
                <w:szCs w:val="17"/>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7880" w:type="dxa"/>
            <w:vAlign w:val="bottom"/>
            <w:gridSpan w:val="22"/>
          </w:tcPr>
          <w:p>
            <w:pPr>
              <w:ind w:left="20"/>
              <w:spacing w:after="0"/>
              <w:rPr>
                <w:rFonts w:ascii="Arial" w:cs="Arial" w:eastAsia="Arial" w:hAnsi="Arial"/>
                <w:sz w:val="18"/>
                <w:szCs w:val="18"/>
                <w:color w:val="0000EE"/>
                <w:w w:val="92"/>
              </w:rPr>
            </w:pPr>
            <w:hyperlink r:id="rId218">
              <w:r>
                <w:rPr>
                  <w:rFonts w:ascii="Arial" w:cs="Arial" w:eastAsia="Arial" w:hAnsi="Arial"/>
                  <w:sz w:val="18"/>
                  <w:szCs w:val="18"/>
                  <w:color w:val="0000EE"/>
                  <w:w w:val="92"/>
                </w:rPr>
                <w:t>Sponsored Research Agreement, dated November 13, 2017, by and between the Registrant and Memorial</w:t>
              </w:r>
            </w:hyperlink>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880" w:type="dxa"/>
            <w:vAlign w:val="bottom"/>
            <w:gridSpan w:val="22"/>
          </w:tcPr>
          <w:p>
            <w:pPr>
              <w:ind w:left="20"/>
              <w:spacing w:after="0" w:line="196" w:lineRule="exact"/>
              <w:rPr>
                <w:rFonts w:ascii="Arial" w:cs="Arial" w:eastAsia="Arial" w:hAnsi="Arial"/>
                <w:sz w:val="18"/>
                <w:szCs w:val="18"/>
                <w:color w:val="0000EE"/>
                <w:w w:val="93"/>
              </w:rPr>
            </w:pPr>
            <w:hyperlink r:id="rId218">
              <w:r>
                <w:rPr>
                  <w:rFonts w:ascii="Arial" w:cs="Arial" w:eastAsia="Arial" w:hAnsi="Arial"/>
                  <w:sz w:val="18"/>
                  <w:szCs w:val="18"/>
                  <w:color w:val="0000EE"/>
                  <w:w w:val="93"/>
                </w:rPr>
                <w:t>Sloan Kettering Cancer Center (incorporated by reference to Exhibit 10.4 to the Form S-1 filed August 24,</w:t>
              </w:r>
            </w:hyperlink>
          </w:p>
        </w:tc>
      </w:tr>
      <w:tr>
        <w:trPr>
          <w:trHeight w:val="196"/>
        </w:trPr>
        <w:tc>
          <w:tcPr>
            <w:tcW w:w="10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18">
              <w:r>
                <w:rPr>
                  <w:rFonts w:ascii="Arial" w:cs="Arial" w:eastAsia="Arial" w:hAnsi="Arial"/>
                  <w:sz w:val="18"/>
                  <w:szCs w:val="18"/>
                  <w:color w:val="0000EE"/>
                  <w:w w:val="86"/>
                </w:rPr>
                <w:t>2018).</w:t>
              </w:r>
            </w:hyperlink>
          </w:p>
        </w:tc>
        <w:tc>
          <w:tcPr>
            <w:tcW w:w="15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7800" w:type="dxa"/>
            <w:vAlign w:val="bottom"/>
            <w:tcBorders>
              <w:bottom w:val="single" w:sz="8" w:color="0000EE"/>
            </w:tcBorders>
            <w:gridSpan w:val="21"/>
          </w:tcPr>
          <w:p>
            <w:pPr>
              <w:ind w:left="20"/>
              <w:spacing w:after="0"/>
              <w:rPr>
                <w:rFonts w:ascii="Arial" w:cs="Arial" w:eastAsia="Arial" w:hAnsi="Arial"/>
                <w:sz w:val="18"/>
                <w:szCs w:val="18"/>
                <w:color w:val="0000EE"/>
                <w:w w:val="89"/>
              </w:rPr>
            </w:pPr>
            <w:hyperlink r:id="rId219">
              <w:r>
                <w:rPr>
                  <w:rFonts w:ascii="Arial" w:cs="Arial" w:eastAsia="Arial" w:hAnsi="Arial"/>
                  <w:sz w:val="18"/>
                  <w:szCs w:val="18"/>
                  <w:color w:val="0000EE"/>
                  <w:w w:val="89"/>
                </w:rPr>
                <w:t>Investigator-Sponsored Master Clinical Trial Agreement, dated as of June 21, 2017, as amended on October</w:t>
              </w:r>
            </w:hyperlink>
          </w:p>
        </w:tc>
        <w:tc>
          <w:tcPr>
            <w:tcW w:w="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48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11, 2017, by and between the Registrant and Memorial Sloan Kettering Cancer Center (incorporated by</w:t>
              </w:r>
            </w:hyperlink>
          </w:p>
        </w:tc>
        <w:tc>
          <w:tcPr>
            <w:tcW w:w="4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70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reference to Exhibit 10.5 to the Form S-1 filed August 24, 2018).</w:t>
              </w:r>
            </w:hyperlink>
          </w:p>
        </w:tc>
        <w:tc>
          <w:tcPr>
            <w:tcW w:w="3180" w:type="dxa"/>
            <w:vAlign w:val="bottom"/>
            <w:gridSpan w:val="17"/>
          </w:tcPr>
          <w:p>
            <w:pPr>
              <w:spacing w:after="0"/>
              <w:rPr>
                <w:sz w:val="17"/>
                <w:szCs w:val="17"/>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7780" w:type="dxa"/>
            <w:vAlign w:val="bottom"/>
            <w:tcBorders>
              <w:bottom w:val="single" w:sz="8" w:color="0000EE"/>
            </w:tcBorders>
            <w:gridSpan w:val="20"/>
          </w:tcPr>
          <w:p>
            <w:pPr>
              <w:ind w:left="20"/>
              <w:spacing w:after="0"/>
              <w:rPr>
                <w:rFonts w:ascii="Arial" w:cs="Arial" w:eastAsia="Arial" w:hAnsi="Arial"/>
                <w:sz w:val="18"/>
                <w:szCs w:val="18"/>
                <w:color w:val="0000EE"/>
                <w:w w:val="88"/>
              </w:rPr>
            </w:pPr>
            <w:hyperlink r:id="rId220">
              <w:r>
                <w:rPr>
                  <w:rFonts w:ascii="Arial" w:cs="Arial" w:eastAsia="Arial" w:hAnsi="Arial"/>
                  <w:sz w:val="18"/>
                  <w:szCs w:val="18"/>
                  <w:color w:val="0000EE"/>
                  <w:w w:val="88"/>
                </w:rPr>
                <w:t>Master Data Services Agreement, dated as of September 23, 2016, as amended on October 11, 2017, by and</w:t>
              </w:r>
            </w:hyperlink>
          </w:p>
        </w:tc>
        <w:tc>
          <w:tcPr>
            <w:tcW w:w="10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880" w:type="dxa"/>
            <w:vAlign w:val="bottom"/>
            <w:gridSpan w:val="22"/>
          </w:tcPr>
          <w:p>
            <w:pPr>
              <w:ind w:left="20"/>
              <w:spacing w:after="0" w:line="196"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between the Registrant and Memorial Sloan Kettering Cancer Center (incorporated by reference to Exhibit</w:t>
              </w:r>
            </w:hyperlink>
          </w:p>
        </w:tc>
      </w:tr>
      <w:tr>
        <w:trPr>
          <w:trHeight w:val="196"/>
        </w:trPr>
        <w:tc>
          <w:tcPr>
            <w:tcW w:w="1040" w:type="dxa"/>
            <w:vAlign w:val="bottom"/>
          </w:tcPr>
          <w:p>
            <w:pPr>
              <w:spacing w:after="0"/>
              <w:rPr>
                <w:sz w:val="17"/>
                <w:szCs w:val="17"/>
                <w:color w:val="auto"/>
              </w:rPr>
            </w:pPr>
          </w:p>
        </w:tc>
        <w:tc>
          <w:tcPr>
            <w:tcW w:w="768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10.</w:t>
              </w:r>
              <w:r>
                <w:rPr>
                  <w:rFonts w:ascii="Arial" w:cs="Arial" w:eastAsia="Arial" w:hAnsi="Arial"/>
                  <w:sz w:val="18"/>
                  <w:szCs w:val="18"/>
                  <w:u w:val="single" w:color="auto"/>
                  <w:color w:val="0000EE"/>
                </w:rPr>
                <w:t>6</w:t>
              </w:r>
              <w:r>
                <w:rPr>
                  <w:rFonts w:ascii="Arial" w:cs="Arial" w:eastAsia="Arial" w:hAnsi="Arial"/>
                  <w:sz w:val="18"/>
                  <w:szCs w:val="18"/>
                  <w:color w:val="0000EE"/>
                </w:rPr>
                <w:t xml:space="preserve"> to the Form S-1 filed August 24, 2018).</w:t>
              </w:r>
            </w:hyperlink>
          </w:p>
        </w:tc>
        <w:tc>
          <w:tcPr>
            <w:tcW w:w="20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7740" w:type="dxa"/>
            <w:vAlign w:val="bottom"/>
            <w:tcBorders>
              <w:bottom w:val="single" w:sz="8" w:color="0000EE"/>
            </w:tcBorders>
            <w:gridSpan w:val="19"/>
          </w:tcPr>
          <w:p>
            <w:pPr>
              <w:ind w:left="20"/>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Amended and Restated 2015 Equity Incentive Plan (incorporated by reference to Exhibit 10.7 to the Form</w:t>
              </w:r>
            </w:hyperlink>
          </w:p>
        </w:tc>
        <w:tc>
          <w:tcPr>
            <w:tcW w:w="1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98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S-1 filed August 24, 2018).</w:t>
              </w:r>
            </w:hyperlink>
          </w:p>
        </w:tc>
        <w:tc>
          <w:tcPr>
            <w:tcW w:w="5900" w:type="dxa"/>
            <w:vAlign w:val="bottom"/>
            <w:gridSpan w:val="20"/>
          </w:tcPr>
          <w:p>
            <w:pPr>
              <w:spacing w:after="0"/>
              <w:rPr>
                <w:sz w:val="17"/>
                <w:szCs w:val="17"/>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7320" w:type="dxa"/>
            <w:vAlign w:val="bottom"/>
            <w:tcBorders>
              <w:bottom w:val="single" w:sz="8" w:color="0000EE"/>
            </w:tcBorders>
            <w:gridSpan w:val="10"/>
          </w:tcPr>
          <w:p>
            <w:pPr>
              <w:ind w:left="20"/>
              <w:spacing w:after="0"/>
              <w:rPr>
                <w:rFonts w:ascii="Arial" w:cs="Arial" w:eastAsia="Arial" w:hAnsi="Arial"/>
                <w:sz w:val="18"/>
                <w:szCs w:val="18"/>
                <w:color w:val="0000EE"/>
                <w:w w:val="91"/>
              </w:rPr>
            </w:pPr>
            <w:hyperlink r:id="rId222">
              <w:r>
                <w:rPr>
                  <w:rFonts w:ascii="Arial" w:cs="Arial" w:eastAsia="Arial" w:hAnsi="Arial"/>
                  <w:sz w:val="18"/>
                  <w:szCs w:val="18"/>
                  <w:color w:val="0000EE"/>
                  <w:w w:val="91"/>
                </w:rPr>
                <w:t>Form of Notice of Grant and Stock Option Agreement under the Amended and Restated 2015 Equity</w:t>
              </w:r>
            </w:hyperlink>
          </w:p>
        </w:tc>
        <w:tc>
          <w:tcPr>
            <w:tcW w:w="560" w:type="dxa"/>
            <w:vAlign w:val="bottom"/>
            <w:gridSpan w:val="12"/>
          </w:tcPr>
          <w:p>
            <w:pPr>
              <w:spacing w:after="0"/>
              <w:rPr>
                <w:sz w:val="24"/>
                <w:szCs w:val="24"/>
                <w:color w:val="auto"/>
              </w:rPr>
            </w:pPr>
          </w:p>
        </w:tc>
      </w:tr>
      <w:tr>
        <w:trPr>
          <w:trHeight w:val="237"/>
        </w:trPr>
        <w:tc>
          <w:tcPr>
            <w:tcW w:w="1040" w:type="dxa"/>
            <w:vAlign w:val="bottom"/>
          </w:tcPr>
          <w:p>
            <w:pPr>
              <w:spacing w:after="0"/>
              <w:rPr>
                <w:sz w:val="20"/>
                <w:szCs w:val="20"/>
                <w:color w:val="auto"/>
              </w:rPr>
            </w:pPr>
          </w:p>
        </w:tc>
        <w:tc>
          <w:tcPr>
            <w:tcW w:w="7880" w:type="dxa"/>
            <w:vAlign w:val="bottom"/>
            <w:gridSpan w:val="22"/>
          </w:tcPr>
          <w:p>
            <w:pPr>
              <w:ind w:left="20"/>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Incentive Plan (incorporated by reference to Exhibit 10.8 to the Form S-1 filed August 24, 2018).</w:t>
              </w:r>
            </w:hyperlink>
          </w:p>
        </w:tc>
      </w:tr>
      <w:tr>
        <w:trPr>
          <w:trHeight w:val="392"/>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7880" w:type="dxa"/>
            <w:vAlign w:val="bottom"/>
            <w:gridSpan w:val="22"/>
          </w:tcPr>
          <w:p>
            <w:pPr>
              <w:ind w:left="20"/>
              <w:spacing w:after="0"/>
              <w:rPr>
                <w:rFonts w:ascii="Arial" w:cs="Arial" w:eastAsia="Arial" w:hAnsi="Arial"/>
                <w:sz w:val="18"/>
                <w:szCs w:val="18"/>
                <w:color w:val="0000EE"/>
                <w:w w:val="97"/>
              </w:rPr>
            </w:pPr>
            <w:hyperlink r:id="rId223">
              <w:r>
                <w:rPr>
                  <w:rFonts w:ascii="Arial" w:cs="Arial" w:eastAsia="Arial" w:hAnsi="Arial"/>
                  <w:sz w:val="18"/>
                  <w:szCs w:val="18"/>
                  <w:color w:val="0000EE"/>
                  <w:w w:val="97"/>
                </w:rPr>
                <w:t>2018 Equity Incentive Plan (incorporated by reference to Exhibit 10.9 to the Form S-1 filed August 24,</w:t>
              </w:r>
            </w:hyperlink>
          </w:p>
        </w:tc>
      </w:tr>
      <w:tr>
        <w:trPr>
          <w:trHeight w:val="196"/>
        </w:trPr>
        <w:tc>
          <w:tcPr>
            <w:tcW w:w="10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23">
              <w:r>
                <w:rPr>
                  <w:rFonts w:ascii="Arial" w:cs="Arial" w:eastAsia="Arial" w:hAnsi="Arial"/>
                  <w:sz w:val="18"/>
                  <w:szCs w:val="18"/>
                  <w:color w:val="0000EE"/>
                  <w:w w:val="86"/>
                </w:rPr>
                <w:t>2018).</w:t>
              </w:r>
            </w:hyperlink>
          </w:p>
        </w:tc>
        <w:tc>
          <w:tcPr>
            <w:tcW w:w="15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7460" w:type="dxa"/>
            <w:vAlign w:val="bottom"/>
            <w:tcBorders>
              <w:bottom w:val="single" w:sz="8" w:color="0000EE"/>
            </w:tcBorders>
            <w:gridSpan w:val="13"/>
          </w:tcPr>
          <w:p>
            <w:pPr>
              <w:ind w:left="20"/>
              <w:spacing w:after="0"/>
              <w:rPr>
                <w:rFonts w:ascii="Arial" w:cs="Arial" w:eastAsia="Arial" w:hAnsi="Arial"/>
                <w:sz w:val="18"/>
                <w:szCs w:val="18"/>
                <w:color w:val="0000EE"/>
                <w:w w:val="91"/>
              </w:rPr>
            </w:pPr>
            <w:hyperlink r:id="rId224">
              <w:r>
                <w:rPr>
                  <w:rFonts w:ascii="Arial" w:cs="Arial" w:eastAsia="Arial" w:hAnsi="Arial"/>
                  <w:sz w:val="18"/>
                  <w:szCs w:val="18"/>
                  <w:color w:val="0000EE"/>
                  <w:w w:val="91"/>
                </w:rPr>
                <w:t>Form of Stock Option Grant Notice and Stock Option Agreement under the 2018 Equity Incentive Plan</w:t>
              </w:r>
            </w:hyperlink>
          </w:p>
        </w:tc>
        <w:tc>
          <w:tcPr>
            <w:tcW w:w="42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880" w:type="dxa"/>
            <w:vAlign w:val="bottom"/>
            <w:gridSpan w:val="22"/>
          </w:tcPr>
          <w:p>
            <w:pPr>
              <w:ind w:left="20"/>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(incorporated by reference to Exhibit 10.10 to the Form S-1 filed August 24, 2018).</w:t>
              </w:r>
            </w:hyperlink>
          </w:p>
        </w:tc>
      </w:tr>
      <w:tr>
        <w:trPr>
          <w:trHeight w:val="20"/>
        </w:trPr>
        <w:tc>
          <w:tcPr>
            <w:tcW w:w="104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7880" w:type="dxa"/>
            <w:vAlign w:val="bottom"/>
            <w:gridSpan w:val="22"/>
          </w:tcPr>
          <w:p>
            <w:pPr>
              <w:ind w:left="20"/>
              <w:spacing w:after="0"/>
              <w:rPr>
                <w:rFonts w:ascii="Arial" w:cs="Arial" w:eastAsia="Arial" w:hAnsi="Arial"/>
                <w:sz w:val="18"/>
                <w:szCs w:val="18"/>
                <w:color w:val="0000EE"/>
                <w:w w:val="94"/>
              </w:rPr>
            </w:pPr>
            <w:hyperlink r:id="rId225">
              <w:r>
                <w:rPr>
                  <w:rFonts w:ascii="Arial" w:cs="Arial" w:eastAsia="Arial" w:hAnsi="Arial"/>
                  <w:sz w:val="18"/>
                  <w:szCs w:val="18"/>
                  <w:color w:val="0000EE"/>
                  <w:w w:val="94"/>
                </w:rPr>
                <w:t>Form of Officers and Directors Indemnification Agreement (incorporated by reference to Exhibit 10.11 to</w:t>
              </w:r>
            </w:hyperlink>
          </w:p>
        </w:tc>
      </w:tr>
      <w:tr>
        <w:trPr>
          <w:trHeight w:val="196"/>
        </w:trPr>
        <w:tc>
          <w:tcPr>
            <w:tcW w:w="10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the Form S-1 filed August 24, 2018).</w:t>
              </w:r>
            </w:hyperlink>
          </w:p>
        </w:tc>
        <w:tc>
          <w:tcPr>
            <w:tcW w:w="4940" w:type="dxa"/>
            <w:vAlign w:val="bottom"/>
            <w:tcBorders>
              <w:top w:val="single" w:sz="8" w:color="0000EE"/>
            </w:tcBorders>
            <w:gridSpan w:val="13"/>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7720" w:type="dxa"/>
            <w:vAlign w:val="bottom"/>
            <w:tcBorders>
              <w:bottom w:val="single" w:sz="8" w:color="0000EE"/>
            </w:tcBorders>
            <w:gridSpan w:val="18"/>
          </w:tcPr>
          <w:p>
            <w:pPr>
              <w:ind w:left="20"/>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Service Agreement, effective as of April 1, 2016 between the Registrant and Thomas Gad (incorporated by</w:t>
              </w:r>
            </w:hyperlink>
          </w:p>
        </w:tc>
        <w:tc>
          <w:tcPr>
            <w:tcW w:w="16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880" w:type="dxa"/>
            <w:vAlign w:val="bottom"/>
            <w:gridSpan w:val="22"/>
          </w:tcPr>
          <w:p>
            <w:pPr>
              <w:ind w:left="20"/>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reference to Exhibit 10.12 to the Form S-1 filed August 24, 2018).</w:t>
              </w:r>
            </w:hyperlink>
          </w:p>
        </w:tc>
      </w:tr>
      <w:tr>
        <w:trPr>
          <w:trHeight w:val="20"/>
        </w:trPr>
        <w:tc>
          <w:tcPr>
            <w:tcW w:w="1040" w:type="dxa"/>
            <w:vAlign w:val="bottom"/>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7880" w:type="dxa"/>
            <w:vAlign w:val="bottom"/>
            <w:gridSpan w:val="22"/>
          </w:tcPr>
          <w:p>
            <w:pPr>
              <w:ind w:left="20"/>
              <w:spacing w:after="0"/>
              <w:rPr>
                <w:rFonts w:ascii="Arial" w:cs="Arial" w:eastAsia="Arial" w:hAnsi="Arial"/>
                <w:sz w:val="18"/>
                <w:szCs w:val="18"/>
                <w:color w:val="0000EE"/>
                <w:w w:val="93"/>
              </w:rPr>
            </w:pPr>
            <w:hyperlink r:id="rId227">
              <w:r>
                <w:rPr>
                  <w:rFonts w:ascii="Arial" w:cs="Arial" w:eastAsia="Arial" w:hAnsi="Arial"/>
                  <w:sz w:val="18"/>
                  <w:szCs w:val="18"/>
                  <w:color w:val="0000EE"/>
                  <w:w w:val="93"/>
                </w:rPr>
                <w:t>Service Agreement, effective as of March 1, 2016 between the Registrant and Dr. Claus Juan Møller San</w:t>
              </w:r>
            </w:hyperlink>
          </w:p>
        </w:tc>
      </w:tr>
      <w:tr>
        <w:trPr>
          <w:trHeight w:val="237"/>
        </w:trPr>
        <w:tc>
          <w:tcPr>
            <w:tcW w:w="1040" w:type="dxa"/>
            <w:vAlign w:val="bottom"/>
          </w:tcPr>
          <w:p>
            <w:pPr>
              <w:spacing w:after="0"/>
              <w:rPr>
                <w:sz w:val="20"/>
                <w:szCs w:val="20"/>
                <w:color w:val="auto"/>
              </w:rPr>
            </w:pPr>
          </w:p>
        </w:tc>
        <w:tc>
          <w:tcPr>
            <w:tcW w:w="7540" w:type="dxa"/>
            <w:vAlign w:val="bottom"/>
            <w:tcBorders>
              <w:top w:val="single" w:sz="8" w:color="0000EE"/>
            </w:tcBorders>
            <w:gridSpan w:val="15"/>
          </w:tcPr>
          <w:p>
            <w:pPr>
              <w:ind w:left="20"/>
              <w:spacing w:after="0"/>
              <w:rPr>
                <w:rFonts w:ascii="Arial" w:cs="Arial" w:eastAsia="Arial" w:hAnsi="Arial"/>
                <w:sz w:val="18"/>
                <w:szCs w:val="18"/>
                <w:u w:val="single" w:color="auto"/>
                <w:color w:val="0000EE"/>
                <w:w w:val="92"/>
              </w:rPr>
            </w:pPr>
            <w:hyperlink r:id="rId227">
              <w:r>
                <w:rPr>
                  <w:rFonts w:ascii="Arial" w:cs="Arial" w:eastAsia="Arial" w:hAnsi="Arial"/>
                  <w:sz w:val="18"/>
                  <w:szCs w:val="18"/>
                  <w:u w:val="single" w:color="auto"/>
                  <w:color w:val="0000EE"/>
                  <w:w w:val="92"/>
                </w:rPr>
                <w:t>Pedro, M.D., Ph.D. (incorporated by reference to Exhibit 10.13 to the Form S-1 filed August 24, 2018).</w:t>
              </w:r>
            </w:hyperlink>
          </w:p>
        </w:tc>
        <w:tc>
          <w:tcPr>
            <w:tcW w:w="340" w:type="dxa"/>
            <w:vAlign w:val="bottom"/>
            <w:gridSpan w:val="7"/>
          </w:tcPr>
          <w:p>
            <w:pPr>
              <w:spacing w:after="0"/>
              <w:rPr>
                <w:sz w:val="20"/>
                <w:szCs w:val="20"/>
                <w:color w:val="auto"/>
              </w:rPr>
            </w:pPr>
          </w:p>
        </w:tc>
      </w:tr>
      <w:tr>
        <w:trPr>
          <w:trHeight w:val="391"/>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734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r:id="rId228">
              <w:r>
                <w:rPr>
                  <w:rFonts w:ascii="Arial" w:cs="Arial" w:eastAsia="Arial" w:hAnsi="Arial"/>
                  <w:sz w:val="18"/>
                  <w:szCs w:val="18"/>
                  <w:color w:val="0000EE"/>
                  <w:w w:val="90"/>
                </w:rPr>
                <w:t>Service Agreement, effective as of October 1, 2016 between Y-mAbs Therapeutics A/S and Bo Kruse</w:t>
              </w:r>
            </w:hyperlink>
          </w:p>
        </w:tc>
        <w:tc>
          <w:tcPr>
            <w:tcW w:w="540" w:type="dxa"/>
            <w:vAlign w:val="bottom"/>
            <w:gridSpan w:val="11"/>
          </w:tcPr>
          <w:p>
            <w:pPr>
              <w:spacing w:after="0"/>
              <w:rPr>
                <w:sz w:val="24"/>
                <w:szCs w:val="24"/>
                <w:color w:val="auto"/>
              </w:rPr>
            </w:pPr>
          </w:p>
        </w:tc>
      </w:tr>
      <w:tr>
        <w:trPr>
          <w:trHeight w:val="237"/>
        </w:trPr>
        <w:tc>
          <w:tcPr>
            <w:tcW w:w="1040" w:type="dxa"/>
            <w:vAlign w:val="bottom"/>
          </w:tcPr>
          <w:p>
            <w:pPr>
              <w:spacing w:after="0"/>
              <w:rPr>
                <w:sz w:val="20"/>
                <w:szCs w:val="20"/>
                <w:color w:val="auto"/>
              </w:rPr>
            </w:pPr>
          </w:p>
        </w:tc>
        <w:tc>
          <w:tcPr>
            <w:tcW w:w="7880" w:type="dxa"/>
            <w:vAlign w:val="bottom"/>
            <w:gridSpan w:val="22"/>
          </w:tcPr>
          <w:p>
            <w:pPr>
              <w:ind w:left="20"/>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(incorporated by reference to Exhibit 10.14 to the Form S-1 filed August 24, 2018).</w:t>
              </w:r>
            </w:hyperlink>
          </w:p>
        </w:tc>
      </w:tr>
      <w:tr>
        <w:trPr>
          <w:trHeight w:val="391"/>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720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r:id="rId229">
              <w:r>
                <w:rPr>
                  <w:rFonts w:ascii="Arial" w:cs="Arial" w:eastAsia="Arial" w:hAnsi="Arial"/>
                  <w:sz w:val="18"/>
                  <w:szCs w:val="18"/>
                  <w:color w:val="0000EE"/>
                  <w:w w:val="90"/>
                </w:rPr>
                <w:t>Lease Agreement dated January 10, 2018, by and between the Registrant and RXR HB Owner LLC</w:t>
              </w:r>
            </w:hyperlink>
          </w:p>
        </w:tc>
        <w:tc>
          <w:tcPr>
            <w:tcW w:w="680" w:type="dxa"/>
            <w:vAlign w:val="bottom"/>
            <w:gridSpan w:val="14"/>
          </w:tcPr>
          <w:p>
            <w:pPr>
              <w:spacing w:after="0"/>
              <w:rPr>
                <w:sz w:val="24"/>
                <w:szCs w:val="24"/>
                <w:color w:val="auto"/>
              </w:rPr>
            </w:pPr>
          </w:p>
        </w:tc>
      </w:tr>
      <w:tr>
        <w:trPr>
          <w:trHeight w:val="236"/>
        </w:trPr>
        <w:tc>
          <w:tcPr>
            <w:tcW w:w="1040" w:type="dxa"/>
            <w:vAlign w:val="bottom"/>
          </w:tcPr>
          <w:p>
            <w:pPr>
              <w:spacing w:after="0"/>
              <w:rPr>
                <w:sz w:val="20"/>
                <w:szCs w:val="20"/>
                <w:color w:val="auto"/>
              </w:rPr>
            </w:pPr>
          </w:p>
        </w:tc>
        <w:tc>
          <w:tcPr>
            <w:tcW w:w="7880" w:type="dxa"/>
            <w:vAlign w:val="bottom"/>
            <w:gridSpan w:val="22"/>
          </w:tcPr>
          <w:p>
            <w:pPr>
              <w:ind w:left="20"/>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(incorporated by reference to Exhibit 10.15 to the Form S-1 filed August 24, 2018).</w:t>
              </w:r>
            </w:hyperlink>
          </w:p>
        </w:tc>
      </w:tr>
      <w:tr>
        <w:trPr>
          <w:trHeight w:val="864"/>
        </w:trPr>
        <w:tc>
          <w:tcPr>
            <w:tcW w:w="1040" w:type="dxa"/>
            <w:vAlign w:val="bottom"/>
          </w:tcPr>
          <w:p>
            <w:pPr>
              <w:spacing w:after="0"/>
              <w:rPr>
                <w:sz w:val="24"/>
                <w:szCs w:val="24"/>
                <w:color w:val="auto"/>
              </w:rPr>
            </w:pPr>
          </w:p>
        </w:tc>
        <w:tc>
          <w:tcPr>
            <w:tcW w:w="4700" w:type="dxa"/>
            <w:vAlign w:val="bottom"/>
            <w:gridSpan w:val="5"/>
          </w:tcPr>
          <w:p>
            <w:pPr>
              <w:ind w:left="328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0"/>
        </w:trPr>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4" w:name="page185"/>
    <w:bookmarkEnd w:id="1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7860" w:type="dxa"/>
            <w:vAlign w:val="bottom"/>
            <w:tcBorders>
              <w:bottom w:val="single" w:sz="8" w:color="0000EE"/>
            </w:tcBorders>
            <w:gridSpan w:val="23"/>
          </w:tcPr>
          <w:p>
            <w:pPr>
              <w:ind w:left="20"/>
              <w:spacing w:after="0"/>
              <w:rPr>
                <w:rFonts w:ascii="Arial" w:cs="Arial" w:eastAsia="Arial" w:hAnsi="Arial"/>
                <w:sz w:val="18"/>
                <w:szCs w:val="18"/>
                <w:color w:val="0000EE"/>
                <w:w w:val="90"/>
              </w:rPr>
            </w:pPr>
            <w:hyperlink r:id="rId230">
              <w:r>
                <w:rPr>
                  <w:rFonts w:ascii="Arial" w:cs="Arial" w:eastAsia="Arial" w:hAnsi="Arial"/>
                  <w:sz w:val="18"/>
                  <w:szCs w:val="18"/>
                  <w:color w:val="0000EE"/>
                  <w:w w:val="90"/>
                </w:rPr>
                <w:t>Form of Restricted Stock Award Grant Notice and Restricted Stock Award Agreement under the 2018 Equity</w:t>
              </w:r>
            </w:hyperlink>
          </w:p>
        </w:tc>
      </w:tr>
      <w:tr>
        <w:trPr>
          <w:trHeight w:val="237"/>
        </w:trPr>
        <w:tc>
          <w:tcPr>
            <w:tcW w:w="1020" w:type="dxa"/>
            <w:vAlign w:val="bottom"/>
          </w:tcPr>
          <w:p>
            <w:pPr>
              <w:spacing w:after="0"/>
              <w:rPr>
                <w:sz w:val="20"/>
                <w:szCs w:val="20"/>
                <w:color w:val="auto"/>
              </w:rPr>
            </w:pPr>
          </w:p>
        </w:tc>
        <w:tc>
          <w:tcPr>
            <w:tcW w:w="7860" w:type="dxa"/>
            <w:vAlign w:val="bottom"/>
            <w:gridSpan w:val="23"/>
          </w:tcPr>
          <w:p>
            <w:pPr>
              <w:ind w:left="20"/>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Incentive Plan (incorporated by reference to Exhibit 10.16 to the Form S-1 filed August 24, 2018).</w:t>
              </w:r>
            </w:hyperlink>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7860" w:type="dxa"/>
            <w:vAlign w:val="bottom"/>
            <w:gridSpan w:val="23"/>
          </w:tcPr>
          <w:p>
            <w:pPr>
              <w:ind w:left="20"/>
              <w:spacing w:after="0"/>
              <w:rPr>
                <w:rFonts w:ascii="Arial" w:cs="Arial" w:eastAsia="Arial" w:hAnsi="Arial"/>
                <w:sz w:val="18"/>
                <w:szCs w:val="18"/>
                <w:color w:val="0000EE"/>
                <w:w w:val="93"/>
              </w:rPr>
            </w:pPr>
            <w:hyperlink r:id="rId231">
              <w:r>
                <w:rPr>
                  <w:rFonts w:ascii="Arial" w:cs="Arial" w:eastAsia="Arial" w:hAnsi="Arial"/>
                  <w:sz w:val="18"/>
                  <w:szCs w:val="18"/>
                  <w:color w:val="0000EE"/>
                  <w:w w:val="93"/>
                </w:rPr>
                <w:t>Form of Restricted Stock Unit Award Grant Notice and Restricted Stock Unit Award Agreement under the</w:t>
              </w:r>
            </w:hyperlink>
          </w:p>
        </w:tc>
      </w:tr>
      <w:tr>
        <w:trPr>
          <w:trHeight w:val="196"/>
        </w:trPr>
        <w:tc>
          <w:tcPr>
            <w:tcW w:w="1020" w:type="dxa"/>
            <w:vAlign w:val="bottom"/>
          </w:tcPr>
          <w:p>
            <w:pPr>
              <w:spacing w:after="0"/>
              <w:rPr>
                <w:sz w:val="17"/>
                <w:szCs w:val="17"/>
                <w:color w:val="auto"/>
              </w:rPr>
            </w:pPr>
          </w:p>
        </w:tc>
        <w:tc>
          <w:tcPr>
            <w:tcW w:w="7660" w:type="dxa"/>
            <w:vAlign w:val="bottom"/>
            <w:tcBorders>
              <w:top w:val="single" w:sz="8" w:color="0000EE"/>
            </w:tcBorders>
            <w:gridSpan w:val="16"/>
          </w:tcPr>
          <w:p>
            <w:pPr>
              <w:ind w:left="20"/>
              <w:spacing w:after="0" w:line="196" w:lineRule="exact"/>
              <w:rPr>
                <w:rFonts w:ascii="Arial" w:cs="Arial" w:eastAsia="Arial" w:hAnsi="Arial"/>
                <w:sz w:val="18"/>
                <w:szCs w:val="18"/>
                <w:color w:val="0000EE"/>
                <w:w w:val="93"/>
              </w:rPr>
            </w:pPr>
            <w:hyperlink r:id="rId231">
              <w:r>
                <w:rPr>
                  <w:rFonts w:ascii="Arial" w:cs="Arial" w:eastAsia="Arial" w:hAnsi="Arial"/>
                  <w:sz w:val="18"/>
                  <w:szCs w:val="18"/>
                  <w:color w:val="0000EE"/>
                  <w:w w:val="93"/>
                </w:rPr>
                <w:t>2018 Equity Incentive Plan (incorporated by reference to Exhibit 10.17 to the Form S-1 filed August 24,</w:t>
              </w:r>
            </w:hyperlink>
          </w:p>
        </w:tc>
        <w:tc>
          <w:tcPr>
            <w:tcW w:w="20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31">
              <w:r>
                <w:rPr>
                  <w:rFonts w:ascii="Arial" w:cs="Arial" w:eastAsia="Arial" w:hAnsi="Arial"/>
                  <w:sz w:val="18"/>
                  <w:szCs w:val="18"/>
                  <w:color w:val="0000EE"/>
                  <w:w w:val="86"/>
                </w:rPr>
                <w:t>2018).</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7700" w:type="dxa"/>
            <w:vAlign w:val="bottom"/>
            <w:tcBorders>
              <w:bottom w:val="single" w:sz="8" w:color="0000EE"/>
            </w:tcBorders>
            <w:gridSpan w:val="17"/>
          </w:tcPr>
          <w:p>
            <w:pPr>
              <w:ind w:left="20"/>
              <w:spacing w:after="0"/>
              <w:rPr>
                <w:rFonts w:ascii="Arial" w:cs="Arial" w:eastAsia="Arial" w:hAnsi="Arial"/>
                <w:sz w:val="18"/>
                <w:szCs w:val="18"/>
                <w:color w:val="0000EE"/>
                <w:w w:val="91"/>
              </w:rPr>
            </w:pPr>
            <w:hyperlink r:id="rId232">
              <w:r>
                <w:rPr>
                  <w:rFonts w:ascii="Arial" w:cs="Arial" w:eastAsia="Arial" w:hAnsi="Arial"/>
                  <w:sz w:val="18"/>
                  <w:szCs w:val="18"/>
                  <w:color w:val="0000EE"/>
                  <w:w w:val="91"/>
                </w:rPr>
                <w:t>Non-Employee Director Compensation Policy (incorporated by reference to Exhibit 10.18 to the Form S-1</w:t>
              </w:r>
            </w:hyperlink>
          </w:p>
        </w:tc>
        <w:tc>
          <w:tcPr>
            <w:tcW w:w="1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3"/>
          </w:tcPr>
          <w:p>
            <w:pPr>
              <w:ind w:left="20"/>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7860" w:type="dxa"/>
            <w:vAlign w:val="bottom"/>
            <w:gridSpan w:val="23"/>
          </w:tcPr>
          <w:p>
            <w:pPr>
              <w:ind w:left="20"/>
              <w:spacing w:after="0"/>
              <w:rPr>
                <w:rFonts w:ascii="Arial" w:cs="Arial" w:eastAsia="Arial" w:hAnsi="Arial"/>
                <w:sz w:val="18"/>
                <w:szCs w:val="18"/>
                <w:color w:val="0000EE"/>
                <w:w w:val="91"/>
              </w:rPr>
            </w:pPr>
            <w:hyperlink r:id="rId233">
              <w:r>
                <w:rPr>
                  <w:rFonts w:ascii="Arial" w:cs="Arial" w:eastAsia="Arial" w:hAnsi="Arial"/>
                  <w:sz w:val="18"/>
                  <w:szCs w:val="18"/>
                  <w:color w:val="0000EE"/>
                  <w:w w:val="91"/>
                </w:rPr>
                <w:t>Employee Stock Purchase Plan (incorporated by reference to Exhibit 10.19 to the Form S-1 filed August 24,</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33">
              <w:r>
                <w:rPr>
                  <w:rFonts w:ascii="Arial" w:cs="Arial" w:eastAsia="Arial" w:hAnsi="Arial"/>
                  <w:sz w:val="18"/>
                  <w:szCs w:val="18"/>
                  <w:color w:val="0000EE"/>
                  <w:w w:val="86"/>
                </w:rPr>
                <w:t>2018).</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7780" w:type="dxa"/>
            <w:vAlign w:val="bottom"/>
            <w:tcBorders>
              <w:bottom w:val="single" w:sz="8" w:color="0000EE"/>
            </w:tcBorders>
            <w:gridSpan w:val="20"/>
          </w:tcPr>
          <w:p>
            <w:pPr>
              <w:ind w:left="20"/>
              <w:spacing w:after="0"/>
              <w:rPr>
                <w:rFonts w:ascii="Arial" w:cs="Arial" w:eastAsia="Arial" w:hAnsi="Arial"/>
                <w:sz w:val="18"/>
                <w:szCs w:val="18"/>
                <w:color w:val="0000EE"/>
                <w:w w:val="88"/>
              </w:rPr>
            </w:pPr>
            <w:hyperlink r:id="rId234">
              <w:r>
                <w:rPr>
                  <w:rFonts w:ascii="Arial" w:cs="Arial" w:eastAsia="Arial" w:hAnsi="Arial"/>
                  <w:sz w:val="18"/>
                  <w:szCs w:val="18"/>
                  <w:color w:val="0000EE"/>
                  <w:w w:val="88"/>
                </w:rPr>
                <w:t>Amended and Restated Sponsored Research Agreement by and between the Registrant and Memorial Sloan</w:t>
              </w:r>
            </w:hyperlink>
          </w:p>
        </w:tc>
        <w:tc>
          <w:tcPr>
            <w:tcW w:w="8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20" w:type="dxa"/>
            <w:vAlign w:val="bottom"/>
            <w:tcBorders>
              <w:bottom w:val="single" w:sz="8" w:color="0000EE"/>
            </w:tcBorders>
            <w:gridSpan w:val="22"/>
          </w:tcPr>
          <w:p>
            <w:pPr>
              <w:ind w:left="20"/>
              <w:spacing w:after="0" w:line="196"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Kettering Cancer Center effective September 13, 2019 (incorporated by reference to Exhibit 10.1 to Form 8-</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3"/>
          </w:tcPr>
          <w:p>
            <w:pPr>
              <w:ind w:left="20"/>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K filed September 19, 2019).</w:t>
              </w:r>
            </w:hyperlink>
          </w:p>
        </w:tc>
      </w:tr>
      <w:tr>
        <w:trPr>
          <w:trHeight w:val="20"/>
        </w:trPr>
        <w:tc>
          <w:tcPr>
            <w:tcW w:w="102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7540" w:type="dxa"/>
            <w:vAlign w:val="bottom"/>
            <w:tcBorders>
              <w:bottom w:val="single" w:sz="8" w:color="0000EE"/>
            </w:tcBorders>
            <w:gridSpan w:val="13"/>
          </w:tcPr>
          <w:p>
            <w:pPr>
              <w:ind w:left="20"/>
              <w:spacing w:after="0"/>
              <w:rPr>
                <w:rFonts w:ascii="Arial" w:cs="Arial" w:eastAsia="Arial" w:hAnsi="Arial"/>
                <w:sz w:val="18"/>
                <w:szCs w:val="18"/>
                <w:color w:val="0000EE"/>
                <w:w w:val="90"/>
              </w:rPr>
            </w:pPr>
            <w:hyperlink r:id="rId235">
              <w:r>
                <w:rPr>
                  <w:rFonts w:ascii="Arial" w:cs="Arial" w:eastAsia="Arial" w:hAnsi="Arial"/>
                  <w:sz w:val="18"/>
                  <w:szCs w:val="18"/>
                  <w:color w:val="0000EE"/>
                  <w:w w:val="90"/>
                </w:rPr>
                <w:t>Sublicense Agreement by and between the Registrant and MabVax Therapeutics Holdings, Inc. effective</w:t>
              </w:r>
            </w:hyperlink>
          </w:p>
        </w:tc>
        <w:tc>
          <w:tcPr>
            <w:tcW w:w="320" w:type="dxa"/>
            <w:vAlign w:val="bottom"/>
            <w:gridSpan w:val="10"/>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7860" w:type="dxa"/>
            <w:vAlign w:val="bottom"/>
            <w:gridSpan w:val="23"/>
          </w:tcPr>
          <w:p>
            <w:pPr>
              <w:ind w:left="20"/>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June 28, 2018 (incorporated by reference to Exhibit 10.1 to Form 8-K filed December 19, 2019).</w:t>
              </w:r>
            </w:hyperlink>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7860" w:type="dxa"/>
            <w:vAlign w:val="bottom"/>
            <w:gridSpan w:val="23"/>
          </w:tcPr>
          <w:p>
            <w:pPr>
              <w:ind w:left="20"/>
              <w:spacing w:after="0"/>
              <w:rPr>
                <w:rFonts w:ascii="Arial" w:cs="Arial" w:eastAsia="Arial" w:hAnsi="Arial"/>
                <w:sz w:val="18"/>
                <w:szCs w:val="18"/>
                <w:color w:val="0000EE"/>
              </w:rPr>
            </w:pPr>
            <w:hyperlink r:id="rId236">
              <w:r>
                <w:rPr>
                  <w:rFonts w:ascii="Arial" w:cs="Arial" w:eastAsia="Arial" w:hAnsi="Arial"/>
                  <w:sz w:val="18"/>
                  <w:szCs w:val="18"/>
                  <w:color w:val="0000EE"/>
                </w:rPr>
                <w:t>Settlement and Assumption and Assignment Agreement of MSK License Agreement and Y-mAbs</w:t>
              </w:r>
            </w:hyperlink>
          </w:p>
        </w:tc>
      </w:tr>
      <w:tr>
        <w:trPr>
          <w:trHeight w:val="20"/>
        </w:trPr>
        <w:tc>
          <w:tcPr>
            <w:tcW w:w="102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3"/>
          </w:tcPr>
          <w:p>
            <w:pPr>
              <w:ind w:left="20"/>
              <w:spacing w:after="0" w:line="196" w:lineRule="exact"/>
              <w:rPr>
                <w:rFonts w:ascii="Arial" w:cs="Arial" w:eastAsia="Arial" w:hAnsi="Arial"/>
                <w:sz w:val="18"/>
                <w:szCs w:val="18"/>
                <w:color w:val="0000EE"/>
                <w:w w:val="99"/>
              </w:rPr>
            </w:pPr>
            <w:hyperlink r:id="rId236">
              <w:r>
                <w:rPr>
                  <w:rFonts w:ascii="Arial" w:cs="Arial" w:eastAsia="Arial" w:hAnsi="Arial"/>
                  <w:sz w:val="18"/>
                  <w:szCs w:val="18"/>
                  <w:color w:val="0000EE"/>
                  <w:w w:val="99"/>
                </w:rPr>
                <w:t>Sublicense Agreement by and among the Registrant, MabVax Therapeutics Holdings, Inc. MabVax</w:t>
              </w:r>
            </w:hyperlink>
          </w:p>
        </w:tc>
      </w:tr>
      <w:tr>
        <w:trPr>
          <w:trHeight w:val="196"/>
        </w:trPr>
        <w:tc>
          <w:tcPr>
            <w:tcW w:w="102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90"/>
              </w:rPr>
            </w:pPr>
            <w:hyperlink r:id="rId236">
              <w:r>
                <w:rPr>
                  <w:rFonts w:ascii="Arial" w:cs="Arial" w:eastAsia="Arial" w:hAnsi="Arial"/>
                  <w:sz w:val="18"/>
                  <w:szCs w:val="18"/>
                  <w:color w:val="0000EE"/>
                  <w:w w:val="90"/>
                </w:rPr>
                <w:t>Therapeutics, Inc. and Sloan Kettering Institute for Cancer Research effective December 2, 2019</w:t>
              </w:r>
            </w:hyperlink>
          </w:p>
        </w:tc>
        <w:tc>
          <w:tcPr>
            <w:tcW w:w="160" w:type="dxa"/>
            <w:vAlign w:val="bottom"/>
            <w:tcBorders>
              <w:top w:val="single" w:sz="8" w:color="0000EE"/>
            </w:tcBorders>
            <w:gridSpan w:val="2"/>
          </w:tcPr>
          <w:p>
            <w:pPr>
              <w:spacing w:after="0"/>
              <w:rPr>
                <w:sz w:val="17"/>
                <w:szCs w:val="17"/>
                <w:color w:val="auto"/>
              </w:rPr>
            </w:pPr>
          </w:p>
        </w:tc>
        <w:tc>
          <w:tcPr>
            <w:tcW w:w="720" w:type="dxa"/>
            <w:vAlign w:val="bottom"/>
            <w:gridSpan w:val="14"/>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7860" w:type="dxa"/>
            <w:vAlign w:val="bottom"/>
            <w:gridSpan w:val="23"/>
          </w:tcPr>
          <w:p>
            <w:pPr>
              <w:ind w:left="2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(incorporated by reference to Exhibit 10.2 to Form 8-K filed December 19, 2019).</w:t>
              </w:r>
            </w:hyperlink>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7720" w:type="dxa"/>
            <w:vAlign w:val="bottom"/>
            <w:tcBorders>
              <w:bottom w:val="single" w:sz="8" w:color="0000EE"/>
            </w:tcBorders>
            <w:gridSpan w:val="18"/>
          </w:tcPr>
          <w:p>
            <w:pPr>
              <w:ind w:left="20"/>
              <w:spacing w:after="0"/>
              <w:rPr>
                <w:rFonts w:ascii="Arial" w:cs="Arial" w:eastAsia="Arial" w:hAnsi="Arial"/>
                <w:sz w:val="18"/>
                <w:szCs w:val="18"/>
                <w:color w:val="0000EE"/>
                <w:w w:val="91"/>
              </w:rPr>
            </w:pPr>
            <w:hyperlink r:id="rId237">
              <w:r>
                <w:rPr>
                  <w:rFonts w:ascii="Arial" w:cs="Arial" w:eastAsia="Arial" w:hAnsi="Arial"/>
                  <w:sz w:val="18"/>
                  <w:szCs w:val="18"/>
                  <w:color w:val="0000EE"/>
                  <w:w w:val="91"/>
                </w:rPr>
                <w:t>License Agreement effective as of April 15, 2020, by and among the Registrant, Memorial Sloan Kettering</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7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0"/>
              </w:rPr>
            </w:pPr>
            <w:hyperlink r:id="rId237">
              <w:r>
                <w:rPr>
                  <w:rFonts w:ascii="Arial" w:cs="Arial" w:eastAsia="Arial" w:hAnsi="Arial"/>
                  <w:sz w:val="18"/>
                  <w:szCs w:val="18"/>
                  <w:color w:val="0000EE"/>
                  <w:w w:val="90"/>
                </w:rPr>
                <w:t>Cancer Center and Massachusetts Institute of Technology (incorporated by reference to Exhibit 10.1 to the</w:t>
              </w:r>
            </w:hyperlink>
          </w:p>
        </w:tc>
        <w:tc>
          <w:tcPr>
            <w:tcW w:w="16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3"/>
          </w:tcPr>
          <w:p>
            <w:pPr>
              <w:ind w:left="20"/>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Registrant’s Form 8-K filed April 21, 2020).</w:t>
              </w:r>
            </w:hyperlink>
          </w:p>
        </w:tc>
      </w:tr>
      <w:tr>
        <w:trPr>
          <w:trHeight w:val="20"/>
        </w:trPr>
        <w:tc>
          <w:tcPr>
            <w:tcW w:w="102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7860" w:type="dxa"/>
            <w:vAlign w:val="bottom"/>
            <w:gridSpan w:val="23"/>
          </w:tcPr>
          <w:p>
            <w:pPr>
              <w:ind w:left="20"/>
              <w:spacing w:after="0"/>
              <w:rPr>
                <w:rFonts w:ascii="Arial" w:cs="Arial" w:eastAsia="Arial" w:hAnsi="Arial"/>
                <w:sz w:val="18"/>
                <w:szCs w:val="18"/>
                <w:color w:val="0000EE"/>
                <w:w w:val="96"/>
              </w:rPr>
            </w:pPr>
            <w:hyperlink r:id="rId238">
              <w:r>
                <w:rPr>
                  <w:rFonts w:ascii="Arial" w:cs="Arial" w:eastAsia="Arial" w:hAnsi="Arial"/>
                  <w:sz w:val="18"/>
                  <w:szCs w:val="18"/>
                  <w:color w:val="0000EE"/>
                  <w:w w:val="96"/>
                </w:rPr>
                <w:t>Master Sponsored Research Agreement by and between the Registrant and Memorial Sloan Kettering</w:t>
              </w:r>
            </w:hyperlink>
          </w:p>
        </w:tc>
      </w:tr>
      <w:tr>
        <w:trPr>
          <w:trHeight w:val="20"/>
        </w:trPr>
        <w:tc>
          <w:tcPr>
            <w:tcW w:w="102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3"/>
          </w:tcPr>
          <w:p>
            <w:pPr>
              <w:ind w:left="20"/>
              <w:spacing w:after="0" w:line="196" w:lineRule="exact"/>
              <w:rPr>
                <w:rFonts w:ascii="Arial" w:cs="Arial" w:eastAsia="Arial" w:hAnsi="Arial"/>
                <w:sz w:val="18"/>
                <w:szCs w:val="18"/>
                <w:color w:val="0000EE"/>
                <w:w w:val="90"/>
              </w:rPr>
            </w:pPr>
            <w:hyperlink r:id="rId238">
              <w:r>
                <w:rPr>
                  <w:rFonts w:ascii="Arial" w:cs="Arial" w:eastAsia="Arial" w:hAnsi="Arial"/>
                  <w:sz w:val="18"/>
                  <w:szCs w:val="18"/>
                  <w:color w:val="0000EE"/>
                  <w:w w:val="90"/>
                </w:rPr>
                <w:t>Cancer Center, effective October 7, 2020 (incorporated by reference to Exhibit 10.1 to the Registrant’s Form</w:t>
              </w:r>
            </w:hyperlink>
          </w:p>
        </w:tc>
      </w:tr>
      <w:tr>
        <w:trPr>
          <w:trHeight w:val="196"/>
        </w:trPr>
        <w:tc>
          <w:tcPr>
            <w:tcW w:w="10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8-K filed October 8, 2020).</w:t>
              </w:r>
            </w:hyperlink>
          </w:p>
        </w:tc>
        <w:tc>
          <w:tcPr>
            <w:tcW w:w="584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10.25</w:t>
            </w:r>
          </w:p>
        </w:tc>
        <w:tc>
          <w:tcPr>
            <w:tcW w:w="7860" w:type="dxa"/>
            <w:vAlign w:val="bottom"/>
            <w:gridSpan w:val="23"/>
          </w:tcPr>
          <w:p>
            <w:pPr>
              <w:ind w:left="20"/>
              <w:spacing w:after="0"/>
              <w:rPr>
                <w:rFonts w:ascii="Arial" w:cs="Arial" w:eastAsia="Arial" w:hAnsi="Arial"/>
                <w:sz w:val="18"/>
                <w:szCs w:val="18"/>
                <w:color w:val="0000EE"/>
                <w:w w:val="92"/>
              </w:rPr>
            </w:pPr>
            <w:hyperlink r:id="rId239">
              <w:r>
                <w:rPr>
                  <w:rFonts w:ascii="Arial" w:cs="Arial" w:eastAsia="Arial" w:hAnsi="Arial"/>
                  <w:sz w:val="18"/>
                  <w:szCs w:val="18"/>
                  <w:color w:val="0000EE"/>
                  <w:w w:val="92"/>
                </w:rPr>
                <w:t>Form of Stock Option Grant Notice and Stock Option Agreement under the 2018 Equity Incentive Plan (as</w:t>
              </w:r>
            </w:hyperlink>
          </w:p>
        </w:tc>
      </w:tr>
      <w:tr>
        <w:trPr>
          <w:trHeight w:val="196"/>
        </w:trPr>
        <w:tc>
          <w:tcPr>
            <w:tcW w:w="1020" w:type="dxa"/>
            <w:vAlign w:val="bottom"/>
          </w:tcPr>
          <w:p>
            <w:pPr>
              <w:spacing w:after="0"/>
              <w:rPr>
                <w:sz w:val="17"/>
                <w:szCs w:val="17"/>
                <w:color w:val="auto"/>
              </w:rPr>
            </w:pPr>
          </w:p>
        </w:tc>
        <w:tc>
          <w:tcPr>
            <w:tcW w:w="7700" w:type="dxa"/>
            <w:vAlign w:val="bottom"/>
            <w:tcBorders>
              <w:top w:val="single" w:sz="8" w:color="0000EE"/>
            </w:tcBorders>
            <w:gridSpan w:val="17"/>
          </w:tcPr>
          <w:p>
            <w:pPr>
              <w:ind w:left="20"/>
              <w:spacing w:after="0" w:line="196" w:lineRule="exact"/>
              <w:rPr>
                <w:rFonts w:ascii="Arial" w:cs="Arial" w:eastAsia="Arial" w:hAnsi="Arial"/>
                <w:sz w:val="18"/>
                <w:szCs w:val="18"/>
                <w:color w:val="0000EE"/>
                <w:w w:val="89"/>
              </w:rPr>
            </w:pPr>
            <w:hyperlink r:id="rId239">
              <w:r>
                <w:rPr>
                  <w:rFonts w:ascii="Arial" w:cs="Arial" w:eastAsia="Arial" w:hAnsi="Arial"/>
                  <w:sz w:val="18"/>
                  <w:szCs w:val="18"/>
                  <w:color w:val="0000EE"/>
                  <w:w w:val="89"/>
                </w:rPr>
                <w:t>amended, employees, consultants and service providers other than directors) (incorporated by reference to</w:t>
              </w:r>
            </w:hyperlink>
          </w:p>
        </w:tc>
        <w:tc>
          <w:tcPr>
            <w:tcW w:w="16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64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r:id="rId239">
              <w:r>
                <w:rPr>
                  <w:rFonts w:ascii="Arial" w:cs="Arial" w:eastAsia="Arial" w:hAnsi="Arial"/>
                  <w:sz w:val="18"/>
                  <w:szCs w:val="18"/>
                  <w:color w:val="0000EE"/>
                </w:rPr>
                <w:t>Exhibit 10.8 to Registrant’s Form 10-Q filed November 5, 2020)</w:t>
              </w:r>
              <w:r>
                <w:rPr>
                  <w:rFonts w:ascii="Arial" w:cs="Arial" w:eastAsia="Arial" w:hAnsi="Arial"/>
                  <w:sz w:val="18"/>
                  <w:szCs w:val="18"/>
                  <w:color w:val="000000"/>
                </w:rPr>
                <w:t>.</w:t>
              </w:r>
            </w:hyperlink>
          </w:p>
        </w:tc>
        <w:tc>
          <w:tcPr>
            <w:tcW w:w="22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60" w:type="dxa"/>
            <w:vAlign w:val="bottom"/>
            <w:gridSpan w:val="6"/>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10.26†</w:t>
            </w:r>
          </w:p>
        </w:tc>
        <w:tc>
          <w:tcPr>
            <w:tcW w:w="7860" w:type="dxa"/>
            <w:vAlign w:val="bottom"/>
            <w:gridSpan w:val="23"/>
          </w:tcPr>
          <w:p>
            <w:pPr>
              <w:ind w:left="20"/>
              <w:spacing w:after="0"/>
              <w:rPr>
                <w:rFonts w:ascii="Arial" w:cs="Arial" w:eastAsia="Arial" w:hAnsi="Arial"/>
                <w:sz w:val="18"/>
                <w:szCs w:val="18"/>
                <w:color w:val="0000EE"/>
                <w:w w:val="92"/>
              </w:rPr>
            </w:pPr>
            <w:hyperlink r:id="rId240">
              <w:r>
                <w:rPr>
                  <w:rFonts w:ascii="Arial" w:cs="Arial" w:eastAsia="Arial" w:hAnsi="Arial"/>
                  <w:sz w:val="18"/>
                  <w:szCs w:val="18"/>
                  <w:color w:val="0000EE"/>
                  <w:w w:val="92"/>
                </w:rPr>
                <w:t>Form of Stock Option Grant Notice and Stock Option Agreement under the 2018 Equity Incentive Plan (as</w:t>
              </w:r>
            </w:hyperlink>
          </w:p>
        </w:tc>
      </w:tr>
      <w:tr>
        <w:trPr>
          <w:trHeight w:val="20"/>
        </w:trPr>
        <w:tc>
          <w:tcPr>
            <w:tcW w:w="1020" w:type="dxa"/>
            <w:vAlign w:val="bottom"/>
          </w:tcPr>
          <w:p>
            <w:pPr>
              <w:spacing w:after="0" w:line="20" w:lineRule="exact"/>
              <w:rPr>
                <w:sz w:val="1"/>
                <w:szCs w:val="1"/>
                <w:color w:val="auto"/>
              </w:rPr>
            </w:pPr>
          </w:p>
        </w:tc>
        <w:tc>
          <w:tcPr>
            <w:tcW w:w="7380" w:type="dxa"/>
            <w:vAlign w:val="bottom"/>
            <w:gridSpan w:val="11"/>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3"/>
          </w:tcPr>
          <w:p>
            <w:pPr>
              <w:ind w:left="20"/>
              <w:spacing w:after="0" w:line="196" w:lineRule="exact"/>
              <w:rPr>
                <w:rFonts w:ascii="Arial" w:cs="Arial" w:eastAsia="Arial" w:hAnsi="Arial"/>
                <w:sz w:val="18"/>
                <w:szCs w:val="18"/>
                <w:color w:val="0000EE"/>
                <w:w w:val="91"/>
              </w:rPr>
            </w:pPr>
            <w:hyperlink r:id="rId240">
              <w:r>
                <w:rPr>
                  <w:rFonts w:ascii="Arial" w:cs="Arial" w:eastAsia="Arial" w:hAnsi="Arial"/>
                  <w:sz w:val="18"/>
                  <w:szCs w:val="18"/>
                  <w:color w:val="0000EE"/>
                  <w:w w:val="91"/>
                </w:rPr>
                <w:t>amended, directors) (incorporated by reference to Exhibit 10.9 to Registrant’s Form 10-Q filed November 5,</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40">
              <w:r>
                <w:rPr>
                  <w:rFonts w:ascii="Arial" w:cs="Arial" w:eastAsia="Arial" w:hAnsi="Arial"/>
                  <w:sz w:val="18"/>
                  <w:szCs w:val="18"/>
                  <w:color w:val="0000EE"/>
                  <w:w w:val="86"/>
                </w:rPr>
                <w:t>2020).</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10.27 ++</w:t>
            </w:r>
          </w:p>
        </w:tc>
        <w:tc>
          <w:tcPr>
            <w:tcW w:w="7860" w:type="dxa"/>
            <w:vAlign w:val="bottom"/>
            <w:gridSpan w:val="23"/>
          </w:tcPr>
          <w:p>
            <w:pPr>
              <w:ind w:left="20"/>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License Agreement dated December 17, 2020 by and between the Registrant and SciClone Pharmaceuticals</w:t>
              </w:r>
            </w:hyperlink>
          </w:p>
        </w:tc>
      </w:tr>
      <w:tr>
        <w:trPr>
          <w:trHeight w:val="196"/>
        </w:trPr>
        <w:tc>
          <w:tcPr>
            <w:tcW w:w="1020" w:type="dxa"/>
            <w:vAlign w:val="bottom"/>
          </w:tcPr>
          <w:p>
            <w:pPr>
              <w:spacing w:after="0"/>
              <w:rPr>
                <w:sz w:val="17"/>
                <w:szCs w:val="17"/>
                <w:color w:val="auto"/>
              </w:rPr>
            </w:pPr>
          </w:p>
        </w:tc>
        <w:tc>
          <w:tcPr>
            <w:tcW w:w="7760" w:type="dxa"/>
            <w:vAlign w:val="bottom"/>
            <w:tcBorders>
              <w:top w:val="single" w:sz="8" w:color="0000EE"/>
            </w:tcBorders>
            <w:gridSpan w:val="19"/>
          </w:tcPr>
          <w:p>
            <w:pPr>
              <w:ind w:left="20"/>
              <w:spacing w:after="0" w:line="196" w:lineRule="exact"/>
              <w:rPr>
                <w:rFonts w:ascii="Arial" w:cs="Arial" w:eastAsia="Arial" w:hAnsi="Arial"/>
                <w:sz w:val="18"/>
                <w:szCs w:val="18"/>
                <w:color w:val="0000EE"/>
                <w:w w:val="93"/>
              </w:rPr>
            </w:pPr>
            <w:hyperlink r:id="rId241">
              <w:r>
                <w:rPr>
                  <w:rFonts w:ascii="Arial" w:cs="Arial" w:eastAsia="Arial" w:hAnsi="Arial"/>
                  <w:sz w:val="18"/>
                  <w:szCs w:val="18"/>
                  <w:color w:val="0000EE"/>
                  <w:w w:val="93"/>
                </w:rPr>
                <w:t>International Ltd. (incorporated by reference to Exhibit 10.1 to Registrant’s Form 8-K filed December 22,</w:t>
              </w:r>
            </w:hyperlink>
          </w:p>
        </w:tc>
        <w:tc>
          <w:tcPr>
            <w:tcW w:w="1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41">
              <w:r>
                <w:rPr>
                  <w:rFonts w:ascii="Arial" w:cs="Arial" w:eastAsia="Arial" w:hAnsi="Arial"/>
                  <w:sz w:val="18"/>
                  <w:szCs w:val="18"/>
                  <w:color w:val="0000EE"/>
                  <w:w w:val="86"/>
                </w:rPr>
                <w:t>2020).</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10.28</w:t>
            </w:r>
          </w:p>
        </w:tc>
        <w:tc>
          <w:tcPr>
            <w:tcW w:w="7380" w:type="dxa"/>
            <w:vAlign w:val="bottom"/>
            <w:tcBorders>
              <w:bottom w:val="single" w:sz="8" w:color="0000EE"/>
            </w:tcBorders>
            <w:gridSpan w:val="11"/>
          </w:tcPr>
          <w:p>
            <w:pPr>
              <w:ind w:left="20"/>
              <w:spacing w:after="0"/>
              <w:rPr>
                <w:rFonts w:ascii="Arial" w:cs="Arial" w:eastAsia="Arial" w:hAnsi="Arial"/>
                <w:sz w:val="18"/>
                <w:szCs w:val="18"/>
                <w:color w:val="0000EE"/>
                <w:w w:val="89"/>
              </w:rPr>
            </w:pPr>
            <w:hyperlink r:id="rId242">
              <w:r>
                <w:rPr>
                  <w:rFonts w:ascii="Arial" w:cs="Arial" w:eastAsia="Arial" w:hAnsi="Arial"/>
                  <w:sz w:val="18"/>
                  <w:szCs w:val="18"/>
                  <w:color w:val="0000EE"/>
                  <w:w w:val="89"/>
                </w:rPr>
                <w:t>Asset Purchase Agreement by and between the Registrant and United Therapeutics Corporation, dated</w:t>
              </w:r>
            </w:hyperlink>
          </w:p>
        </w:tc>
        <w:tc>
          <w:tcPr>
            <w:tcW w:w="48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3"/>
          </w:tcPr>
          <w:p>
            <w:pPr>
              <w:ind w:left="20"/>
              <w:spacing w:after="0" w:line="196" w:lineRule="exact"/>
              <w:rPr>
                <w:rFonts w:ascii="Arial" w:cs="Arial" w:eastAsia="Arial" w:hAnsi="Arial"/>
                <w:sz w:val="18"/>
                <w:szCs w:val="18"/>
                <w:color w:val="0000EE"/>
                <w:w w:val="93"/>
              </w:rPr>
            </w:pPr>
            <w:hyperlink r:id="rId242">
              <w:r>
                <w:rPr>
                  <w:rFonts w:ascii="Arial" w:cs="Arial" w:eastAsia="Arial" w:hAnsi="Arial"/>
                  <w:sz w:val="18"/>
                  <w:szCs w:val="18"/>
                  <w:color w:val="0000EE"/>
                  <w:w w:val="93"/>
                </w:rPr>
                <w:t>December 24, 2020 (incorporated by reference to Exhibit 10.1 to Registrant’s Form 8-K filed February 19,</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42">
              <w:r>
                <w:rPr>
                  <w:rFonts w:ascii="Arial" w:cs="Arial" w:eastAsia="Arial" w:hAnsi="Arial"/>
                  <w:sz w:val="18"/>
                  <w:szCs w:val="18"/>
                  <w:color w:val="0000EE"/>
                  <w:w w:val="86"/>
                </w:rPr>
                <w:t>2021).</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7860" w:type="dxa"/>
            <w:vAlign w:val="bottom"/>
            <w:gridSpan w:val="23"/>
          </w:tcPr>
          <w:p>
            <w:pPr>
              <w:ind w:left="20"/>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Subsidiaries of the Registrant.</w:t>
              </w:r>
            </w:hyperlink>
          </w:p>
        </w:tc>
      </w:tr>
    </w:tbl>
    <w:p>
      <w:pPr>
        <w:spacing w:after="0" w:line="202" w:lineRule="exact"/>
        <w:rPr>
          <w:sz w:val="20"/>
          <w:szCs w:val="20"/>
          <w:color w:val="auto"/>
        </w:rPr>
      </w:pPr>
    </w:p>
    <w:p>
      <w:pPr>
        <w:ind w:left="1100" w:hanging="1050"/>
        <w:spacing w:after="0"/>
        <w:tabs>
          <w:tab w:leader="none" w:pos="1100" w:val="left"/>
        </w:tabs>
        <w:numPr>
          <w:ilvl w:val="0"/>
          <w:numId w:val="105"/>
        </w:numPr>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Consent of Pricewaterhouse Coopers LLP, Independent Registered Public Accounting Firm.</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5" w:name="page186"/>
    <w:bookmarkEnd w:id="1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6820" w:type="dxa"/>
            <w:vAlign w:val="bottom"/>
          </w:tcPr>
          <w:p>
            <w:pPr>
              <w:ind w:left="200"/>
              <w:spacing w:after="0"/>
              <w:rPr>
                <w:rFonts w:ascii="Arial" w:cs="Arial" w:eastAsia="Arial" w:hAnsi="Arial"/>
                <w:sz w:val="18"/>
                <w:szCs w:val="18"/>
                <w:u w:val="single" w:color="auto"/>
                <w:color w:val="0000EE"/>
                <w:w w:val="91"/>
              </w:rPr>
            </w:pPr>
            <w:hyperlink w:anchor="page196">
              <w:r>
                <w:rPr>
                  <w:rFonts w:ascii="Arial" w:cs="Arial" w:eastAsia="Arial" w:hAnsi="Arial"/>
                  <w:sz w:val="18"/>
                  <w:szCs w:val="18"/>
                  <w:u w:val="single" w:color="auto"/>
                  <w:color w:val="0000EE"/>
                  <w:w w:val="91"/>
                </w:rPr>
                <w:t>Certification of Chief Executive Officer pursuant to Section 302 of the Sarbanes-Oxley Act.</w:t>
              </w:r>
            </w:hyperlink>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6820" w:type="dxa"/>
            <w:vAlign w:val="bottom"/>
          </w:tcPr>
          <w:p>
            <w:pPr>
              <w:ind w:left="200"/>
              <w:spacing w:after="0"/>
              <w:rPr>
                <w:rFonts w:ascii="Arial" w:cs="Arial" w:eastAsia="Arial" w:hAnsi="Arial"/>
                <w:sz w:val="18"/>
                <w:szCs w:val="18"/>
                <w:u w:val="single" w:color="auto"/>
                <w:color w:val="0000EE"/>
                <w:w w:val="92"/>
              </w:rPr>
            </w:pPr>
            <w:hyperlink w:anchor="page197">
              <w:r>
                <w:rPr>
                  <w:rFonts w:ascii="Arial" w:cs="Arial" w:eastAsia="Arial" w:hAnsi="Arial"/>
                  <w:sz w:val="18"/>
                  <w:szCs w:val="18"/>
                  <w:u w:val="single" w:color="auto"/>
                  <w:color w:val="0000EE"/>
                  <w:w w:val="92"/>
                </w:rPr>
                <w:t>Certification of Chief Financial Officer pursuant to Section 302 of the Sarbanes-Oxley Act.</w:t>
              </w:r>
            </w:hyperlink>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6820" w:type="dxa"/>
            <w:vAlign w:val="bottom"/>
          </w:tcPr>
          <w:p>
            <w:pPr>
              <w:ind w:left="200"/>
              <w:spacing w:after="0"/>
              <w:rPr>
                <w:rFonts w:ascii="Arial" w:cs="Arial" w:eastAsia="Arial" w:hAnsi="Arial"/>
                <w:sz w:val="18"/>
                <w:szCs w:val="18"/>
                <w:u w:val="single" w:color="auto"/>
                <w:color w:val="0000EE"/>
                <w:w w:val="91"/>
              </w:rPr>
            </w:pPr>
            <w:hyperlink w:anchor="page198">
              <w:r>
                <w:rPr>
                  <w:rFonts w:ascii="Arial" w:cs="Arial" w:eastAsia="Arial" w:hAnsi="Arial"/>
                  <w:sz w:val="18"/>
                  <w:szCs w:val="18"/>
                  <w:u w:val="single" w:color="auto"/>
                  <w:color w:val="0000EE"/>
                  <w:w w:val="91"/>
                </w:rPr>
                <w:t>Certification of Chief Executive Officer pursuant to Section 906 of the Sarbanes-Oxley Act.</w:t>
              </w:r>
            </w:hyperlink>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6820" w:type="dxa"/>
            <w:vAlign w:val="bottom"/>
          </w:tcPr>
          <w:p>
            <w:pPr>
              <w:ind w:left="200"/>
              <w:spacing w:after="0"/>
              <w:rPr>
                <w:rFonts w:ascii="Arial" w:cs="Arial" w:eastAsia="Arial" w:hAnsi="Arial"/>
                <w:sz w:val="18"/>
                <w:szCs w:val="18"/>
                <w:u w:val="single" w:color="auto"/>
                <w:color w:val="0000EE"/>
                <w:w w:val="92"/>
              </w:rPr>
            </w:pPr>
            <w:hyperlink w:anchor="page199">
              <w:r>
                <w:rPr>
                  <w:rFonts w:ascii="Arial" w:cs="Arial" w:eastAsia="Arial" w:hAnsi="Arial"/>
                  <w:sz w:val="18"/>
                  <w:szCs w:val="18"/>
                  <w:u w:val="single" w:color="auto"/>
                  <w:color w:val="0000EE"/>
                  <w:w w:val="92"/>
                </w:rPr>
                <w:t>Certification of Chief Financial Officer pursuant to Section 906 of the Sarbanes-Oxley Act.</w:t>
              </w:r>
            </w:hyperlink>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682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682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682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682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682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682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6820" w:type="dxa"/>
            <w:vAlign w:val="bottom"/>
          </w:tcPr>
          <w:p>
            <w:pPr>
              <w:ind w:left="200"/>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w:t>
      </w:r>
    </w:p>
    <w:p>
      <w:pPr>
        <w:spacing w:after="0" w:line="27" w:lineRule="exact"/>
        <w:rPr>
          <w:sz w:val="20"/>
          <w:szCs w:val="20"/>
          <w:color w:val="auto"/>
        </w:rPr>
      </w:pPr>
    </w:p>
    <w:p>
      <w:pPr>
        <w:ind w:left="60" w:right="119"/>
        <w:spacing w:after="0" w:line="25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 certifications attached as Exhibits 32.1 and 32.2 that accompany this Annual Report on Form 10-K are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0" w:right="319"/>
        <w:spacing w:after="0" w:line="250" w:lineRule="auto"/>
        <w:rPr>
          <w:sz w:val="20"/>
          <w:szCs w:val="20"/>
          <w:color w:val="auto"/>
        </w:rPr>
      </w:pPr>
      <w:r>
        <w:rPr>
          <w:rFonts w:ascii="Arial" w:cs="Arial" w:eastAsia="Arial" w:hAnsi="Arial"/>
          <w:sz w:val="18"/>
          <w:szCs w:val="18"/>
          <w:color w:val="auto"/>
        </w:rPr>
        <w:t>+Portions of the exhibit have been omitted pursuant to an order granted by the Securities and Exchange Commission for confidential treatment.</w:t>
      </w:r>
    </w:p>
    <w:p>
      <w:pPr>
        <w:spacing w:after="0" w:line="1"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++Portions of the exhibit have been omitted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6" w:name="page187"/>
    <w:bookmarkEnd w:id="1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080" w:type="dxa"/>
            <w:vAlign w:val="bottom"/>
            <w:gridSpan w:val="2"/>
          </w:tcPr>
          <w:p>
            <w:pPr>
              <w:ind w:left="1220"/>
              <w:spacing w:after="0"/>
              <w:rPr>
                <w:sz w:val="20"/>
                <w:szCs w:val="20"/>
                <w:color w:val="auto"/>
              </w:rPr>
            </w:pPr>
            <w:r>
              <w:rPr>
                <w:rFonts w:ascii="Arial" w:cs="Arial" w:eastAsia="Arial" w:hAnsi="Arial"/>
                <w:sz w:val="18"/>
                <w:szCs w:val="18"/>
                <w:b w:val="1"/>
                <w:bCs w:val="1"/>
                <w:color w:val="auto"/>
              </w:rPr>
              <w:t>Y-MABS THERAPEUTICS, INC.</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Dated: March 1, 2021</w:t>
            </w:r>
          </w:p>
        </w:tc>
        <w:tc>
          <w:tcPr>
            <w:tcW w:w="1240" w:type="dxa"/>
            <w:vAlign w:val="bottom"/>
          </w:tcPr>
          <w:p>
            <w:pPr>
              <w:spacing w:after="0"/>
              <w:rPr>
                <w:sz w:val="24"/>
                <w:szCs w:val="24"/>
                <w:color w:val="auto"/>
              </w:rPr>
            </w:pPr>
          </w:p>
        </w:tc>
        <w:tc>
          <w:tcPr>
            <w:tcW w:w="48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 THOMAS GAD</w:t>
            </w:r>
          </w:p>
        </w:tc>
      </w:tr>
      <w:tr>
        <w:trPr>
          <w:trHeight w:val="195"/>
        </w:trPr>
        <w:tc>
          <w:tcPr>
            <w:tcW w:w="2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0"/>
              </w:rPr>
              <w:t>Thomas Gad</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Founder, Chairman, President and Head of Business</w:t>
            </w:r>
          </w:p>
        </w:tc>
      </w:tr>
      <w:tr>
        <w:trPr>
          <w:trHeight w:val="230"/>
        </w:trPr>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40" w:type="dxa"/>
            <w:vAlign w:val="bottom"/>
          </w:tcPr>
          <w:p>
            <w:pPr>
              <w:jc w:val="center"/>
              <w:ind w:left="50"/>
              <w:spacing w:after="0"/>
              <w:rPr>
                <w:sz w:val="20"/>
                <w:szCs w:val="20"/>
                <w:color w:val="auto"/>
              </w:rPr>
            </w:pPr>
            <w:r>
              <w:rPr>
                <w:rFonts w:ascii="Arial" w:cs="Arial" w:eastAsia="Arial" w:hAnsi="Arial"/>
                <w:sz w:val="18"/>
                <w:szCs w:val="18"/>
                <w:i w:val="1"/>
                <w:iCs w:val="1"/>
                <w:color w:val="auto"/>
                <w:w w:val="89"/>
              </w:rPr>
              <w:t>Development and Strategy</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Each person whose signature appears below constitutes and appoints Thomas Gad, acting individually,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7" w:name="page188"/>
    <w:bookmarkEnd w:id="1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30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Company and in the capacities indicated on the 25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February 2021.</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7"/>
              </w:rPr>
              <w:t>/s/ THOMAS GAD</w:t>
            </w:r>
          </w:p>
        </w:tc>
        <w:tc>
          <w:tcPr>
            <w:tcW w:w="4520" w:type="dxa"/>
            <w:vAlign w:val="bottom"/>
          </w:tcPr>
          <w:p>
            <w:pPr>
              <w:ind w:left="200"/>
              <w:spacing w:after="0"/>
              <w:rPr>
                <w:sz w:val="20"/>
                <w:szCs w:val="20"/>
                <w:color w:val="auto"/>
              </w:rPr>
            </w:pPr>
            <w:r>
              <w:rPr>
                <w:rFonts w:ascii="Arial" w:cs="Arial" w:eastAsia="Arial" w:hAnsi="Arial"/>
                <w:sz w:val="18"/>
                <w:szCs w:val="18"/>
                <w:color w:val="auto"/>
                <w:w w:val="90"/>
              </w:rPr>
              <w:t>Founder, Chairman of the Board of Directors, President and</w:t>
            </w:r>
          </w:p>
        </w:tc>
      </w:tr>
      <w:tr>
        <w:trPr>
          <w:trHeight w:val="230"/>
        </w:trPr>
        <w:tc>
          <w:tcPr>
            <w:tcW w:w="4220" w:type="dxa"/>
            <w:vAlign w:val="bottom"/>
            <w:tcBorders>
              <w:bottom w:val="single" w:sz="8" w:color="auto"/>
            </w:tcBorders>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Head of Business Development and Strategy</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0"/>
              </w:rPr>
              <w:t>Thomas Gad</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CLAUS JUAN MØLLER SAN PEDRO</w:t>
            </w:r>
          </w:p>
        </w:tc>
        <w:tc>
          <w:tcPr>
            <w:tcW w:w="4520" w:type="dxa"/>
            <w:vAlign w:val="bottom"/>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Claus Juan Møller San Pedro, M.D., Ph.D</w:t>
            </w:r>
          </w:p>
        </w:tc>
        <w:tc>
          <w:tcPr>
            <w:tcW w:w="452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403"/>
        </w:trPr>
        <w:tc>
          <w:tcPr>
            <w:tcW w:w="4220" w:type="dxa"/>
            <w:vAlign w:val="bottom"/>
          </w:tcPr>
          <w:p>
            <w:pPr>
              <w:jc w:val="center"/>
              <w:spacing w:after="0"/>
              <w:rPr>
                <w:sz w:val="20"/>
                <w:szCs w:val="20"/>
                <w:color w:val="auto"/>
              </w:rPr>
            </w:pPr>
            <w:r>
              <w:rPr>
                <w:rFonts w:ascii="Arial" w:cs="Arial" w:eastAsia="Arial" w:hAnsi="Arial"/>
                <w:sz w:val="18"/>
                <w:szCs w:val="18"/>
                <w:color w:val="auto"/>
                <w:w w:val="93"/>
              </w:rPr>
              <w:t>/s/ BO KRUSE</w:t>
            </w:r>
          </w:p>
        </w:tc>
        <w:tc>
          <w:tcPr>
            <w:tcW w:w="4520" w:type="dxa"/>
            <w:vAlign w:val="bottom"/>
          </w:tcPr>
          <w:p>
            <w:pPr>
              <w:ind w:left="200"/>
              <w:spacing w:after="0"/>
              <w:rPr>
                <w:sz w:val="20"/>
                <w:szCs w:val="20"/>
                <w:color w:val="auto"/>
              </w:rPr>
            </w:pPr>
            <w:r>
              <w:rPr>
                <w:rFonts w:ascii="Arial" w:cs="Arial" w:eastAsia="Arial" w:hAnsi="Arial"/>
                <w:sz w:val="18"/>
                <w:szCs w:val="18"/>
                <w:color w:val="auto"/>
                <w:w w:val="90"/>
              </w:rPr>
              <w:t>Executive Vice President, Chief Financial Officer, Secretary</w:t>
            </w:r>
          </w:p>
        </w:tc>
      </w:tr>
      <w:tr>
        <w:trPr>
          <w:trHeight w:val="230"/>
        </w:trPr>
        <w:tc>
          <w:tcPr>
            <w:tcW w:w="4220" w:type="dxa"/>
            <w:vAlign w:val="bottom"/>
            <w:tcBorders>
              <w:bottom w:val="single" w:sz="8" w:color="auto"/>
            </w:tcBorders>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and Treasurer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4"/>
              </w:rPr>
              <w:t>Bo Kruse</w:t>
            </w:r>
          </w:p>
        </w:tc>
        <w:tc>
          <w:tcPr>
            <w:tcW w:w="4520" w:type="dxa"/>
            <w:vAlign w:val="bottom"/>
          </w:tcPr>
          <w:p>
            <w:pPr>
              <w:ind w:left="200"/>
              <w:spacing w:after="0"/>
              <w:rPr>
                <w:sz w:val="20"/>
                <w:szCs w:val="20"/>
                <w:color w:val="auto"/>
              </w:rPr>
            </w:pPr>
            <w:r>
              <w:rPr>
                <w:rFonts w:ascii="Arial" w:cs="Arial" w:eastAsia="Arial" w:hAnsi="Arial"/>
                <w:sz w:val="18"/>
                <w:szCs w:val="18"/>
                <w:color w:val="auto"/>
              </w:rPr>
              <w:t>(Principal Financial Accounting Officer)</w:t>
            </w: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JOHAN WEDELL-WEDELLSBORG</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0"/>
              </w:rPr>
              <w:t>Johan Wedell-Wedellsborg</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LAURA J. HAMILL</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4"/>
              </w:rPr>
              <w:t>Laura J. Hamill</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GÉRARD BER</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Gérard Ber</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ASHUTOSH TYAGI</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1"/>
              </w:rPr>
              <w:t>Ashutosh Tyagi</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I. HEALY</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89"/>
              </w:rPr>
              <w:t>James I. Healy</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N. GILL</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7"/>
              </w:rPr>
              <w:t>David N. Gill</w:t>
            </w:r>
          </w:p>
        </w:tc>
        <w:tc>
          <w:tcPr>
            <w:tcW w:w="4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8" w:name="page189"/>
    <w:bookmarkEnd w:id="188"/>
    <w:p>
      <w:pPr>
        <w:ind w:left="7600"/>
        <w:spacing w:after="0"/>
        <w:rPr>
          <w:sz w:val="20"/>
          <w:szCs w:val="20"/>
          <w:color w:val="auto"/>
        </w:rPr>
      </w:pPr>
      <w:r>
        <w:rPr>
          <w:rFonts w:ascii="Arial" w:cs="Arial" w:eastAsia="Arial" w:hAnsi="Arial"/>
          <w:sz w:val="18"/>
          <w:szCs w:val="18"/>
          <w:b w:val="1"/>
          <w:bCs w:val="1"/>
          <w:color w:val="auto"/>
        </w:rPr>
        <w:t>EXHIBIT 4.4</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February 22, 2021, Y-mAbs Therapeutics, Inc. (“Y-mAbs,” “we,” “our” or “us”), had one class of securities registered under Section 12 of the Securities Exchange Act of 1934, as amended (the “Exchange Act”): our common stock, par value $0.0001 per share.</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following summary describes our common stock and the material provisions of our amended and restated certificate of incorporation, our amended and restated bylaws, certain registration rights agreements (the “registration rights agreements”) to which we and certain of our stockholders, including some of our directors and 5% stockholders and their affiliates and entities affiliated with our directors, are parties and of the Delaware General Corporation Law (the “DGCL”). Because the following is only a summary, it does not contain all of the information that may be important to you. For a complete description, you should refer to our certificate of incorporation, bylaws and registration rights agreements, filed as Exhibits 3.3, 3.4, 4.2, 4.3(a), 4.3(b) and 4.3(c), respectively, to our Annual Report on Form 10-K filed with the Securities Exchange Commission, of which this Exhibit 4.4 is a part. We encourage you to read those documents and the DGCL carefully.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3" w:lineRule="exact"/>
        <w:rPr>
          <w:sz w:val="20"/>
          <w:szCs w:val="20"/>
          <w:color w:val="auto"/>
        </w:rPr>
      </w:pPr>
    </w:p>
    <w:p>
      <w:pPr>
        <w:jc w:val="both"/>
        <w:ind w:firstLine="598"/>
        <w:spacing w:after="0" w:line="261" w:lineRule="auto"/>
        <w:rPr>
          <w:sz w:val="20"/>
          <w:szCs w:val="20"/>
          <w:color w:val="auto"/>
        </w:rPr>
      </w:pPr>
      <w:r>
        <w:rPr>
          <w:rFonts w:ascii="Arial" w:cs="Arial" w:eastAsia="Arial" w:hAnsi="Arial"/>
          <w:sz w:val="18"/>
          <w:szCs w:val="18"/>
          <w:color w:val="auto"/>
        </w:rPr>
        <w:t>Our authorized capital stock consists of 100,000,000 shares of common stock, par value $0.0001 per share, and 5,500,000 shares of preferred stock, par value $0.0001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3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8"/>
          <w:szCs w:val="18"/>
          <w:color w:val="auto"/>
        </w:rPr>
        <w:t>As of February 22, 2021, there were 43,526,254 shares of our common stock outstanding and no shares of preferred stock outstanding. As of February 22, 2021 we had 13 record holders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52"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firstLine="495"/>
        <w:spacing w:after="0" w:line="248"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39"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57778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5777865" cy="26035"/>
                    </a:xfrm>
                    <a:prstGeom prst="rect">
                      <a:avLst/>
                    </a:prstGeom>
                    <a:noFill/>
                  </pic:spPr>
                </pic:pic>
              </a:graphicData>
            </a:graphic>
          </wp:anchor>
        </w:drawing>
      </w:r>
    </w:p>
    <w:p>
      <w:pPr>
        <w:sectPr>
          <w:pgSz w:w="11900" w:h="16838" w:orient="portrait"/>
          <w:cols w:equalWidth="0" w:num="1">
            <w:col w:w="9080"/>
          </w:cols>
          <w:pgMar w:left="1400" w:top="121" w:right="141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52" w:lineRule="exact"/>
        <w:rPr>
          <w:sz w:val="20"/>
          <w:szCs w:val="20"/>
          <w:color w:val="auto"/>
        </w:rPr>
      </w:pPr>
    </w:p>
    <w:p>
      <w:pPr>
        <w:jc w:val="both"/>
        <w:ind w:firstLine="420"/>
        <w:spacing w:after="0" w:line="243"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43" w:lineRule="exact"/>
        <w:rPr>
          <w:sz w:val="20"/>
          <w:szCs w:val="20"/>
          <w:color w:val="auto"/>
        </w:rPr>
      </w:pPr>
    </w:p>
    <w:p>
      <w:pPr>
        <w:jc w:val="both"/>
        <w:ind w:right="20" w:firstLine="357"/>
        <w:spacing w:after="0" w:line="259" w:lineRule="auto"/>
        <w:rPr>
          <w:sz w:val="20"/>
          <w:szCs w:val="20"/>
          <w:color w:val="auto"/>
        </w:rPr>
      </w:pPr>
      <w:r>
        <w:rPr>
          <w:rFonts w:ascii="Arial" w:cs="Arial" w:eastAsia="Arial" w:hAnsi="Arial"/>
          <w:sz w:val="17"/>
          <w:szCs w:val="17"/>
          <w:color w:val="auto"/>
        </w:rPr>
        <w:t>We are a party to the registration rights agreements (the “Registration Rights Agreements”), which provide the holders of registrable securities the right to require us to register such registrable securities under the Securities Act of 1933, as amended (the “Securities Act”) under specified circumstances as described below. As of February 22, 2021, the shares subject to registration rights represent approximately 6 % of our outstanding common stock. After registration pursuant to these rights, these shares will become freely tradable without restriction under the Securities Act.</w:t>
      </w:r>
    </w:p>
    <w:p>
      <w:pPr>
        <w:spacing w:after="0" w:line="214"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7"/>
          <w:szCs w:val="17"/>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220" w:lineRule="exact"/>
        <w:rPr>
          <w:sz w:val="20"/>
          <w:szCs w:val="20"/>
          <w:color w:val="auto"/>
        </w:rPr>
      </w:pPr>
    </w:p>
    <w:p>
      <w:pPr>
        <w:jc w:val="both"/>
        <w:ind w:right="20" w:firstLine="416"/>
        <w:spacing w:after="0" w:line="284" w:lineRule="auto"/>
        <w:rPr>
          <w:sz w:val="20"/>
          <w:szCs w:val="20"/>
          <w:color w:val="auto"/>
        </w:rPr>
      </w:pPr>
      <w:r>
        <w:rPr>
          <w:rFonts w:ascii="Arial" w:cs="Arial" w:eastAsia="Arial" w:hAnsi="Arial"/>
          <w:sz w:val="16"/>
          <w:szCs w:val="16"/>
          <w:color w:val="auto"/>
        </w:rPr>
        <w:t>The registration rights of any holder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September 21, 2023, the fifth anniversary of our initial public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52" w:lineRule="exact"/>
        <w:rPr>
          <w:sz w:val="20"/>
          <w:szCs w:val="20"/>
          <w:color w:val="auto"/>
        </w:rPr>
      </w:pPr>
    </w:p>
    <w:p>
      <w:pPr>
        <w:jc w:val="both"/>
        <w:ind w:right="20" w:firstLine="420"/>
        <w:spacing w:after="0"/>
        <w:rPr>
          <w:sz w:val="20"/>
          <w:szCs w:val="20"/>
          <w:color w:val="auto"/>
        </w:rPr>
      </w:pPr>
      <w:r>
        <w:rPr>
          <w:rFonts w:ascii="Arial" w:cs="Arial" w:eastAsia="Arial" w:hAnsi="Arial"/>
          <w:sz w:val="18"/>
          <w:szCs w:val="18"/>
          <w:color w:val="auto"/>
        </w:rPr>
        <w:t>Subject to specified limitations set forth in the Registration Rights Agreements, the holder or holders of not less than a majority of our registrable securities, as defined in the Registration Rights Agreements, acting together, may at any time demand in writing that we register the outstanding registrable securities under the Securities Act so long as the total amount of registrable shares requested to be registered has an anticipated aggregate offering price to the public of least $10 million. We are not obligated to file a registration statement pursuant to this demand provision on more than two occasions, subject to specified exceptions.</w:t>
      </w:r>
    </w:p>
    <w:p>
      <w:pPr>
        <w:spacing w:after="0" w:line="230"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6"/>
          <w:szCs w:val="16"/>
          <w:color w:val="auto"/>
        </w:rPr>
        <w:t>In addition, subject to specified limitations, a holder or holders of a majority of the registrable securities may demand in writing that we register on Form S-3 all or part of the registrable securities held by them so long as the total amount of registrable shares requested to be registered has an anticipated aggregate offering price to the public of least $10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52" w:lineRule="exact"/>
        <w:rPr>
          <w:sz w:val="20"/>
          <w:szCs w:val="20"/>
          <w:color w:val="auto"/>
        </w:rPr>
      </w:pPr>
    </w:p>
    <w:p>
      <w:pPr>
        <w:jc w:val="both"/>
        <w:ind w:firstLine="379"/>
        <w:spacing w:after="0" w:line="241" w:lineRule="auto"/>
        <w:rPr>
          <w:sz w:val="20"/>
          <w:szCs w:val="20"/>
          <w:color w:val="auto"/>
        </w:rPr>
      </w:pPr>
      <w:r>
        <w:rPr>
          <w:rFonts w:ascii="Arial" w:cs="Arial" w:eastAsia="Arial" w:hAnsi="Arial"/>
          <w:sz w:val="18"/>
          <w:szCs w:val="18"/>
          <w:color w:val="auto"/>
        </w:rPr>
        <w:t>If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57778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5777865" cy="2540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0" w:name="page191"/>
    <w:bookmarkEnd w:id="190"/>
    <w:p>
      <w:pPr>
        <w:jc w:val="both"/>
        <w:ind w:right="20" w:firstLine="421"/>
        <w:spacing w:after="0" w:line="243" w:lineRule="auto"/>
        <w:rPr>
          <w:sz w:val="20"/>
          <w:szCs w:val="20"/>
          <w:color w:val="auto"/>
        </w:rPr>
      </w:pPr>
      <w:r>
        <w:rPr>
          <w:rFonts w:ascii="Arial" w:cs="Arial" w:eastAsia="Arial" w:hAnsi="Arial"/>
          <w:sz w:val="18"/>
          <w:szCs w:val="18"/>
          <w:color w:val="auto"/>
        </w:rPr>
        <w:t>Pursuant to the Registration Rights Agreements, we are required to pay all registration expenses, including registration fees, printing expenses, fees and disbursements of our counsel and accountants and reasonable fees and disbursements not to exceed $50,000 of one counsel representing the selling stockholders, other than any underwriting discounts and commissions, related to any demand or incidental registration.</w:t>
      </w:r>
    </w:p>
    <w:p>
      <w:pPr>
        <w:spacing w:after="0" w:line="228" w:lineRule="exact"/>
        <w:rPr>
          <w:sz w:val="20"/>
          <w:szCs w:val="20"/>
          <w:color w:val="auto"/>
        </w:rPr>
      </w:pPr>
    </w:p>
    <w:p>
      <w:pPr>
        <w:jc w:val="both"/>
        <w:ind w:right="20" w:firstLine="524"/>
        <w:spacing w:after="0" w:line="243"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ind w:firstLine="444"/>
        <w:spacing w:after="0" w:line="272"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As of February 22, 2021, no shares of preferred stock were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43" w:lineRule="exact"/>
        <w:rPr>
          <w:sz w:val="20"/>
          <w:szCs w:val="20"/>
          <w:color w:val="auto"/>
        </w:rPr>
      </w:pPr>
    </w:p>
    <w:p>
      <w:pPr>
        <w:jc w:val="both"/>
        <w:ind w:firstLine="426"/>
        <w:spacing w:after="0" w:line="243" w:lineRule="auto"/>
        <w:rPr>
          <w:sz w:val="20"/>
          <w:szCs w:val="20"/>
          <w:color w:val="auto"/>
        </w:rPr>
      </w:pPr>
      <w:r>
        <w:rPr>
          <w:rFonts w:ascii="Arial" w:cs="Arial" w:eastAsia="Arial" w:hAnsi="Arial"/>
          <w:sz w:val="18"/>
          <w:szCs w:val="18"/>
          <w:color w:val="auto"/>
        </w:rPr>
        <w:t>Our amended and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52" w:lineRule="exact"/>
        <w:rPr>
          <w:sz w:val="20"/>
          <w:szCs w:val="20"/>
          <w:color w:val="auto"/>
        </w:rPr>
      </w:pPr>
    </w:p>
    <w:p>
      <w:pPr>
        <w:jc w:val="both"/>
        <w:ind w:firstLine="459"/>
        <w:spacing w:after="0" w:line="258" w:lineRule="auto"/>
        <w:rPr>
          <w:sz w:val="20"/>
          <w:szCs w:val="20"/>
          <w:color w:val="auto"/>
        </w:rPr>
      </w:pPr>
      <w:r>
        <w:rPr>
          <w:rFonts w:ascii="Arial" w:cs="Arial" w:eastAsia="Arial" w:hAnsi="Arial"/>
          <w:sz w:val="16"/>
          <w:szCs w:val="16"/>
          <w:color w:val="auto"/>
        </w:rPr>
        <w:t>Our amended and restated certificate of incorporation and amended and restated bylaws divide our board of directors into three classes with staggered three-year terms. In addition, our amended and restated certificate of incorporation and amended and restated bylaws provide that directors may be removed only for cause and only by the affirmative vote of the holders of 66</w:t>
      </w:r>
      <w:r>
        <w:rPr>
          <w:rFonts w:ascii="Arial" w:cs="Arial" w:eastAsia="Arial" w:hAnsi="Arial"/>
          <w:sz w:val="23"/>
          <w:szCs w:val="23"/>
          <w:color w:val="auto"/>
          <w:vertAlign w:val="superscript"/>
        </w:rPr>
        <w:t>2</w:t>
      </w:r>
      <w:r>
        <w:rPr>
          <w:rFonts w:ascii="Arial" w:cs="Arial" w:eastAsia="Arial" w:hAnsi="Arial"/>
          <w:sz w:val="16"/>
          <w:szCs w:val="16"/>
          <w:color w:val="auto"/>
        </w:rPr>
        <w:t>/3% of our shares of capital stock present in person or by proxy and entitled to vote. Under our amended and restated certificate of incorporation and bylaws,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8" w:lineRule="exact"/>
        <w:rPr>
          <w:sz w:val="20"/>
          <w:szCs w:val="20"/>
          <w:color w:val="auto"/>
        </w:rPr>
      </w:pPr>
    </w:p>
    <w:p>
      <w:pPr>
        <w:jc w:val="both"/>
        <w:ind w:left="180" w:hanging="179"/>
        <w:spacing w:after="0" w:line="261" w:lineRule="auto"/>
        <w:rPr>
          <w:sz w:val="20"/>
          <w:szCs w:val="20"/>
          <w:color w:val="auto"/>
        </w:rPr>
      </w:pPr>
      <w:r>
        <w:rPr>
          <w:rFonts w:ascii="Arial" w:cs="Arial" w:eastAsia="Arial" w:hAnsi="Arial"/>
          <w:sz w:val="18"/>
          <w:szCs w:val="18"/>
          <w:b w:val="1"/>
          <w:bCs w:val="1"/>
          <w:i w:val="1"/>
          <w:iCs w:val="1"/>
          <w:color w:val="auto"/>
        </w:rPr>
        <w:t>Stockholder Action; Special Meeting of Stockholders; Advance Notice Requirements for Stockholder Proposals and Director Nominations</w:t>
      </w:r>
    </w:p>
    <w:p>
      <w:pPr>
        <w:spacing w:after="0" w:line="211" w:lineRule="exact"/>
        <w:rPr>
          <w:sz w:val="20"/>
          <w:szCs w:val="20"/>
          <w:color w:val="auto"/>
        </w:rPr>
      </w:pPr>
    </w:p>
    <w:p>
      <w:pPr>
        <w:jc w:val="both"/>
        <w:ind w:right="20" w:firstLine="499"/>
        <w:spacing w:after="0" w:line="270"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amended and restated certificate of incorporation and amended and restated bylaws also provide that, except as otherwise required by law, special meetings of the stockholders can only be called by the chairman of our board of directors, our chief executive officer or our board of directors. In addition, our amended and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57778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5777865" cy="2540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1" w:name="page192"/>
    <w:bookmarkEnd w:id="191"/>
    <w:p>
      <w:pPr>
        <w:jc w:val="both"/>
        <w:ind w:right="20"/>
        <w:spacing w:after="0" w:line="257" w:lineRule="auto"/>
        <w:rPr>
          <w:sz w:val="20"/>
          <w:szCs w:val="20"/>
          <w:color w:val="auto"/>
        </w:rPr>
      </w:pPr>
      <w:r>
        <w:rPr>
          <w:rFonts w:ascii="Arial" w:cs="Arial" w:eastAsia="Arial" w:hAnsi="Arial"/>
          <w:sz w:val="17"/>
          <w:szCs w:val="17"/>
          <w:color w:val="auto"/>
        </w:rPr>
        <w:t>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39" w:lineRule="exact"/>
        <w:rPr>
          <w:sz w:val="20"/>
          <w:szCs w:val="20"/>
          <w:color w:val="auto"/>
        </w:rPr>
      </w:pPr>
    </w:p>
    <w:p>
      <w:pPr>
        <w:jc w:val="both"/>
        <w:ind w:firstLine="503"/>
        <w:spacing w:after="0" w:line="21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/3% of the votes that all our stockholders would be entitled to cast in any annual election of directors. In addition, the affirmative vote of the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/3% of the votes that all our stockholders would be entitled to cast in any election of directors is required to amend or repeal or to adopt any provisions inconsistent with any of the provisions of our amended and restated certificate of incorporation described above.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52" w:lineRule="exact"/>
        <w:rPr>
          <w:sz w:val="20"/>
          <w:szCs w:val="20"/>
          <w:color w:val="auto"/>
        </w:rPr>
      </w:pPr>
    </w:p>
    <w:p>
      <w:pPr>
        <w:jc w:val="both"/>
        <w:ind w:right="20" w:firstLine="369"/>
        <w:spacing w:after="0" w:line="239" w:lineRule="auto"/>
        <w:rPr>
          <w:sz w:val="20"/>
          <w:szCs w:val="20"/>
          <w:color w:val="auto"/>
        </w:rPr>
      </w:pPr>
      <w:r>
        <w:rPr>
          <w:rFonts w:ascii="Arial" w:cs="Arial" w:eastAsia="Arial" w:hAnsi="Arial"/>
          <w:sz w:val="18"/>
          <w:szCs w:val="18"/>
          <w:color w:val="auto"/>
        </w:rPr>
        <w:t>We are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18" w:lineRule="exact"/>
        <w:rPr>
          <w:sz w:val="20"/>
          <w:szCs w:val="20"/>
          <w:color w:val="auto"/>
        </w:rPr>
      </w:pPr>
    </w:p>
    <w:p>
      <w:pPr>
        <w:jc w:val="both"/>
        <w:ind w:firstLine="436"/>
        <w:spacing w:after="0" w:line="253"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56" w:lineRule="exact"/>
        <w:rPr>
          <w:sz w:val="20"/>
          <w:szCs w:val="20"/>
          <w:color w:val="auto"/>
        </w:rPr>
      </w:pPr>
    </w:p>
    <w:p>
      <w:pPr>
        <w:jc w:val="both"/>
        <w:ind w:firstLine="422"/>
        <w:spacing w:after="0" w:line="268"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amended and restated certificate of incorporation or amended and restated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57778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2" w:name="page193"/>
    <w:bookmarkEnd w:id="192"/>
    <w:p>
      <w:pPr>
        <w:jc w:val="both"/>
        <w:spacing w:after="0" w:line="261" w:lineRule="auto"/>
        <w:rPr>
          <w:sz w:val="20"/>
          <w:szCs w:val="20"/>
          <w:color w:val="auto"/>
        </w:rPr>
      </w:pPr>
      <w:r>
        <w:rPr>
          <w:rFonts w:ascii="Arial" w:cs="Arial" w:eastAsia="Arial" w:hAnsi="Arial"/>
          <w:sz w:val="18"/>
          <w:szCs w:val="18"/>
          <w:color w:val="auto"/>
        </w:rPr>
        <w:t>contains the choice of forum provision described above, it is possible that a court could rule that such a provision is inapplicable for a particular claim or action or that such provision is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43" w:lineRule="exact"/>
        <w:rPr>
          <w:sz w:val="20"/>
          <w:szCs w:val="20"/>
          <w:color w:val="auto"/>
        </w:rPr>
      </w:pPr>
    </w:p>
    <w:p>
      <w:pPr>
        <w:jc w:val="both"/>
        <w:ind w:right="20" w:firstLine="537"/>
        <w:spacing w:after="0" w:line="279"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jc w:val="both"/>
        <w:ind w:right="20" w:firstLine="382"/>
        <w:spacing w:after="0" w:line="261"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NY 11219.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"YMAB."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57778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5777865" cy="26035"/>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3" w:name="page194"/>
    <w:bookmarkEnd w:id="193"/>
    <w:p>
      <w:pPr>
        <w:jc w:val="right"/>
        <w:ind w:right="219"/>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Subsidiaries of the Registrant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Y-mAbs Therapeutics A/S (Denmark)</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Y-mAbs Therapeutics (Cayman Islands)</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Note: Y-mAbs Therapeutics (Cayman Islands) is a dormant entity without any operations and holding no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4" w:name="page195"/>
    <w:bookmarkEnd w:id="194"/>
    <w:p>
      <w:pPr>
        <w:ind w:left="78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left="200" w:right="239"/>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333-230455) and Form S-3 (No. 333-234034) of Y-mAbs Therapeutics, Inc. of our report dated March 1,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Florham Park, New Jersey</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195" w:name="page196"/>
    <w:bookmarkEnd w:id="19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Claus Juan Møller San Pedro certify that:</w:t>
      </w:r>
    </w:p>
    <w:p>
      <w:pPr>
        <w:spacing w:after="0" w:line="171" w:lineRule="exact"/>
        <w:rPr>
          <w:sz w:val="20"/>
          <w:szCs w:val="20"/>
          <w:color w:val="auto"/>
        </w:rPr>
      </w:pPr>
    </w:p>
    <w:p>
      <w:pPr>
        <w:ind w:left="700" w:hanging="326"/>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Y-mAbs Therapeutics, Inc.;</w:t>
      </w:r>
    </w:p>
    <w:p>
      <w:pPr>
        <w:spacing w:after="0" w:line="184"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700" w:right="379" w:hanging="326"/>
        <w:spacing w:after="0" w:line="294" w:lineRule="auto"/>
        <w:tabs>
          <w:tab w:leader="none" w:pos="7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6"/>
          <w:szCs w:val="16"/>
          <w:color w:val="auto"/>
        </w:rPr>
      </w:pPr>
    </w:p>
    <w:p>
      <w:pPr>
        <w:ind w:left="1440" w:right="119" w:hanging="377"/>
        <w:spacing w:after="0" w:line="243" w:lineRule="auto"/>
        <w:tabs>
          <w:tab w:leader="none" w:pos="14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440" w:right="99" w:hanging="377"/>
        <w:spacing w:after="0" w:line="243" w:lineRule="auto"/>
        <w:tabs>
          <w:tab w:leader="none" w:pos="14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440" w:right="79" w:hanging="377"/>
        <w:spacing w:after="0" w:line="248" w:lineRule="auto"/>
        <w:tabs>
          <w:tab w:leader="none" w:pos="14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440" w:right="359" w:hanging="377"/>
        <w:spacing w:after="0" w:line="262" w:lineRule="auto"/>
        <w:tabs>
          <w:tab w:leader="none" w:pos="14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7"/>
          <w:szCs w:val="17"/>
          <w:color w:val="auto"/>
        </w:rPr>
      </w:pPr>
    </w:p>
    <w:p>
      <w:pPr>
        <w:jc w:val="both"/>
        <w:ind w:left="700" w:right="339" w:hanging="326"/>
        <w:spacing w:after="0" w:line="248"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560" w:right="99" w:hanging="497"/>
        <w:spacing w:after="0" w:line="248" w:lineRule="auto"/>
        <w:tabs>
          <w:tab w:leader="none" w:pos="15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560" w:right="679" w:hanging="497"/>
        <w:spacing w:after="0" w:line="261" w:lineRule="auto"/>
        <w:tabs>
          <w:tab w:leader="none" w:pos="15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 2021</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Claus Juan Møller San Pedro</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Claus Juan Møller San 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200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6" w:name="page197"/>
    <w:bookmarkEnd w:id="19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Bo Kruse, certify that:</w:t>
      </w:r>
    </w:p>
    <w:p>
      <w:pPr>
        <w:spacing w:after="0" w:line="171" w:lineRule="exact"/>
        <w:rPr>
          <w:sz w:val="20"/>
          <w:szCs w:val="20"/>
          <w:color w:val="auto"/>
        </w:rPr>
      </w:pPr>
    </w:p>
    <w:p>
      <w:pPr>
        <w:ind w:left="700" w:hanging="32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Y-mAbs Therapeutics, Inc.;</w:t>
      </w:r>
    </w:p>
    <w:p>
      <w:pPr>
        <w:spacing w:after="0" w:line="184"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700" w:right="379" w:hanging="326"/>
        <w:spacing w:after="0" w:line="294" w:lineRule="auto"/>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6"/>
          <w:szCs w:val="16"/>
          <w:color w:val="auto"/>
        </w:rPr>
      </w:pPr>
    </w:p>
    <w:p>
      <w:pPr>
        <w:ind w:left="1460" w:right="99" w:hanging="330"/>
        <w:spacing w:after="0" w:line="243" w:lineRule="auto"/>
        <w:tabs>
          <w:tab w:leader="none" w:pos="14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460" w:right="79" w:hanging="330"/>
        <w:spacing w:after="0" w:line="243" w:lineRule="auto"/>
        <w:tabs>
          <w:tab w:leader="none" w:pos="14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460" w:right="219" w:hanging="330"/>
        <w:spacing w:after="0" w:line="270" w:lineRule="auto"/>
        <w:tabs>
          <w:tab w:leader="none" w:pos="14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7"/>
          <w:szCs w:val="17"/>
          <w:color w:val="auto"/>
        </w:rPr>
      </w:pPr>
    </w:p>
    <w:p>
      <w:pPr>
        <w:ind w:left="1460" w:right="359" w:hanging="330"/>
        <w:spacing w:after="0" w:line="262" w:lineRule="auto"/>
        <w:tabs>
          <w:tab w:leader="none" w:pos="14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7"/>
          <w:szCs w:val="17"/>
          <w:color w:val="auto"/>
        </w:rPr>
      </w:pPr>
    </w:p>
    <w:p>
      <w:pPr>
        <w:jc w:val="both"/>
        <w:ind w:left="700" w:right="339" w:hanging="326"/>
        <w:spacing w:after="0" w:line="248"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460" w:right="219" w:hanging="330"/>
        <w:spacing w:after="0" w:line="248" w:lineRule="auto"/>
        <w:tabs>
          <w:tab w:leader="none" w:pos="14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460" w:right="799" w:hanging="330"/>
        <w:spacing w:after="0" w:line="261" w:lineRule="auto"/>
        <w:tabs>
          <w:tab w:leader="none" w:pos="14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 2021</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Bo Kruse</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200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EVP, Chief Financial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7" w:name="page198"/>
    <w:bookmarkEnd w:id="19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6"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1" w:lineRule="exact"/>
        <w:rPr>
          <w:sz w:val="20"/>
          <w:szCs w:val="20"/>
          <w:color w:val="auto"/>
        </w:rPr>
      </w:pPr>
    </w:p>
    <w:p>
      <w:pPr>
        <w:ind w:left="1440" w:right="299" w:hanging="377"/>
        <w:spacing w:after="0" w:line="248" w:lineRule="auto"/>
        <w:tabs>
          <w:tab w:leader="none" w:pos="1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2020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40" w:right="239" w:hanging="377"/>
        <w:spacing w:after="0" w:line="261" w:lineRule="auto"/>
        <w:tabs>
          <w:tab w:leader="none" w:pos="1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Dated: March 1, 2021</w:t>
      </w:r>
      <w:r>
        <w:rPr>
          <w:sz w:val="20"/>
          <w:szCs w:val="20"/>
          <w:color w:val="auto"/>
        </w:rPr>
        <w:tab/>
      </w:r>
      <w:r>
        <w:rPr>
          <w:rFonts w:ascii="Arial" w:cs="Arial" w:eastAsia="Arial" w:hAnsi="Arial"/>
          <w:sz w:val="15"/>
          <w:szCs w:val="15"/>
          <w:color w:val="auto"/>
        </w:rPr>
        <w:t>/s/ Claus Juan Møller San 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Claus Juan Møller San Pedro</w:t>
      </w:r>
    </w:p>
    <w:p>
      <w:pPr>
        <w:ind w:left="452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8" w:name="page199"/>
    <w:bookmarkEnd w:id="19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6"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1" w:lineRule="exact"/>
        <w:rPr>
          <w:sz w:val="20"/>
          <w:szCs w:val="20"/>
          <w:color w:val="auto"/>
        </w:rPr>
      </w:pPr>
    </w:p>
    <w:p>
      <w:pPr>
        <w:ind w:left="1440" w:right="299" w:hanging="377"/>
        <w:spacing w:after="0" w:line="248" w:lineRule="auto"/>
        <w:tabs>
          <w:tab w:leader="none" w:pos="1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2020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40" w:right="239" w:hanging="377"/>
        <w:spacing w:after="0" w:line="261" w:lineRule="auto"/>
        <w:tabs>
          <w:tab w:leader="none" w:pos="1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Dated: March 1, 2021</w:t>
      </w:r>
      <w:r>
        <w:rPr>
          <w:sz w:val="20"/>
          <w:szCs w:val="20"/>
          <w:color w:val="auto"/>
        </w:rPr>
        <w:tab/>
      </w:r>
      <w:r>
        <w:rPr>
          <w:rFonts w:ascii="Arial" w:cs="Arial" w:eastAsia="Arial" w:hAnsi="Arial"/>
          <w:sz w:val="16"/>
          <w:szCs w:val="16"/>
          <w:color w:val="auto"/>
        </w:rPr>
        <w:t>/s/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Bo Kruse</w:t>
      </w:r>
    </w:p>
    <w:p>
      <w:pPr>
        <w:ind w:left="4520"/>
        <w:spacing w:after="0" w:line="234" w:lineRule="auto"/>
        <w:rPr>
          <w:sz w:val="20"/>
          <w:szCs w:val="20"/>
          <w:color w:val="auto"/>
        </w:rPr>
      </w:pPr>
      <w:r>
        <w:rPr>
          <w:rFonts w:ascii="Arial" w:cs="Arial" w:eastAsia="Arial" w:hAnsi="Arial"/>
          <w:sz w:val="18"/>
          <w:szCs w:val="18"/>
          <w:color w:val="auto"/>
        </w:rPr>
        <w:t>Title: EVP and Chief Financial Officer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20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2"/>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1)"/>
      <w:numFmt w:val="lowerRoman"/>
      <w:start w:val="2"/>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o"/>
      <w:numFmt w:val="bullet"/>
      <w:start w:val="1"/>
    </w:lvl>
  </w:abstractNum>
  <w:abstractNum w:abstractNumId="16">
    <w:nsid w:val="77AE35EB"/>
    <w:multiLevelType w:val="hybridMultilevel"/>
    <w:lvl w:ilvl="0">
      <w:lvlJc w:val="left"/>
      <w:lvlText w:val="●"/>
      <w:numFmt w:val="bullet"/>
      <w:start w:val="1"/>
    </w:lvl>
    <w:lvl w:ilvl="1">
      <w:lvlJc w:val="left"/>
      <w:lvlText w:val="o"/>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decimal"/>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lvl w:ilvl="1">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1)"/>
      <w:numFmt w:val="decimal"/>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decimal"/>
      <w:start w:val="23"/>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lowerRoman"/>
      <w:start w:val="1"/>
    </w:lvl>
  </w:abstractNum>
  <w:abstractNum w:abstractNumId="108">
    <w:nsid w:val="1D9F6E5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4"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07" Type="http://schemas.openxmlformats.org/officeDocument/2006/relationships/hyperlink" Target="http://www.sec.gov/Archives/edgar/data/1722964/000104746918005786/a2236551zex-3_3.htm" TargetMode="External"/><Relationship Id="rId208" Type="http://schemas.openxmlformats.org/officeDocument/2006/relationships/hyperlink" Target="http://www.sec.gov/Archives/edgar/data/1722964/000104746918005786/a2236551zex-3_4.htm" TargetMode="External"/><Relationship Id="rId209" Type="http://schemas.openxmlformats.org/officeDocument/2006/relationships/hyperlink" Target="http://www.sec.gov/Archives/edgar/data/1722964/000104746918006039/a2236615zex-4_1.htm" TargetMode="External"/><Relationship Id="rId210" Type="http://schemas.openxmlformats.org/officeDocument/2006/relationships/hyperlink" Target="http://www.sec.gov/Archives/edgar/data/1722964/000104746918005786/a2236551zex-4_2.htm" TargetMode="External"/><Relationship Id="rId211" Type="http://schemas.openxmlformats.org/officeDocument/2006/relationships/hyperlink" Target="http://www.sec.gov/Archives/edgar/data/1722964/000104746918005786/a2236551zex-4_3a.htm" TargetMode="External"/><Relationship Id="rId212" Type="http://schemas.openxmlformats.org/officeDocument/2006/relationships/hyperlink" Target="http://www.sec.gov/Archives/edgar/data/1722964/000104746918005786/a2236551zex-4_3b.htm" TargetMode="External"/><Relationship Id="rId213" Type="http://schemas.openxmlformats.org/officeDocument/2006/relationships/hyperlink" Target="http://www.sec.gov/Archives/edgar/data/1722964/000104746918005786/a2236551zex-4_3c.htm" TargetMode="External"/><Relationship Id="rId215" Type="http://schemas.openxmlformats.org/officeDocument/2006/relationships/hyperlink" Target="http://www.sec.gov/Archives/edgar/data/1722964/000104746918005786/a2236551zex-10_1.htm" TargetMode="External"/><Relationship Id="rId216" Type="http://schemas.openxmlformats.org/officeDocument/2006/relationships/hyperlink" Target="http://www.sec.gov/Archives/edgar/data/1722964/000104746918005786/a2236551zex-10_2.htm" TargetMode="External"/><Relationship Id="rId217" Type="http://schemas.openxmlformats.org/officeDocument/2006/relationships/hyperlink" Target="http://www.sec.gov/Archives/edgar/data/1722964/000104746918005786/a2236551zex-10_3.htm" TargetMode="External"/><Relationship Id="rId218" Type="http://schemas.openxmlformats.org/officeDocument/2006/relationships/hyperlink" Target="http://www.sec.gov/Archives/edgar/data/1722964/000104746918005786/a2236551zex-10_4.htm" TargetMode="External"/><Relationship Id="rId219" Type="http://schemas.openxmlformats.org/officeDocument/2006/relationships/hyperlink" Target="http://www.sec.gov/Archives/edgar/data/1722964/000104746918005786/a2236551zex-10_5.htm" TargetMode="External"/><Relationship Id="rId220" Type="http://schemas.openxmlformats.org/officeDocument/2006/relationships/hyperlink" Target="http://www.sec.gov/Archives/edgar/data/1722964/000104746918005786/a2236551zex-10_6.htm" TargetMode="External"/><Relationship Id="rId221" Type="http://schemas.openxmlformats.org/officeDocument/2006/relationships/hyperlink" Target="http://www.sec.gov/Archives/edgar/data/1722964/000104746918005786/a2236551zex-10_7.htm" TargetMode="External"/><Relationship Id="rId222" Type="http://schemas.openxmlformats.org/officeDocument/2006/relationships/hyperlink" Target="http://www.sec.gov/Archives/edgar/data/1722964/000104746918005786/a2236551zex-10_8.htm" TargetMode="External"/><Relationship Id="rId223" Type="http://schemas.openxmlformats.org/officeDocument/2006/relationships/hyperlink" Target="http://www.sec.gov/Archives/edgar/data/1722964/000104746918005786/a2236551zex-10_9.htm" TargetMode="External"/><Relationship Id="rId224" Type="http://schemas.openxmlformats.org/officeDocument/2006/relationships/hyperlink" Target="http://www.sec.gov/Archives/edgar/data/1722964/000104746918005786/a2236551zex-10_10.htm" TargetMode="External"/><Relationship Id="rId225" Type="http://schemas.openxmlformats.org/officeDocument/2006/relationships/hyperlink" Target="http://www.sec.gov/Archives/edgar/data/1722964/000104746918005786/a2236551zex-10_11.htm" TargetMode="External"/><Relationship Id="rId226" Type="http://schemas.openxmlformats.org/officeDocument/2006/relationships/hyperlink" Target="http://www.sec.gov/Archives/edgar/data/1722964/000104746918005786/a2236551zex-10_12.htm" TargetMode="External"/><Relationship Id="rId227" Type="http://schemas.openxmlformats.org/officeDocument/2006/relationships/hyperlink" Target="http://www.sec.gov/Archives/edgar/data/1722964/000104746918005786/a2236551zex-10_13.htm" TargetMode="External"/><Relationship Id="rId228" Type="http://schemas.openxmlformats.org/officeDocument/2006/relationships/hyperlink" Target="http://www.sec.gov/Archives/edgar/data/1722964/000104746918005786/a2236551zex-10_14.htm" TargetMode="External"/><Relationship Id="rId229" Type="http://schemas.openxmlformats.org/officeDocument/2006/relationships/hyperlink" Target="http://www.sec.gov/Archives/edgar/data/1722964/000104746918005786/a2236551zex-10_15.htm" TargetMode="External"/><Relationship Id="rId230" Type="http://schemas.openxmlformats.org/officeDocument/2006/relationships/hyperlink" Target="http://www.sec.gov/Archives/edgar/data/1722964/000104746918005786/a2236551zex-10_16.htm" TargetMode="External"/><Relationship Id="rId231" Type="http://schemas.openxmlformats.org/officeDocument/2006/relationships/hyperlink" Target="http://www.sec.gov/Archives/edgar/data/1722964/000104746918005786/a2236551zex-10_17.htm" TargetMode="External"/><Relationship Id="rId232" Type="http://schemas.openxmlformats.org/officeDocument/2006/relationships/hyperlink" Target="https://www.sec.gov/Archives/edgar/data/1722964/000104746918005786/a2236551zex-10_18.htm" TargetMode="External"/><Relationship Id="rId233" Type="http://schemas.openxmlformats.org/officeDocument/2006/relationships/hyperlink" Target="http://www.sec.gov/Archives/edgar/data/1722964/000104746918005786/a2236551zex-10_19.htm" TargetMode="External"/><Relationship Id="rId234" Type="http://schemas.openxmlformats.org/officeDocument/2006/relationships/hyperlink" Target="http://www.sec.gov/Archives/edgar/data/1722964/000110465919050729/a19-18811_1ex10d1.htm" TargetMode="External"/><Relationship Id="rId235" Type="http://schemas.openxmlformats.org/officeDocument/2006/relationships/hyperlink" Target="http://www.sec.gov/Archives/edgar/data/1722964/000110465919074450/tm1926671d1_ex10-1.htm" TargetMode="External"/><Relationship Id="rId236" Type="http://schemas.openxmlformats.org/officeDocument/2006/relationships/hyperlink" Target="http://www.sec.gov/Archives/edgar/data/1722964/000110465919074450/tm1926671d1_ex10-2.htm" TargetMode="External"/><Relationship Id="rId237" Type="http://schemas.openxmlformats.org/officeDocument/2006/relationships/hyperlink" Target="https://www.sec.gov/Archives/edgar/data/1722964/000110465920049239/tm2016479d1_ex10-1.htm" TargetMode="External"/><Relationship Id="rId238" Type="http://schemas.openxmlformats.org/officeDocument/2006/relationships/hyperlink" Target="https://www.sec.gov/Archives/edgar/data/1722964/000110465920113442/tm2032563d3_ex10-1.htm" TargetMode="External"/><Relationship Id="rId239" Type="http://schemas.openxmlformats.org/officeDocument/2006/relationships/hyperlink" Target="https://www.sec.gov/Archives/edgar/data/1722964/000155837020012905/ymab-20200930xex10d8.htm" TargetMode="External"/><Relationship Id="rId240" Type="http://schemas.openxmlformats.org/officeDocument/2006/relationships/hyperlink" Target="https://www.sec.gov/Archives/edgar/data/1722964/000155837020012905/ymab-20200930xex10d9.htm" TargetMode="External"/><Relationship Id="rId241" Type="http://schemas.openxmlformats.org/officeDocument/2006/relationships/hyperlink" Target="https://www.sec.gov/Archives/edgar/data/1722964/000110465920138646/tm2039168d1_ex10-1.htm" TargetMode="External"/><Relationship Id="rId242" Type="http://schemas.openxmlformats.org/officeDocument/2006/relationships/hyperlink" Target="https://www.sec.gov/Archives/edgar/data/1722964/000110465921025436/tm2170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2021-03-01T15:59:00Z</dcterms:created>
  <dcterms:modified xsi:type="dcterms:W3CDTF">2021-03-01T15:59:00Z</dcterms:modified>
</cp:coreProperties>
</file>