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17">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640"/>
        <w:spacing w:after="0"/>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w:t>
      </w:r>
    </w:p>
    <w:p>
      <w:pPr>
        <w:spacing w:after="0" w:line="227"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As confidentially submitted to the Securities and Exchange Commission on February 13, 2018.</w:t>
      </w:r>
    </w:p>
    <w:p>
      <w:pPr>
        <w:spacing w:after="0" w:line="204" w:lineRule="exact"/>
        <w:rPr>
          <w:sz w:val="24"/>
          <w:szCs w:val="24"/>
          <w:color w:val="auto"/>
        </w:rPr>
      </w:pPr>
    </w:p>
    <w:p>
      <w:pPr>
        <w:ind w:left="98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REGISTRATION STATEMENT</w:t>
      </w:r>
    </w:p>
    <w:p>
      <w:pPr>
        <w:jc w:val="center"/>
        <w:ind w:right="-59"/>
        <w:spacing w:after="0" w:line="221" w:lineRule="auto"/>
        <w:rPr>
          <w:sz w:val="20"/>
          <w:szCs w:val="20"/>
          <w:color w:val="auto"/>
        </w:rPr>
      </w:pPr>
      <w:r>
        <w:rPr>
          <w:rFonts w:ascii="Arial" w:cs="Arial" w:eastAsia="Arial" w:hAnsi="Arial"/>
          <w:sz w:val="14"/>
          <w:szCs w:val="14"/>
          <w:b w:val="1"/>
          <w:bCs w:val="1"/>
          <w:color w:val="auto"/>
        </w:rPr>
        <w:t>UNDER</w:t>
      </w:r>
    </w:p>
    <w:p>
      <w:pPr>
        <w:jc w:val="center"/>
        <w:ind w:right="-5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Y-mAbs Therapeutics, Inc.</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080" w:type="dxa"/>
        <w:tblCellMar>
          <w:top w:w="0" w:type="dxa"/>
          <w:left w:w="0" w:type="dxa"/>
          <w:bottom w:w="0" w:type="dxa"/>
          <w:right w:w="0" w:type="dxa"/>
        </w:tblCellMar>
      </w:tblPr>
      <w:tr>
        <w:trPr>
          <w:trHeight w:val="161"/>
        </w:trPr>
        <w:tc>
          <w:tcPr>
            <w:tcW w:w="174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State of Delaware</w:t>
            </w:r>
          </w:p>
        </w:tc>
        <w:tc>
          <w:tcPr>
            <w:tcW w:w="18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47-4619612</w:t>
            </w:r>
          </w:p>
        </w:tc>
      </w:tr>
      <w:tr>
        <w:trPr>
          <w:trHeight w:val="149"/>
        </w:trPr>
        <w:tc>
          <w:tcPr>
            <w:tcW w:w="17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88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740" w:type="dxa"/>
            <w:vAlign w:val="bottom"/>
          </w:tcPr>
          <w:p>
            <w:pPr>
              <w:jc w:val="center"/>
              <w:ind w:right="32"/>
              <w:spacing w:after="0"/>
              <w:rPr>
                <w:sz w:val="20"/>
                <w:szCs w:val="20"/>
                <w:color w:val="auto"/>
              </w:rPr>
            </w:pPr>
            <w:r>
              <w:rPr>
                <w:rFonts w:ascii="Arial" w:cs="Arial" w:eastAsia="Arial" w:hAnsi="Arial"/>
                <w:sz w:val="14"/>
                <w:szCs w:val="14"/>
                <w:color w:val="auto"/>
                <w:w w:val="90"/>
              </w:rPr>
              <w:t>incorporation or organization)</w:t>
            </w:r>
          </w:p>
        </w:tc>
        <w:tc>
          <w:tcPr>
            <w:tcW w:w="1880" w:type="dxa"/>
            <w:vAlign w:val="bottom"/>
          </w:tcPr>
          <w:p>
            <w:pPr>
              <w:jc w:val="center"/>
              <w:ind w:right="32"/>
              <w:spacing w:after="0"/>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rPr>
                <w:sz w:val="20"/>
                <w:szCs w:val="20"/>
                <w:color w:val="auto"/>
              </w:rPr>
            </w:pPr>
            <w:r>
              <w:rPr>
                <w:rFonts w:ascii="Arial" w:cs="Arial" w:eastAsia="Arial" w:hAnsi="Arial"/>
                <w:sz w:val="14"/>
                <w:szCs w:val="14"/>
                <w:color w:val="auto"/>
                <w:w w:val="90"/>
              </w:rPr>
              <w:t>Identification Number)</w:t>
            </w:r>
          </w:p>
        </w:tc>
      </w:tr>
    </w:tbl>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Y-mAbs Therapeutics, Inc.</w:t>
      </w:r>
    </w:p>
    <w:p>
      <w:pPr>
        <w:jc w:val="center"/>
        <w:ind w:right="-59"/>
        <w:spacing w:after="0" w:line="213" w:lineRule="auto"/>
        <w:rPr>
          <w:sz w:val="20"/>
          <w:szCs w:val="20"/>
          <w:color w:val="auto"/>
        </w:rPr>
      </w:pPr>
      <w:r>
        <w:rPr>
          <w:rFonts w:ascii="Arial" w:cs="Arial" w:eastAsia="Arial" w:hAnsi="Arial"/>
          <w:sz w:val="14"/>
          <w:szCs w:val="14"/>
          <w:b w:val="1"/>
          <w:bCs w:val="1"/>
          <w:color w:val="auto"/>
        </w:rPr>
        <w:t>750 Third Avenue</w:t>
      </w:r>
    </w:p>
    <w:p>
      <w:pPr>
        <w:jc w:val="center"/>
        <w:ind w:right="-59"/>
        <w:spacing w:after="0" w:line="181" w:lineRule="auto"/>
        <w:rPr>
          <w:sz w:val="20"/>
          <w:szCs w:val="20"/>
          <w:color w:val="auto"/>
        </w:rPr>
      </w:pPr>
      <w:r>
        <w:rPr>
          <w:rFonts w:ascii="Arial" w:cs="Arial" w:eastAsia="Arial" w:hAnsi="Arial"/>
          <w:sz w:val="13"/>
          <w:szCs w:val="13"/>
          <w:b w:val="1"/>
          <w:bCs w:val="1"/>
          <w:color w:val="auto"/>
        </w:rPr>
        <w:t>9</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Floor</w:t>
      </w:r>
    </w:p>
    <w:p>
      <w:pPr>
        <w:jc w:val="center"/>
        <w:ind w:right="-59"/>
        <w:spacing w:after="0" w:line="222" w:lineRule="auto"/>
        <w:rPr>
          <w:sz w:val="20"/>
          <w:szCs w:val="20"/>
          <w:color w:val="auto"/>
        </w:rPr>
      </w:pPr>
      <w:r>
        <w:rPr>
          <w:rFonts w:ascii="Arial" w:cs="Arial" w:eastAsia="Arial" w:hAnsi="Arial"/>
          <w:sz w:val="14"/>
          <w:szCs w:val="14"/>
          <w:b w:val="1"/>
          <w:bCs w:val="1"/>
          <w:color w:val="auto"/>
        </w:rPr>
        <w:t>New York, NY 10017</w:t>
      </w:r>
    </w:p>
    <w:p>
      <w:pPr>
        <w:jc w:val="center"/>
        <w:ind w:right="-59"/>
        <w:spacing w:after="0" w:line="221" w:lineRule="auto"/>
        <w:rPr>
          <w:sz w:val="20"/>
          <w:szCs w:val="20"/>
          <w:color w:val="auto"/>
        </w:rPr>
      </w:pPr>
      <w:r>
        <w:rPr>
          <w:rFonts w:ascii="Arial" w:cs="Arial" w:eastAsia="Arial" w:hAnsi="Arial"/>
          <w:sz w:val="14"/>
          <w:szCs w:val="14"/>
          <w:b w:val="1"/>
          <w:bCs w:val="1"/>
          <w:color w:val="auto"/>
        </w:rPr>
        <w:t>Tel. (212) 847-9841</w:t>
      </w:r>
    </w:p>
    <w:p>
      <w:pPr>
        <w:jc w:val="center"/>
        <w:ind w:right="-59"/>
        <w:spacing w:after="0" w:line="222" w:lineRule="auto"/>
        <w:rPr>
          <w:sz w:val="20"/>
          <w:szCs w:val="20"/>
          <w:color w:val="auto"/>
        </w:rPr>
      </w:pPr>
      <w:r>
        <w:rPr>
          <w:rFonts w:ascii="Arial" w:cs="Arial" w:eastAsia="Arial" w:hAnsi="Arial"/>
          <w:sz w:val="14"/>
          <w:szCs w:val="14"/>
          <w:color w:val="auto"/>
        </w:rPr>
        <w:t>(Address, including zip code, and telephone number,</w:t>
      </w:r>
    </w:p>
    <w:p>
      <w:pPr>
        <w:jc w:val="center"/>
        <w:ind w:right="-59"/>
        <w:spacing w:after="0"/>
        <w:rPr>
          <w:sz w:val="20"/>
          <w:szCs w:val="20"/>
          <w:color w:val="auto"/>
        </w:rPr>
      </w:pPr>
      <w:r>
        <w:rPr>
          <w:rFonts w:ascii="Arial" w:cs="Arial" w:eastAsia="Arial" w:hAnsi="Arial"/>
          <w:sz w:val="14"/>
          <w:szCs w:val="14"/>
          <w:color w:val="auto"/>
        </w:rPr>
        <w:t>including area code, of registrant's principal executive offices)</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Thomas Gad</w:t>
      </w:r>
    </w:p>
    <w:p>
      <w:pPr>
        <w:jc w:val="center"/>
        <w:ind w:right="-59"/>
        <w:spacing w:after="0" w:line="223" w:lineRule="auto"/>
        <w:rPr>
          <w:sz w:val="20"/>
          <w:szCs w:val="20"/>
          <w:color w:val="auto"/>
        </w:rPr>
      </w:pPr>
      <w:r>
        <w:rPr>
          <w:rFonts w:ascii="Arial" w:cs="Arial" w:eastAsia="Arial" w:hAnsi="Arial"/>
          <w:sz w:val="14"/>
          <w:szCs w:val="14"/>
          <w:b w:val="1"/>
          <w:bCs w:val="1"/>
          <w:color w:val="auto"/>
        </w:rPr>
        <w:t>Founder, Chairman, President and Head of Business Development</w:t>
      </w:r>
    </w:p>
    <w:p>
      <w:pPr>
        <w:jc w:val="center"/>
        <w:ind w:right="-59"/>
        <w:spacing w:after="0" w:line="222" w:lineRule="auto"/>
        <w:rPr>
          <w:sz w:val="20"/>
          <w:szCs w:val="20"/>
          <w:color w:val="auto"/>
        </w:rPr>
      </w:pPr>
      <w:r>
        <w:rPr>
          <w:rFonts w:ascii="Arial" w:cs="Arial" w:eastAsia="Arial" w:hAnsi="Arial"/>
          <w:sz w:val="14"/>
          <w:szCs w:val="14"/>
          <w:b w:val="1"/>
          <w:bCs w:val="1"/>
          <w:color w:val="auto"/>
        </w:rPr>
        <w:t>Y-mAbs Therapeutics, Inc.</w:t>
      </w:r>
    </w:p>
    <w:p>
      <w:pPr>
        <w:jc w:val="center"/>
        <w:ind w:right="-59"/>
        <w:spacing w:after="0" w:line="211" w:lineRule="auto"/>
        <w:rPr>
          <w:sz w:val="20"/>
          <w:szCs w:val="20"/>
          <w:color w:val="auto"/>
        </w:rPr>
      </w:pPr>
      <w:r>
        <w:rPr>
          <w:rFonts w:ascii="Arial" w:cs="Arial" w:eastAsia="Arial" w:hAnsi="Arial"/>
          <w:sz w:val="14"/>
          <w:szCs w:val="14"/>
          <w:b w:val="1"/>
          <w:bCs w:val="1"/>
          <w:color w:val="auto"/>
        </w:rPr>
        <w:t>750 Third Avenue</w:t>
      </w:r>
    </w:p>
    <w:p>
      <w:pPr>
        <w:jc w:val="center"/>
        <w:ind w:right="-59"/>
        <w:spacing w:after="0" w:line="181" w:lineRule="auto"/>
        <w:rPr>
          <w:sz w:val="20"/>
          <w:szCs w:val="20"/>
          <w:color w:val="auto"/>
        </w:rPr>
      </w:pPr>
      <w:r>
        <w:rPr>
          <w:rFonts w:ascii="Arial" w:cs="Arial" w:eastAsia="Arial" w:hAnsi="Arial"/>
          <w:sz w:val="13"/>
          <w:szCs w:val="13"/>
          <w:b w:val="1"/>
          <w:bCs w:val="1"/>
          <w:color w:val="auto"/>
        </w:rPr>
        <w:t>9</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Floor</w:t>
      </w:r>
    </w:p>
    <w:p>
      <w:pPr>
        <w:jc w:val="center"/>
        <w:ind w:right="-59"/>
        <w:spacing w:after="0" w:line="222" w:lineRule="auto"/>
        <w:rPr>
          <w:sz w:val="20"/>
          <w:szCs w:val="20"/>
          <w:color w:val="auto"/>
        </w:rPr>
      </w:pPr>
      <w:r>
        <w:rPr>
          <w:rFonts w:ascii="Arial" w:cs="Arial" w:eastAsia="Arial" w:hAnsi="Arial"/>
          <w:sz w:val="14"/>
          <w:szCs w:val="14"/>
          <w:b w:val="1"/>
          <w:bCs w:val="1"/>
          <w:color w:val="auto"/>
        </w:rPr>
        <w:t>New York, NY 10017</w:t>
      </w:r>
    </w:p>
    <w:p>
      <w:pPr>
        <w:jc w:val="center"/>
        <w:ind w:right="-59"/>
        <w:spacing w:after="0" w:line="221" w:lineRule="auto"/>
        <w:rPr>
          <w:sz w:val="20"/>
          <w:szCs w:val="20"/>
          <w:color w:val="auto"/>
        </w:rPr>
      </w:pPr>
      <w:r>
        <w:rPr>
          <w:rFonts w:ascii="Arial" w:cs="Arial" w:eastAsia="Arial" w:hAnsi="Arial"/>
          <w:sz w:val="14"/>
          <w:szCs w:val="14"/>
          <w:b w:val="1"/>
          <w:bCs w:val="1"/>
          <w:color w:val="auto"/>
        </w:rPr>
        <w:t>Tel. (212) 847-9841</w:t>
      </w:r>
    </w:p>
    <w:p>
      <w:pPr>
        <w:ind w:left="4360"/>
        <w:spacing w:after="0" w:line="222" w:lineRule="auto"/>
        <w:rPr>
          <w:sz w:val="20"/>
          <w:szCs w:val="20"/>
          <w:color w:val="auto"/>
        </w:rPr>
      </w:pPr>
      <w:r>
        <w:rPr>
          <w:rFonts w:ascii="Arial" w:cs="Arial" w:eastAsia="Arial" w:hAnsi="Arial"/>
          <w:sz w:val="14"/>
          <w:szCs w:val="14"/>
          <w:color w:val="auto"/>
        </w:rPr>
        <w:t>(Name, address, including zip code, and telephone</w:t>
      </w:r>
    </w:p>
    <w:p>
      <w:pPr>
        <w:ind w:left="4360"/>
        <w:spacing w:after="0"/>
        <w:rPr>
          <w:sz w:val="20"/>
          <w:szCs w:val="20"/>
          <w:color w:val="auto"/>
        </w:rPr>
      </w:pPr>
      <w:r>
        <w:rPr>
          <w:rFonts w:ascii="Arial" w:cs="Arial" w:eastAsia="Arial" w:hAnsi="Arial"/>
          <w:sz w:val="14"/>
          <w:szCs w:val="14"/>
          <w:color w:val="auto"/>
        </w:rPr>
        <w:t>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366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2620" w:type="dxa"/>
            <w:vAlign w:val="bottom"/>
          </w:tcPr>
          <w:p>
            <w:pPr>
              <w:ind w:left="200"/>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1560" w:type="dxa"/>
            <w:vAlign w:val="bottom"/>
          </w:tcPr>
          <w:p>
            <w:pPr>
              <w:jc w:val="center"/>
              <w:ind w:right="132"/>
              <w:spacing w:after="0"/>
              <w:rPr>
                <w:sz w:val="20"/>
                <w:szCs w:val="20"/>
                <w:color w:val="auto"/>
              </w:rPr>
            </w:pPr>
            <w:r>
              <w:rPr>
                <w:rFonts w:ascii="Arial" w:cs="Arial" w:eastAsia="Arial" w:hAnsi="Arial"/>
                <w:sz w:val="14"/>
                <w:szCs w:val="14"/>
                <w:b w:val="1"/>
                <w:bCs w:val="1"/>
                <w:color w:val="auto"/>
                <w:w w:val="86"/>
              </w:rPr>
              <w:t>Dwight A. Kinsey, Esq.</w:t>
            </w:r>
          </w:p>
        </w:tc>
        <w:tc>
          <w:tcPr>
            <w:tcW w:w="2620" w:type="dxa"/>
            <w:vAlign w:val="bottom"/>
          </w:tcPr>
          <w:p>
            <w:pPr>
              <w:jc w:val="center"/>
              <w:ind w:left="1032"/>
              <w:spacing w:after="0"/>
              <w:rPr>
                <w:sz w:val="20"/>
                <w:szCs w:val="20"/>
                <w:color w:val="auto"/>
              </w:rPr>
            </w:pPr>
            <w:r>
              <w:rPr>
                <w:rFonts w:ascii="Arial" w:cs="Arial" w:eastAsia="Arial" w:hAnsi="Arial"/>
                <w:sz w:val="14"/>
                <w:szCs w:val="14"/>
                <w:b w:val="1"/>
                <w:bCs w:val="1"/>
                <w:color w:val="auto"/>
                <w:w w:val="91"/>
              </w:rPr>
              <w:t>Ilir Mujalovic, Esq.</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Michael D. Baird, Esq.</w:t>
            </w:r>
          </w:p>
        </w:tc>
        <w:tc>
          <w:tcPr>
            <w:tcW w:w="262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90"/>
              </w:rPr>
              <w:t>Shearman &amp; Sterling LLP</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Rina R. Patel, Esq.</w:t>
            </w:r>
          </w:p>
        </w:tc>
        <w:tc>
          <w:tcPr>
            <w:tcW w:w="262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86"/>
              </w:rPr>
              <w:t>599 Lexington Avenue</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6"/>
              </w:rPr>
              <w:t>Satterlee Stephens LLP</w:t>
            </w:r>
          </w:p>
        </w:tc>
        <w:tc>
          <w:tcPr>
            <w:tcW w:w="262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89"/>
              </w:rPr>
              <w:t>New York, NY 10022</w:t>
            </w:r>
          </w:p>
        </w:tc>
      </w:tr>
      <w:tr>
        <w:trPr>
          <w:trHeight w:val="149"/>
        </w:trPr>
        <w:tc>
          <w:tcPr>
            <w:tcW w:w="15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7"/>
              </w:rPr>
              <w:t>230 Park Avenue</w:t>
            </w:r>
          </w:p>
        </w:tc>
        <w:tc>
          <w:tcPr>
            <w:tcW w:w="262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88"/>
              </w:rPr>
              <w:t>Tel: (212) 848-4000</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New York, NY 10169</w:t>
            </w:r>
          </w:p>
        </w:tc>
        <w:tc>
          <w:tcPr>
            <w:tcW w:w="2620" w:type="dxa"/>
            <w:vAlign w:val="bottom"/>
          </w:tcPr>
          <w:p>
            <w:pPr>
              <w:spacing w:after="0"/>
              <w:rPr>
                <w:sz w:val="12"/>
                <w:szCs w:val="12"/>
                <w:color w:val="auto"/>
              </w:rPr>
            </w:pPr>
          </w:p>
        </w:tc>
      </w:tr>
      <w:tr>
        <w:trPr>
          <w:trHeight w:val="174"/>
        </w:trPr>
        <w:tc>
          <w:tcPr>
            <w:tcW w:w="156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Tel: (212) 818-9200</w:t>
            </w:r>
          </w:p>
        </w:tc>
        <w:tc>
          <w:tcPr>
            <w:tcW w:w="2620" w:type="dxa"/>
            <w:vAlign w:val="bottom"/>
          </w:tcPr>
          <w:p>
            <w:pPr>
              <w:spacing w:after="0"/>
              <w:rPr>
                <w:sz w:val="15"/>
                <w:szCs w:val="15"/>
                <w:color w:val="auto"/>
              </w:rPr>
            </w:pPr>
          </w:p>
        </w:tc>
      </w:tr>
    </w:tbl>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92" w:lineRule="exact"/>
        <w:rPr>
          <w:sz w:val="24"/>
          <w:szCs w:val="24"/>
          <w:color w:val="auto"/>
        </w:rPr>
      </w:pPr>
    </w:p>
    <w:p>
      <w:pPr>
        <w:ind w:left="640"/>
        <w:spacing w:after="0"/>
        <w:tabs>
          <w:tab w:leader="none" w:pos="1022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60" w:firstLine="642"/>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40" w:firstLine="642"/>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60" w:firstLine="642"/>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642"/>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685" w:right="279" w:bottom="9" w:gutter="0" w:footer="0" w:header="0"/>
        </w:sectPr>
      </w:pPr>
    </w:p>
    <w:p>
      <w:pPr>
        <w:spacing w:after="0" w:line="148" w:lineRule="exact"/>
        <w:rPr>
          <w:sz w:val="24"/>
          <w:szCs w:val="24"/>
          <w:color w:val="auto"/>
        </w:rPr>
      </w:pPr>
    </w:p>
    <w:p>
      <w:pPr>
        <w:ind w:left="130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44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48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12" w:lineRule="exact"/>
        <w:rPr>
          <w:sz w:val="24"/>
          <w:szCs w:val="24"/>
          <w:color w:val="auto"/>
        </w:rPr>
      </w:pPr>
    </w:p>
    <w:p>
      <w:pPr>
        <w:jc w:val="center"/>
        <w:ind w:right="480"/>
        <w:spacing w:after="0"/>
        <w:rPr>
          <w:sz w:val="20"/>
          <w:szCs w:val="20"/>
          <w:color w:val="auto"/>
        </w:rPr>
      </w:pPr>
      <w:r>
        <w:rPr>
          <w:rFonts w:ascii="Arial" w:cs="Arial" w:eastAsia="Arial" w:hAnsi="Arial"/>
          <w:sz w:val="14"/>
          <w:szCs w:val="14"/>
          <w:color w:val="auto"/>
        </w:rPr>
        <w:t>(Do not check if a</w:t>
      </w:r>
    </w:p>
    <w:p>
      <w:pPr>
        <w:jc w:val="center"/>
        <w:ind w:right="48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348" w:lineRule="exact"/>
        <w:rPr>
          <w:sz w:val="24"/>
          <w:szCs w:val="24"/>
          <w:color w:val="auto"/>
        </w:rPr>
      </w:pPr>
    </w:p>
    <w:p>
      <w:pPr>
        <w:sectPr>
          <w:pgSz w:w="11900" w:h="16838" w:orient="portrait"/>
          <w:cols w:equalWidth="0" w:num="4">
            <w:col w:w="3020" w:space="720"/>
            <w:col w:w="1440" w:space="720"/>
            <w:col w:w="1980" w:space="720"/>
            <w:col w:w="2780"/>
          </w:cols>
          <w:pgMar w:left="240" w:top="685" w:right="279" w:bottom="9" w:gutter="0" w:footer="0" w:header="0"/>
          <w:type w:val="continuous"/>
        </w:sectPr>
      </w:pPr>
    </w:p>
    <w:p>
      <w:pPr>
        <w:spacing w:after="0" w:line="15" w:lineRule="exact"/>
        <w:rPr>
          <w:sz w:val="24"/>
          <w:szCs w:val="24"/>
          <w:color w:val="auto"/>
        </w:rPr>
      </w:pPr>
    </w:p>
    <w:p>
      <w:pPr>
        <w:ind w:right="180" w:firstLine="642"/>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CALCULATION OF REGISTRATION FEE</w:t>
      </w:r>
    </w:p>
    <w:p>
      <w:pPr>
        <w:sectPr>
          <w:pgSz w:w="11900" w:h="16838" w:orient="portrait"/>
          <w:cols w:equalWidth="0" w:num="1">
            <w:col w:w="11380"/>
          </w:cols>
          <w:pgMar w:left="240" w:top="685" w:right="279" w:bottom="9" w:gutter="0" w:footer="0" w:header="0"/>
          <w:type w:val="continuous"/>
        </w:sectPr>
      </w:pPr>
    </w:p>
    <w:bookmarkStart w:id="1" w:name="page2"/>
    <w:bookmarkEnd w:id="1"/>
    <w:tbl>
      <w:tblPr>
        <w:tblLayout w:type="fixed"/>
        <w:tblInd w:w="1700" w:type="dxa"/>
        <w:tblCellMar>
          <w:top w:w="0" w:type="dxa"/>
          <w:left w:w="0" w:type="dxa"/>
          <w:bottom w:w="0" w:type="dxa"/>
          <w:right w:w="0" w:type="dxa"/>
        </w:tblCellMar>
      </w:tblPr>
      <w:tr>
        <w:trPr>
          <w:trHeight w:val="40"/>
        </w:trPr>
        <w:tc>
          <w:tcPr>
            <w:tcW w:w="4140" w:type="dxa"/>
            <w:vAlign w:val="bottom"/>
            <w:tcBorders>
              <w:top w:val="single" w:sz="8" w:color="auto"/>
              <w:bottom w:val="single" w:sz="8" w:color="auto"/>
            </w:tcBorders>
          </w:tcPr>
          <w:p>
            <w:pPr>
              <w:spacing w:after="0"/>
              <w:rPr>
                <w:sz w:val="3"/>
                <w:szCs w:val="3"/>
                <w:color w:val="auto"/>
              </w:rPr>
            </w:pPr>
          </w:p>
        </w:tc>
        <w:tc>
          <w:tcPr>
            <w:tcW w:w="27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r>
      <w:tr>
        <w:trPr>
          <w:trHeight w:val="116"/>
        </w:trPr>
        <w:tc>
          <w:tcPr>
            <w:tcW w:w="4140" w:type="dxa"/>
            <w:vAlign w:val="bottom"/>
          </w:tcPr>
          <w:p>
            <w:pPr>
              <w:jc w:val="center"/>
              <w:ind w:left="614"/>
              <w:spacing w:after="0" w:line="117" w:lineRule="exact"/>
              <w:rPr>
                <w:sz w:val="20"/>
                <w:szCs w:val="20"/>
                <w:color w:val="auto"/>
              </w:rPr>
            </w:pPr>
            <w:r>
              <w:rPr>
                <w:rFonts w:ascii="Arial" w:cs="Arial" w:eastAsia="Arial" w:hAnsi="Arial"/>
                <w:sz w:val="12"/>
                <w:szCs w:val="12"/>
                <w:b w:val="1"/>
                <w:bCs w:val="1"/>
                <w:color w:val="auto"/>
                <w:w w:val="99"/>
              </w:rPr>
              <w:t>Title of Each Class of Securities</w:t>
            </w:r>
          </w:p>
        </w:tc>
        <w:tc>
          <w:tcPr>
            <w:tcW w:w="2700" w:type="dxa"/>
            <w:vAlign w:val="bottom"/>
          </w:tcPr>
          <w:p>
            <w:pPr>
              <w:jc w:val="right"/>
              <w:ind w:right="314"/>
              <w:spacing w:after="0" w:line="117" w:lineRule="exact"/>
              <w:rPr>
                <w:sz w:val="20"/>
                <w:szCs w:val="20"/>
                <w:color w:val="auto"/>
              </w:rPr>
            </w:pPr>
            <w:r>
              <w:rPr>
                <w:rFonts w:ascii="Arial" w:cs="Arial" w:eastAsia="Arial" w:hAnsi="Arial"/>
                <w:sz w:val="12"/>
                <w:szCs w:val="12"/>
                <w:b w:val="1"/>
                <w:bCs w:val="1"/>
                <w:color w:val="auto"/>
              </w:rPr>
              <w:t>Proposed Maximum</w:t>
            </w:r>
          </w:p>
        </w:tc>
        <w:tc>
          <w:tcPr>
            <w:tcW w:w="12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Amount of</w:t>
            </w:r>
          </w:p>
        </w:tc>
      </w:tr>
      <w:tr>
        <w:trPr>
          <w:trHeight w:val="182"/>
        </w:trPr>
        <w:tc>
          <w:tcPr>
            <w:tcW w:w="414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b w:val="1"/>
                <w:bCs w:val="1"/>
                <w:color w:val="auto"/>
                <w:w w:val="85"/>
              </w:rPr>
              <w:t>to be Registered</w:t>
            </w:r>
          </w:p>
        </w:tc>
        <w:tc>
          <w:tcPr>
            <w:tcW w:w="2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Aggregate Offering Price(1)(2)</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Fee(3)</w:t>
            </w:r>
          </w:p>
        </w:tc>
      </w:tr>
      <w:tr>
        <w:trPr>
          <w:trHeight w:val="174"/>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2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2" w:lineRule="exact"/>
        <w:rPr>
          <w:sz w:val="20"/>
          <w:szCs w:val="20"/>
          <w:color w:val="auto"/>
        </w:rPr>
      </w:pPr>
    </w:p>
    <w:p>
      <w:pPr>
        <w:ind w:firstLine="6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47" w:right="5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94" w:lineRule="exact"/>
        <w:rPr>
          <w:sz w:val="20"/>
          <w:szCs w:val="20"/>
          <w:color w:val="auto"/>
        </w:rPr>
      </w:pPr>
    </w:p>
    <w:tbl>
      <w:tblPr>
        <w:tblLayout w:type="fixed"/>
        <w:tblInd w:w="4020" w:type="dxa"/>
        <w:tblCellMar>
          <w:top w:w="0" w:type="dxa"/>
          <w:left w:w="0" w:type="dxa"/>
          <w:bottom w:w="0" w:type="dxa"/>
          <w:right w:w="0" w:type="dxa"/>
        </w:tblCellMar>
      </w:tblPr>
      <w:tr>
        <w:trPr>
          <w:trHeight w:val="216"/>
        </w:trPr>
        <w:tc>
          <w:tcPr>
            <w:tcW w:w="2720" w:type="dxa"/>
            <w:vAlign w:val="bottom"/>
          </w:tcPr>
          <w:p>
            <w:pPr>
              <w:ind w:left="900"/>
              <w:spacing w:after="0"/>
              <w:rPr>
                <w:sz w:val="20"/>
                <w:szCs w:val="20"/>
                <w:color w:val="auto"/>
              </w:rPr>
            </w:pPr>
            <w:r>
              <w:rPr>
                <w:rFonts w:ascii="Arial" w:cs="Arial" w:eastAsia="Arial" w:hAnsi="Arial"/>
                <w:sz w:val="18"/>
                <w:szCs w:val="18"/>
                <w:color w:val="FF4040"/>
              </w:rPr>
              <w:t>Subject to Completion</w:t>
            </w:r>
          </w:p>
        </w:tc>
        <w:tc>
          <w:tcPr>
            <w:tcW w:w="660" w:type="dxa"/>
            <w:vAlign w:val="bottom"/>
          </w:tcPr>
          <w:p>
            <w:pPr>
              <w:spacing w:after="0"/>
              <w:rPr>
                <w:sz w:val="18"/>
                <w:szCs w:val="18"/>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FF4040"/>
              </w:rPr>
              <w:t>Preliminary Prospectus dated</w:t>
            </w:r>
          </w:p>
        </w:tc>
        <w:tc>
          <w:tcPr>
            <w:tcW w:w="660" w:type="dxa"/>
            <w:vAlign w:val="bottom"/>
          </w:tcPr>
          <w:p>
            <w:pPr>
              <w:jc w:val="right"/>
              <w:spacing w:after="0"/>
              <w:rPr>
                <w:sz w:val="20"/>
                <w:szCs w:val="20"/>
                <w:color w:val="auto"/>
              </w:rPr>
            </w:pPr>
            <w:r>
              <w:rPr>
                <w:rFonts w:ascii="Arial" w:cs="Arial" w:eastAsia="Arial" w:hAnsi="Arial"/>
                <w:sz w:val="18"/>
                <w:szCs w:val="18"/>
                <w:color w:val="FF4040"/>
              </w:rPr>
              <w:t>, 2018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w:t>
      </w:r>
    </w:p>
    <w:p>
      <w:pPr>
        <w:spacing w:after="0" w:line="200" w:lineRule="exact"/>
        <w:rPr>
          <w:sz w:val="20"/>
          <w:szCs w:val="20"/>
          <w:color w:val="auto"/>
        </w:rPr>
      </w:pPr>
    </w:p>
    <w:p>
      <w:pPr>
        <w:ind w:left="610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156210</wp:posOffset>
            </wp:positionV>
            <wp:extent cx="2933065" cy="1037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330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154940</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spacing w:after="0"/>
        <w:tabs>
          <w:tab w:leader="none" w:pos="6800" w:val="left"/>
        </w:tabs>
        <w:rPr>
          <w:sz w:val="20"/>
          <w:szCs w:val="20"/>
          <w:color w:val="auto"/>
        </w:rPr>
      </w:pPr>
      <w:r>
        <w:rPr>
          <w:rFonts w:ascii="Arial" w:cs="Arial" w:eastAsia="Arial" w:hAnsi="Arial"/>
          <w:sz w:val="18"/>
          <w:szCs w:val="18"/>
          <w:color w:val="auto"/>
        </w:rPr>
        <w:t>This is Y-mAbs Therapeutics, Inc.'s initial public offering. We are selling</w:t>
      </w:r>
      <w:r>
        <w:rPr>
          <w:sz w:val="20"/>
          <w:szCs w:val="20"/>
          <w:color w:val="auto"/>
        </w:rPr>
        <w:tab/>
      </w:r>
      <w:r>
        <w:rPr>
          <w:rFonts w:ascii="Arial" w:cs="Arial" w:eastAsia="Arial" w:hAnsi="Arial"/>
          <w:sz w:val="15"/>
          <w:szCs w:val="15"/>
          <w:color w:val="auto"/>
        </w:rPr>
        <w:t>shares of our common stock.</w:t>
      </w:r>
    </w:p>
    <w:p>
      <w:pPr>
        <w:spacing w:after="0" w:line="225" w:lineRule="exact"/>
        <w:rPr>
          <w:sz w:val="20"/>
          <w:szCs w:val="20"/>
          <w:color w:val="auto"/>
        </w:rPr>
      </w:pPr>
    </w:p>
    <w:p>
      <w:pPr>
        <w:ind w:left="620"/>
        <w:spacing w:after="0"/>
        <w:tabs>
          <w:tab w:leader="none" w:pos="4760" w:val="left"/>
          <w:tab w:leader="none" w:pos="5660" w:val="left"/>
        </w:tabs>
        <w:rPr>
          <w:sz w:val="20"/>
          <w:szCs w:val="20"/>
          <w:color w:val="auto"/>
        </w:rPr>
      </w:pPr>
      <w:r>
        <w:rPr>
          <w:rFonts w:ascii="Arial" w:cs="Arial" w:eastAsia="Arial" w:hAnsi="Arial"/>
          <w:sz w:val="18"/>
          <w:szCs w:val="18"/>
          <w:color w:val="auto"/>
        </w:rPr>
        <w:t>We expect the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per share. Currently, no public market exists for the shares. After pricing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offering, we expect that the shares will trade on the Nasdaq Global Market under the symbol "YMAB."</w:t>
      </w:r>
    </w:p>
    <w:p>
      <w:pPr>
        <w:spacing w:after="0" w:line="213" w:lineRule="exact"/>
        <w:rPr>
          <w:sz w:val="20"/>
          <w:szCs w:val="20"/>
          <w:color w:val="auto"/>
        </w:rPr>
      </w:pPr>
    </w:p>
    <w:p>
      <w:pPr>
        <w:ind w:right="420" w:firstLine="615"/>
        <w:spacing w:after="0" w:line="275" w:lineRule="auto"/>
        <w:rPr>
          <w:sz w:val="20"/>
          <w:szCs w:val="20"/>
          <w:color w:val="auto"/>
        </w:rPr>
      </w:pPr>
      <w:r>
        <w:rPr>
          <w:rFonts w:ascii="Arial" w:cs="Arial" w:eastAsia="Arial" w:hAnsi="Arial"/>
          <w:sz w:val="18"/>
          <w:szCs w:val="18"/>
          <w:b w:val="1"/>
          <w:bCs w:val="1"/>
          <w:color w:val="auto"/>
        </w:rPr>
        <w:t>We are an "emerging growth company" under federal securities laws and are subject to reduced public company disclosure standards. See "Summary—Implications of Being an Emerging Growth Company."</w:t>
      </w:r>
    </w:p>
    <w:p>
      <w:pPr>
        <w:spacing w:after="0" w:line="161" w:lineRule="exact"/>
        <w:rPr>
          <w:sz w:val="20"/>
          <w:szCs w:val="20"/>
          <w:color w:val="auto"/>
        </w:rPr>
      </w:pPr>
    </w:p>
    <w:p>
      <w:pPr>
        <w:ind w:firstLine="615"/>
        <w:spacing w:after="0" w:line="256" w:lineRule="auto"/>
        <w:rPr>
          <w:sz w:val="20"/>
          <w:szCs w:val="20"/>
          <w:color w:val="auto"/>
        </w:rPr>
      </w:pPr>
      <w:r>
        <w:rPr>
          <w:rFonts w:ascii="Arial" w:cs="Arial" w:eastAsia="Arial" w:hAnsi="Arial"/>
          <w:sz w:val="22"/>
          <w:szCs w:val="22"/>
          <w:b w:val="1"/>
          <w:bCs w:val="1"/>
          <w:color w:val="auto"/>
        </w:rPr>
        <w:t>Investing in the common stock involves risks that are described in the "Risk Factors" section beginning on page 13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120650</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5"/>
              </w:rPr>
              <w:t>Per Share</w:t>
            </w:r>
          </w:p>
        </w:tc>
        <w:tc>
          <w:tcPr>
            <w:tcW w:w="1420" w:type="dxa"/>
            <w:vAlign w:val="bottom"/>
            <w:gridSpan w:val="3"/>
          </w:tcPr>
          <w:p>
            <w:pPr>
              <w:ind w:left="1120"/>
              <w:spacing w:after="0"/>
              <w:rPr>
                <w:sz w:val="20"/>
                <w:szCs w:val="20"/>
                <w:color w:val="auto"/>
              </w:rPr>
            </w:pPr>
            <w:r>
              <w:rPr>
                <w:rFonts w:ascii="Arial" w:cs="Arial" w:eastAsia="Arial" w:hAnsi="Arial"/>
                <w:sz w:val="14"/>
                <w:szCs w:val="14"/>
                <w:b w:val="1"/>
                <w:bCs w:val="1"/>
                <w:color w:val="auto"/>
                <w:w w:val="83"/>
              </w:rPr>
              <w:t>Total</w:t>
            </w:r>
          </w:p>
        </w:tc>
      </w:tr>
      <w:tr>
        <w:trPr>
          <w:trHeight w:val="201"/>
        </w:trPr>
        <w:tc>
          <w:tcPr>
            <w:tcW w:w="3900" w:type="dxa"/>
            <w:vAlign w:val="bottom"/>
          </w:tcPr>
          <w:p>
            <w:pPr>
              <w:spacing w:after="0" w:line="201" w:lineRule="exact"/>
              <w:rPr>
                <w:sz w:val="20"/>
                <w:szCs w:val="20"/>
                <w:color w:val="auto"/>
              </w:rPr>
            </w:pPr>
            <w:r>
              <w:rPr>
                <w:rFonts w:ascii="Arial" w:cs="Arial" w:eastAsia="Arial" w:hAnsi="Arial"/>
                <w:sz w:val="18"/>
                <w:szCs w:val="18"/>
                <w:color w:val="auto"/>
              </w:rPr>
              <w:t>Public offering price</w:t>
            </w:r>
          </w:p>
        </w:tc>
        <w:tc>
          <w:tcPr>
            <w:tcW w:w="17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Underwriting discount(1)</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23" w:lineRule="exact"/>
        <w:rPr>
          <w:sz w:val="20"/>
          <w:szCs w:val="20"/>
          <w:color w:val="auto"/>
        </w:rPr>
      </w:pPr>
    </w:p>
    <w:p>
      <w:pPr>
        <w:ind w:left="2260" w:hanging="540"/>
        <w:spacing w:after="0"/>
        <w:tabs>
          <w:tab w:leader="none" w:pos="2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refer you to "Underwriting" beginning on page 202 for additional information regarding underwriting compensation.</w:t>
      </w:r>
    </w:p>
    <w:p>
      <w:pPr>
        <w:spacing w:after="0" w:line="248" w:lineRule="exact"/>
        <w:rPr>
          <w:sz w:val="20"/>
          <w:szCs w:val="20"/>
          <w:color w:val="auto"/>
        </w:rPr>
      </w:pPr>
    </w:p>
    <w:p>
      <w:pPr>
        <w:ind w:left="620"/>
        <w:spacing w:after="0"/>
        <w:tabs>
          <w:tab w:leader="none" w:pos="7040" w:val="left"/>
        </w:tabs>
        <w:rPr>
          <w:sz w:val="20"/>
          <w:szCs w:val="20"/>
          <w:color w:val="auto"/>
        </w:rPr>
      </w:pPr>
      <w:r>
        <w:rPr>
          <w:rFonts w:ascii="Arial" w:cs="Arial" w:eastAsia="Arial" w:hAnsi="Arial"/>
          <w:sz w:val="18"/>
          <w:szCs w:val="18"/>
          <w:color w:val="auto"/>
        </w:rPr>
        <w:t>The underwriters may also exercise their option to purchase up to an additional</w:t>
      </w:r>
      <w:r>
        <w:rPr>
          <w:sz w:val="20"/>
          <w:szCs w:val="20"/>
          <w:color w:val="auto"/>
        </w:rPr>
        <w:tab/>
      </w:r>
      <w:r>
        <w:rPr>
          <w:rFonts w:ascii="Arial" w:cs="Arial" w:eastAsia="Arial" w:hAnsi="Arial"/>
          <w:sz w:val="15"/>
          <w:szCs w:val="15"/>
          <w:color w:val="auto"/>
        </w:rPr>
        <w:t>shares from us, at the public offering price, less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for 30 days after the date of this prospectus.</w:t>
      </w:r>
    </w:p>
    <w:p>
      <w:pPr>
        <w:spacing w:after="0" w:line="219"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The shares will be ready for delivery on or about</w:t>
            </w:r>
          </w:p>
        </w:tc>
        <w:tc>
          <w:tcPr>
            <w:tcW w:w="2200" w:type="dxa"/>
            <w:vAlign w:val="bottom"/>
          </w:tcPr>
          <w:p>
            <w:pPr>
              <w:jc w:val="right"/>
              <w:ind w:right="1152"/>
              <w:spacing w:after="0"/>
              <w:rPr>
                <w:sz w:val="20"/>
                <w:szCs w:val="20"/>
                <w:color w:val="auto"/>
              </w:rPr>
            </w:pPr>
            <w:r>
              <w:rPr>
                <w:rFonts w:ascii="Arial" w:cs="Arial" w:eastAsia="Arial" w:hAnsi="Arial"/>
                <w:sz w:val="18"/>
                <w:szCs w:val="18"/>
                <w:color w:val="auto"/>
              </w:rPr>
              <w:t>, 2018.</w:t>
            </w:r>
          </w:p>
        </w:tc>
      </w:tr>
      <w:tr>
        <w:trPr>
          <w:trHeight w:val="218"/>
        </w:trPr>
        <w:tc>
          <w:tcPr>
            <w:tcW w:w="40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ind w:left="1140"/>
        <w:spacing w:after="0"/>
        <w:tabs>
          <w:tab w:leader="none" w:pos="9300" w:val="left"/>
        </w:tabs>
        <w:rPr>
          <w:sz w:val="20"/>
          <w:szCs w:val="20"/>
          <w:color w:val="auto"/>
        </w:rPr>
      </w:pPr>
      <w:r>
        <w:rPr>
          <w:rFonts w:ascii="Arial" w:cs="Arial" w:eastAsia="Arial" w:hAnsi="Arial"/>
          <w:sz w:val="32"/>
          <w:szCs w:val="32"/>
          <w:b w:val="1"/>
          <w:bCs w:val="1"/>
          <w:color w:val="auto"/>
        </w:rPr>
        <w:t>BofA Merrill Lynch</w:t>
      </w:r>
      <w:r>
        <w:rPr>
          <w:sz w:val="20"/>
          <w:szCs w:val="20"/>
          <w:color w:val="auto"/>
        </w:rPr>
        <w:tab/>
      </w:r>
      <w:r>
        <w:rPr>
          <w:rFonts w:ascii="Arial" w:cs="Arial" w:eastAsia="Arial" w:hAnsi="Arial"/>
          <w:sz w:val="29"/>
          <w:szCs w:val="29"/>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161290</wp:posOffset>
            </wp:positionV>
            <wp:extent cx="1397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0"/>
        <w:spacing w:after="0"/>
        <w:tabs>
          <w:tab w:leader="none" w:pos="69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2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 INVESTORS OUTSIDE THE UNITED STATES</w:t>
              </w:r>
            </w:hyperlink>
          </w:p>
        </w:tc>
        <w:tc>
          <w:tcPr>
            <w:tcW w:w="4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60" w:type="dxa"/>
            <w:vAlign w:val="bottom"/>
            <w:gridSpan w:val="27"/>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19"/>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PRESENTATION OF FINANCIAL INFORMATION</w:t>
              </w:r>
            </w:hyperlink>
          </w:p>
        </w:tc>
        <w:tc>
          <w:tcPr>
            <w:tcW w:w="80" w:type="dxa"/>
            <w:vAlign w:val="bottom"/>
          </w:tcPr>
          <w:p>
            <w:pPr>
              <w:spacing w:after="0"/>
              <w:rPr>
                <w:sz w:val="17"/>
                <w:szCs w:val="17"/>
                <w:color w:val="auto"/>
              </w:rPr>
            </w:pPr>
          </w:p>
        </w:tc>
        <w:tc>
          <w:tcPr>
            <w:tcW w:w="468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4760" w:type="dxa"/>
            <w:vAlign w:val="bottom"/>
            <w:gridSpan w:val="8"/>
          </w:tcPr>
          <w:p>
            <w:pPr>
              <w:spacing w:after="0"/>
              <w:rPr>
                <w:sz w:val="17"/>
                <w:szCs w:val="17"/>
                <w:color w:val="auto"/>
              </w:rPr>
            </w:pPr>
          </w:p>
        </w:tc>
        <w:tc>
          <w:tcPr>
            <w:tcW w:w="340" w:type="dxa"/>
            <w:vAlign w:val="bottom"/>
            <w:gridSpan w:val="2"/>
          </w:tcPr>
          <w:p>
            <w:pPr>
              <w:spacing w:after="0"/>
              <w:rPr>
                <w:sz w:val="17"/>
                <w:szCs w:val="17"/>
                <w:color w:val="auto"/>
              </w:rPr>
            </w:pPr>
          </w:p>
        </w:tc>
        <w:tc>
          <w:tcPr>
            <w:tcW w:w="80" w:type="dxa"/>
            <w:vAlign w:val="bottom"/>
            <w:tcBorders>
              <w:top w:val="single" w:sz="8" w:color="0000EE"/>
            </w:tcBorders>
          </w:tcPr>
          <w:p>
            <w:pPr>
              <w:jc w:val="right"/>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THE OFFERING</w:t>
              </w:r>
            </w:hyperlink>
          </w:p>
        </w:tc>
        <w:tc>
          <w:tcPr>
            <w:tcW w:w="7340" w:type="dxa"/>
            <w:vAlign w:val="bottom"/>
            <w:gridSpan w:val="2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SUMMARY CONSOLIDATED FINANCIAL DATA</w:t>
              </w:r>
            </w:hyperlink>
          </w:p>
        </w:tc>
        <w:tc>
          <w:tcPr>
            <w:tcW w:w="478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SPECIAL NOTE REGARDING FORWARD-LOOKING STATEMENTS AND INDUSTRY DATA</w:t>
              </w:r>
            </w:hyperlink>
          </w:p>
        </w:tc>
        <w:tc>
          <w:tcPr>
            <w:tcW w:w="15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74</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USE OF PROCEEDS</w:t>
              </w:r>
            </w:hyperlink>
          </w:p>
        </w:tc>
        <w:tc>
          <w:tcPr>
            <w:tcW w:w="700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76</w:t>
              </w:r>
            </w:hyperlink>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DIVIDEND POLICY</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78</w:t>
              </w:r>
            </w:hyperlink>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84">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7020" w:type="dxa"/>
            <w:vAlign w:val="bottom"/>
            <w:gridSpan w:val="1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79</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DILUTION</w:t>
              </w:r>
            </w:hyperlink>
          </w:p>
        </w:tc>
        <w:tc>
          <w:tcPr>
            <w:tcW w:w="7660" w:type="dxa"/>
            <w:vAlign w:val="bottom"/>
            <w:gridSpan w:val="2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81</w:t>
              </w:r>
            </w:hyperlink>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SELECTED CONSOLIDATED FINANCIAL DATA</w:t>
              </w:r>
            </w:hyperlink>
          </w:p>
        </w:tc>
        <w:tc>
          <w:tcPr>
            <w:tcW w:w="480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84</w:t>
              </w:r>
            </w:hyperlink>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MANAGEMENT'S DISCUSSION AND ANALYSIS OF FINANCIAL CONDITION AND RESULTS OF</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OPERATIONS</w:t>
              </w:r>
            </w:hyperlink>
          </w:p>
        </w:tc>
        <w:tc>
          <w:tcPr>
            <w:tcW w:w="1000" w:type="dxa"/>
            <w:vAlign w:val="bottom"/>
            <w:gridSpan w:val="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85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BUSINESS</w:t>
              </w:r>
            </w:hyperlink>
          </w:p>
        </w:tc>
        <w:tc>
          <w:tcPr>
            <w:tcW w:w="7720" w:type="dxa"/>
            <w:vAlign w:val="bottom"/>
            <w:gridSpan w:val="24"/>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6"/>
          </w:tcPr>
          <w:p>
            <w:pPr>
              <w:spacing w:after="0" w:line="196" w:lineRule="exact"/>
              <w:rPr>
                <w:rFonts w:ascii="Arial" w:cs="Arial" w:eastAsia="Arial" w:hAnsi="Arial"/>
                <w:sz w:val="18"/>
                <w:szCs w:val="18"/>
                <w:color w:val="0000EE"/>
                <w:w w:val="97"/>
              </w:rPr>
            </w:pPr>
            <w:hyperlink w:anchor="page164">
              <w:r>
                <w:rPr>
                  <w:rFonts w:ascii="Arial" w:cs="Arial" w:eastAsia="Arial" w:hAnsi="Arial"/>
                  <w:sz w:val="18"/>
                  <w:szCs w:val="18"/>
                  <w:color w:val="0000EE"/>
                  <w:w w:val="97"/>
                </w:rPr>
                <w:t>MANAGEMENT</w:t>
              </w:r>
            </w:hyperlink>
          </w:p>
        </w:tc>
        <w:tc>
          <w:tcPr>
            <w:tcW w:w="7280" w:type="dxa"/>
            <w:vAlign w:val="bottom"/>
            <w:gridSpan w:val="21"/>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159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16"/>
          </w:tcPr>
          <w:p>
            <w:pPr>
              <w:spacing w:after="0" w:line="196" w:lineRule="exact"/>
              <w:rPr>
                <w:rFonts w:ascii="Arial" w:cs="Arial" w:eastAsia="Arial" w:hAnsi="Arial"/>
                <w:sz w:val="18"/>
                <w:szCs w:val="18"/>
                <w:color w:val="0000EE"/>
                <w:w w:val="94"/>
              </w:rPr>
            </w:pPr>
            <w:hyperlink w:anchor="page172">
              <w:r>
                <w:rPr>
                  <w:rFonts w:ascii="Arial" w:cs="Arial" w:eastAsia="Arial" w:hAnsi="Arial"/>
                  <w:sz w:val="18"/>
                  <w:szCs w:val="18"/>
                  <w:color w:val="0000EE"/>
                  <w:w w:val="94"/>
                </w:rPr>
                <w:t>EXECUTIVE AND DIRECTOR COMPENSATION</w:t>
              </w:r>
            </w:hyperlink>
          </w:p>
        </w:tc>
        <w:tc>
          <w:tcPr>
            <w:tcW w:w="4820" w:type="dxa"/>
            <w:vAlign w:val="bottom"/>
            <w:gridSpan w:val="11"/>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167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CERTAIN RELATIONSHIPS AND RELATED PARTY TRANSACTIONS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179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gridSpan w:val="23"/>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PRINCIPAL STOCKHOLDERS</w:t>
              </w:r>
            </w:hyperlink>
          </w:p>
        </w:tc>
        <w:tc>
          <w:tcPr>
            <w:tcW w:w="3220" w:type="dxa"/>
            <w:vAlign w:val="bottom"/>
            <w:gridSpan w:val="4"/>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186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DESCRIPTION OF CAPITAL STOCK</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189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15"/>
          </w:tcPr>
          <w:p>
            <w:pPr>
              <w:spacing w:after="0" w:line="196" w:lineRule="exact"/>
              <w:rPr>
                <w:rFonts w:ascii="Arial" w:cs="Arial" w:eastAsia="Arial" w:hAnsi="Arial"/>
                <w:sz w:val="18"/>
                <w:szCs w:val="18"/>
                <w:color w:val="0000EE"/>
                <w:w w:val="93"/>
              </w:rPr>
            </w:pPr>
            <w:hyperlink w:anchor="page199">
              <w:r>
                <w:rPr>
                  <w:rFonts w:ascii="Arial" w:cs="Arial" w:eastAsia="Arial" w:hAnsi="Arial"/>
                  <w:sz w:val="18"/>
                  <w:szCs w:val="18"/>
                  <w:color w:val="0000EE"/>
                  <w:w w:val="93"/>
                </w:rPr>
                <w:t>SHARES ELIGIBLE FOR FUTURE SALE</w:t>
              </w:r>
            </w:hyperlink>
          </w:p>
        </w:tc>
        <w:tc>
          <w:tcPr>
            <w:tcW w:w="5440" w:type="dxa"/>
            <w:vAlign w:val="bottom"/>
            <w:gridSpan w:val="1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194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202">
              <w:r>
                <w:rPr>
                  <w:rFonts w:ascii="Arial" w:cs="Arial" w:eastAsia="Arial" w:hAnsi="Arial"/>
                  <w:sz w:val="18"/>
                  <w:szCs w:val="18"/>
                  <w:color w:val="0000EE"/>
                  <w:w w:val="93"/>
                </w:rPr>
                <w:t>MATERIAL U.S. FEDERAL INCOME AND ESTATE TAX CONSIDERATIONS FOR NON-U.S. HOLDERS OF</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gridSpan w:val="11"/>
          </w:tcPr>
          <w:p>
            <w:pPr>
              <w:spacing w:after="0" w:line="196" w:lineRule="exact"/>
              <w:rPr>
                <w:rFonts w:ascii="Arial" w:cs="Arial" w:eastAsia="Arial" w:hAnsi="Arial"/>
                <w:sz w:val="18"/>
                <w:szCs w:val="18"/>
                <w:color w:val="0000EE"/>
                <w:w w:val="94"/>
              </w:rPr>
            </w:pPr>
            <w:hyperlink w:anchor="page202">
              <w:r>
                <w:rPr>
                  <w:rFonts w:ascii="Arial" w:cs="Arial" w:eastAsia="Arial" w:hAnsi="Arial"/>
                  <w:sz w:val="18"/>
                  <w:szCs w:val="18"/>
                  <w:color w:val="0000EE"/>
                  <w:w w:val="94"/>
                </w:rPr>
                <w:t>COMMON STOCK</w:t>
              </w:r>
            </w:hyperlink>
          </w:p>
        </w:tc>
        <w:tc>
          <w:tcPr>
            <w:tcW w:w="6940" w:type="dxa"/>
            <w:vAlign w:val="bottom"/>
            <w:gridSpan w:val="15"/>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197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7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UNDERWRITING</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202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LEGAL MATTERS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210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9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w w:val="88"/>
              </w:rPr>
            </w:pPr>
            <w:hyperlink w:anchor="page215">
              <w:r>
                <w:rPr>
                  <w:rFonts w:ascii="Arial" w:cs="Arial" w:eastAsia="Arial" w:hAnsi="Arial"/>
                  <w:sz w:val="18"/>
                  <w:szCs w:val="18"/>
                  <w:color w:val="0000EE"/>
                  <w:w w:val="88"/>
                </w:rPr>
                <w:t>EXPERTS</w:t>
              </w:r>
            </w:hyperlink>
          </w:p>
        </w:tc>
        <w:tc>
          <w:tcPr>
            <w:tcW w:w="660" w:type="dxa"/>
            <w:vAlign w:val="bottom"/>
            <w:gridSpan w:val="6"/>
          </w:tcPr>
          <w:p>
            <w:pPr>
              <w:spacing w:after="0"/>
              <w:rPr>
                <w:sz w:val="17"/>
                <w:szCs w:val="17"/>
                <w:color w:val="auto"/>
              </w:rPr>
            </w:pPr>
          </w:p>
        </w:tc>
        <w:tc>
          <w:tcPr>
            <w:tcW w:w="7140" w:type="dxa"/>
            <w:vAlign w:val="bottom"/>
            <w:gridSpan w:val="19"/>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210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56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1"/>
          </w:tcPr>
          <w:p>
            <w:pPr>
              <w:spacing w:after="0" w:line="196" w:lineRule="exact"/>
              <w:rPr>
                <w:rFonts w:ascii="Arial" w:cs="Arial" w:eastAsia="Arial" w:hAnsi="Arial"/>
                <w:sz w:val="18"/>
                <w:szCs w:val="18"/>
                <w:color w:val="0000EE"/>
                <w:w w:val="96"/>
              </w:rPr>
            </w:pPr>
            <w:hyperlink w:anchor="page216">
              <w:r>
                <w:rPr>
                  <w:rFonts w:ascii="Arial" w:cs="Arial" w:eastAsia="Arial" w:hAnsi="Arial"/>
                  <w:sz w:val="18"/>
                  <w:szCs w:val="18"/>
                  <w:color w:val="0000EE"/>
                  <w:w w:val="96"/>
                </w:rPr>
                <w:t>WHERE YOU CAN FIND ADDITIONAL INFORMATION</w:t>
              </w:r>
            </w:hyperlink>
          </w:p>
        </w:tc>
        <w:tc>
          <w:tcPr>
            <w:tcW w:w="4240" w:type="dxa"/>
            <w:vAlign w:val="bottom"/>
            <w:gridSpan w:val="6"/>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211</w:t>
              </w:r>
            </w:hyperlink>
          </w:p>
        </w:tc>
        <w:tc>
          <w:tcPr>
            <w:tcW w:w="0" w:type="dxa"/>
            <w:vAlign w:val="bottom"/>
          </w:tcPr>
          <w:p>
            <w:pPr>
              <w:spacing w:after="0"/>
              <w:rPr>
                <w:sz w:val="1"/>
                <w:szCs w:val="1"/>
                <w:color w:val="auto"/>
              </w:rPr>
            </w:pPr>
          </w:p>
        </w:tc>
      </w:tr>
      <w:tr>
        <w:trPr>
          <w:trHeight w:val="20"/>
        </w:trPr>
        <w:tc>
          <w:tcPr>
            <w:tcW w:w="4320" w:type="dxa"/>
            <w:vAlign w:val="bottom"/>
            <w:gridSpan w:val="2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217">
              <w:r>
                <w:rPr>
                  <w:rFonts w:ascii="Arial" w:cs="Arial" w:eastAsia="Arial" w:hAnsi="Arial"/>
                  <w:sz w:val="18"/>
                  <w:szCs w:val="18"/>
                  <w:color w:val="0000EE"/>
                  <w:w w:val="94"/>
                </w:rPr>
                <w:t>INDEX TO CONSOLIDATED FINANCIAL STATEMENTS</w:t>
              </w:r>
            </w:hyperlink>
          </w:p>
        </w:tc>
        <w:tc>
          <w:tcPr>
            <w:tcW w:w="420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70"/>
              </w:rPr>
            </w:pPr>
            <w:hyperlink w:anchor="page217">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any information or to make any representations other than those contained in this prospectus, any amendment or supplement to this prospectus or in any free writing prospectus we may authorize to be delivered or made available to you. Neither we nor the underwriters take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on the front cover of this prospectus, regardless of the time of delivery of this prospectus or any sale of shares of our common stock. Our business, financial condition, results of operations and prospects may have changed since that date.</w:t>
      </w:r>
    </w:p>
    <w:p>
      <w:pPr>
        <w:spacing w:after="0" w:line="174" w:lineRule="exact"/>
        <w:rPr>
          <w:sz w:val="20"/>
          <w:szCs w:val="20"/>
          <w:color w:val="auto"/>
        </w:rPr>
      </w:pPr>
    </w:p>
    <w:p>
      <w:pPr>
        <w:ind w:right="100" w:firstLine="611"/>
        <w:spacing w:after="0" w:line="254" w:lineRule="auto"/>
        <w:rPr>
          <w:sz w:val="20"/>
          <w:szCs w:val="20"/>
          <w:color w:val="auto"/>
        </w:rPr>
      </w:pPr>
      <w:r>
        <w:rPr>
          <w:rFonts w:ascii="Arial" w:cs="Arial" w:eastAsia="Arial" w:hAnsi="Arial"/>
          <w:sz w:val="18"/>
          <w:szCs w:val="18"/>
          <w:color w:val="auto"/>
        </w:rPr>
        <w:t>This prospectus includes statistical and other industry and market data that we obtained from industry publications and research, surveys and studies conducted by third parties or us. Industry publications and third-party research, surveys and studies generally indicate that their information has been obtained from sources believed to be reliable, although they do not guarantee the accuracy or completeness of such information. All of the market data used in this prospectus involves a number of assumptions and limitations, and you are cautioned not to give undue weight to such estimates. While we believe these industry publications and third-party research, surveys and studies are reliable, we have not independently verified such data. The industry in which we operate is subject to a high degree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of uncertainty, change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INVESTORS OUTSIDE THE UNITED STATES</w:t>
      </w:r>
    </w:p>
    <w:p>
      <w:pPr>
        <w:spacing w:after="0" w:line="231" w:lineRule="exact"/>
        <w:rPr>
          <w:sz w:val="20"/>
          <w:szCs w:val="20"/>
          <w:color w:val="auto"/>
        </w:rPr>
      </w:pPr>
    </w:p>
    <w:p>
      <w:pPr>
        <w:jc w:val="both"/>
        <w:ind w:right="540" w:firstLine="611"/>
        <w:spacing w:after="0" w:line="256" w:lineRule="auto"/>
        <w:rPr>
          <w:sz w:val="20"/>
          <w:szCs w:val="20"/>
          <w:color w:val="auto"/>
        </w:rPr>
      </w:pPr>
      <w:r>
        <w:rPr>
          <w:rFonts w:ascii="Arial" w:cs="Arial" w:eastAsia="Arial" w:hAnsi="Arial"/>
          <w:sz w:val="18"/>
          <w:szCs w:val="18"/>
          <w:color w:val="auto"/>
        </w:rPr>
        <w:t>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Pursuant to the applicable provisions of the Fixing America's Surface Transportation Act, we are not required to file our financial information for the historical 2015 annual period or for any interim period for 2016 or 2017 because we plan to file our financial information for the year ended December 31, 2017 in the first public filing of our registration statement. While the 2015 annual financial information and 2016 and 2017 interim financial information is otherwise required by Regulation S-X, we believe that it will not be required to be included in our registration statement at the time of the first public filing.</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67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140" w:firstLine="615"/>
        <w:spacing w:after="0" w:line="255" w:lineRule="auto"/>
        <w:rPr>
          <w:sz w:val="20"/>
          <w:szCs w:val="20"/>
          <w:color w:val="auto"/>
        </w:rPr>
      </w:pPr>
      <w:r>
        <w:rPr>
          <w:rFonts w:ascii="Arial" w:cs="Arial" w:eastAsia="Arial" w:hAnsi="Arial"/>
          <w:sz w:val="18"/>
          <w:szCs w:val="18"/>
          <w:i w:val="1"/>
          <w:iCs w:val="1"/>
          <w:color w:val="auto"/>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and carefully consider this entire prospectus, including the sections titled "Risk Factors" and "Management's Discussion and Analysis of Financial Condition and Results of Operations" and our financial statements and related notes included elsewhere in this prospectus, before deciding to invest in our common stock.</w:t>
      </w:r>
    </w:p>
    <w:p>
      <w:pPr>
        <w:spacing w:after="0" w:line="197" w:lineRule="exact"/>
        <w:rPr>
          <w:sz w:val="20"/>
          <w:szCs w:val="20"/>
          <w:color w:val="auto"/>
        </w:rPr>
      </w:pPr>
    </w:p>
    <w:p>
      <w:pPr>
        <w:ind w:left="240" w:right="260" w:firstLine="615"/>
        <w:spacing w:after="0" w:line="332" w:lineRule="auto"/>
        <w:rPr>
          <w:sz w:val="20"/>
          <w:szCs w:val="20"/>
          <w:color w:val="auto"/>
        </w:rPr>
      </w:pPr>
      <w:r>
        <w:rPr>
          <w:rFonts w:ascii="Arial" w:cs="Arial" w:eastAsia="Arial" w:hAnsi="Arial"/>
          <w:sz w:val="16"/>
          <w:szCs w:val="16"/>
          <w:i w:val="1"/>
          <w:iCs w:val="1"/>
          <w:color w:val="auto"/>
        </w:rPr>
        <w:t>Except as otherwise indicated herein or as the context otherwise requires, references in this prospectus to "Y-mAbs," the "company," "we," "us" and "our" and similar words refer to Y-mAbs Therapeutics, Inc. and our wholly owned Danish subsidiary, Y-mAbs Therapeutics A/S.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140" w:firstLine="611"/>
        <w:spacing w:after="0" w:line="290"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2" w:lineRule="exact"/>
        <w:rPr>
          <w:sz w:val="20"/>
          <w:szCs w:val="20"/>
          <w:color w:val="auto"/>
        </w:rPr>
      </w:pPr>
    </w:p>
    <w:p>
      <w:pPr>
        <w:ind w:left="240" w:right="100" w:firstLine="611"/>
        <w:spacing w:after="0" w:line="288" w:lineRule="auto"/>
        <w:rPr>
          <w:sz w:val="20"/>
          <w:szCs w:val="20"/>
          <w:color w:val="auto"/>
        </w:rPr>
      </w:pPr>
      <w:r>
        <w:rPr>
          <w:rFonts w:ascii="Arial" w:cs="Arial" w:eastAsia="Arial" w:hAnsi="Arial"/>
          <w:sz w:val="16"/>
          <w:szCs w:val="16"/>
          <w:color w:val="auto"/>
        </w:rPr>
        <w:t>We expect to submit a Biologics License Application, or BLA, for each of our two lead product candidates in 2018, with a goal of receiving approval by the U.S. Food and Drug Administration, or FDA, in 2019. We plan to commercialize both of our lead product candidates in the United States as soon as possible after obtaining FDA approval, if such approval occurs. We have two additional omburtamab follow-on product candidates in pre-clinical development, omburtamab-DTPA and hu-omburtamab, each targeting indications with large adult patient populations. We are also advancing an early-stage, novel pipeline of bispecific antibodies, or BsAbs. We believe our BsAbs have the potential to result in improved tumor-binding, longer serum half-life, lower immunogenicity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4" w:lineRule="exact"/>
        <w:rPr>
          <w:sz w:val="20"/>
          <w:szCs w:val="20"/>
          <w:color w:val="auto"/>
        </w:rPr>
      </w:pPr>
    </w:p>
    <w:p>
      <w:pPr>
        <w:ind w:left="240" w:firstLine="615"/>
        <w:spacing w:after="0" w:line="289" w:lineRule="auto"/>
        <w:rPr>
          <w:sz w:val="20"/>
          <w:szCs w:val="20"/>
          <w:color w:val="auto"/>
        </w:rPr>
      </w:pPr>
      <w:r>
        <w:rPr>
          <w:rFonts w:ascii="Arial" w:cs="Arial" w:eastAsia="Arial" w:hAnsi="Arial"/>
          <w:sz w:val="16"/>
          <w:szCs w:val="16"/>
          <w:color w:val="auto"/>
        </w:rPr>
        <w:t>Naxitamab is a recombinant humanized immunoglobulin G, or IgG1k, monoclonal antibody that targets ganglioside GD2, which is highly expressed in various neuroectoderm-derived tumors and sarcomas. Naxitamab is currently being studied in several clinical trials, including pivotal-stage development (Study 201) and a Phase 1/2 clinical trial (Study 12-230) for the treatment of pediatric R/R high-risk NB, a Phase 2 clinical trial (Study 16-1643) in front-line NB and a Phase 2 clinical trial (Study 15-096) for relapsed osteosarcoma. We believe that naxitamab has multiple potential advantages over other GD2-targeting antibody-based therapies. In particular, its modest toxicity allows for doses two-and-a-half times greater than existing GD2-targeting antibody-based therapies. Unlike currently approved GD2-targeting therapies for NB, which require 10 to 20 hours of infusion and hospitalization for several days, naxitamab is administered in approximately 30 minutes in an outpatient setting. We believe this significantly shorter administration time is an important advantage considering the overall pain associated with treatment.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535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53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firstLine="615"/>
        <w:spacing w:after="0" w:line="285" w:lineRule="auto"/>
        <w:rPr>
          <w:sz w:val="20"/>
          <w:szCs w:val="20"/>
          <w:color w:val="auto"/>
        </w:rPr>
      </w:pPr>
      <w:r>
        <w:rPr>
          <w:rFonts w:ascii="Arial" w:cs="Arial" w:eastAsia="Arial" w:hAnsi="Arial"/>
          <w:sz w:val="16"/>
          <w:szCs w:val="16"/>
          <w:color w:val="auto"/>
        </w:rPr>
        <w:t>In Study 12-230 for naxitamab, which together with Study 201 is expected to form the primary basis of our BLA submission, we achieved an overall response rate, or ORR, of 57% in 23 patients with pediatric R/R high-risk NB who at study entry had evaluable tumors and no evidence of progression of disease, or PD. Based on our discussions with the FDA, the profile of the non-PD R/R high-risk NB pediatric patients in Study 12-230 is representative of the intended patient population for naxitamab's target indication. The corresponding ORRs will form the primary objective of our pivotal study (Study 201). Additionally, based on our discussions with the FDA, we believe that naxitamab may qualify for accelerated approval if we can demonstrate a 30% ORR (which is significantly different from a 20% ORR at a 95% confidence interval, or CI) with a minimum 12-week duration of response. We have proposed to the FDA that, pending comparability between the study population and the pharmacokinetics analysis in Study 12-230 and Study 201, the data from the two studies may be pooled for analysis. Naxitamab has been administered to more than 200 patients to date, who will form the safety portion of our planned BLA submission, and has been generally well tolerated with no significant long-term toxicities observed to date. We expect to report the topline results from our ongoing Study 201 and submit the BLA for naxitamab for R/R high-risk NB in the second half of 2018. Currently, there are no FDA-approved therapies for primary refractory or second-line pediatric NB patients. Naxitamab has also received orphan drug designation, or ODD, and rare pediatric disease designation, or RPDD, from the FDA for the treatment of NB. While our current clinical efforts for naxitamab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Omburtamab is a murine monoclonal antibody that targets B7-H3, an immune checkpoint molecule that is widely expressed in tumor cells of</w:t>
      </w:r>
    </w:p>
    <w:p>
      <w:pPr>
        <w:spacing w:after="0" w:line="38" w:lineRule="exact"/>
        <w:rPr>
          <w:sz w:val="20"/>
          <w:szCs w:val="20"/>
          <w:color w:val="auto"/>
        </w:rPr>
      </w:pPr>
    </w:p>
    <w:p>
      <w:pPr>
        <w:jc w:val="both"/>
        <w:ind w:left="240" w:right="260"/>
        <w:spacing w:after="0" w:line="226" w:lineRule="auto"/>
        <w:rPr>
          <w:sz w:val="20"/>
          <w:szCs w:val="20"/>
          <w:color w:val="auto"/>
        </w:rPr>
      </w:pPr>
      <w:r>
        <w:rPr>
          <w:rFonts w:ascii="Arial" w:cs="Arial" w:eastAsia="Arial" w:hAnsi="Arial"/>
          <w:sz w:val="16"/>
          <w:szCs w:val="16"/>
          <w:color w:val="auto"/>
        </w:rPr>
        <w:t xml:space="preserve">several cancer types.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which is omburtamab radiolabeled with Iodine-131, is currently being studied in several clinical trials including pivotal-stage development (Study 101) and a Phase 1 clinical trial (Study 03-133) for the treatment of pediatric patients with R/R NB who have CNS or LM.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Study 03-133. An analysis of these</w:t>
      </w:r>
    </w:p>
    <w:p>
      <w:pPr>
        <w:spacing w:after="0" w:line="1" w:lineRule="exact"/>
        <w:rPr>
          <w:sz w:val="20"/>
          <w:szCs w:val="20"/>
          <w:color w:val="auto"/>
        </w:rPr>
      </w:pPr>
    </w:p>
    <w:p>
      <w:pPr>
        <w:ind w:left="240" w:right="380"/>
        <w:spacing w:after="0" w:line="278" w:lineRule="auto"/>
        <w:rPr>
          <w:sz w:val="20"/>
          <w:szCs w:val="20"/>
          <w:color w:val="auto"/>
        </w:rPr>
      </w:pPr>
      <w:r>
        <w:rPr>
          <w:rFonts w:ascii="Arial" w:cs="Arial" w:eastAsia="Arial" w:hAnsi="Arial"/>
          <w:sz w:val="16"/>
          <w:szCs w:val="16"/>
          <w:color w:val="auto"/>
        </w:rPr>
        <w:t>93 patients demonstrated a median overall survival, or OS, of 47 months (including an estimated five-year OS of approximately 43%), as compared to historical median OS of approximately six months. We have proposed to the FDA that, pending comparability between study population and the pharmacokinetics analysis in Study 03-133 and Study 101, data from both studies may be pooled for analysis for our planned BLA submission.</w:t>
      </w:r>
    </w:p>
    <w:p>
      <w:pPr>
        <w:spacing w:after="0" w:line="1" w:lineRule="exact"/>
        <w:rPr>
          <w:sz w:val="20"/>
          <w:szCs w:val="20"/>
          <w:color w:val="auto"/>
        </w:rPr>
      </w:pPr>
    </w:p>
    <w:p>
      <w:pPr>
        <w:ind w:left="240" w:right="220"/>
        <w:spacing w:after="0" w:line="243" w:lineRule="auto"/>
        <w:rPr>
          <w:sz w:val="20"/>
          <w:szCs w:val="20"/>
          <w:color w:val="auto"/>
        </w:rPr>
      </w:pPr>
      <w:r>
        <w:rPr>
          <w:rFonts w:ascii="Arial" w:cs="Arial" w:eastAsia="Arial" w:hAnsi="Arial"/>
          <w:sz w:val="17"/>
          <w:szCs w:val="17"/>
          <w:color w:val="auto"/>
        </w:rPr>
        <w:t xml:space="preserve">Omburtamab has also been generally well tolerated, with no significant long-term toxicities observed to date. </w:t>
      </w:r>
      <w:r>
        <w:rPr>
          <w:rFonts w:ascii="Arial" w:cs="Arial" w:eastAsia="Arial" w:hAnsi="Arial"/>
          <w:sz w:val="28"/>
          <w:szCs w:val="28"/>
          <w:color w:val="auto"/>
          <w:vertAlign w:val="superscript"/>
        </w:rPr>
        <w:t>131</w:t>
      </w:r>
      <w:r>
        <w:rPr>
          <w:rFonts w:ascii="Arial" w:cs="Arial" w:eastAsia="Arial" w:hAnsi="Arial"/>
          <w:sz w:val="17"/>
          <w:szCs w:val="17"/>
          <w:color w:val="auto"/>
        </w:rPr>
        <w:t xml:space="preserve">I-omburtamab has received ODD and RPDD from the FDA for the treatment of NB, and Breakthrough Therapy Designation, or BTD, for the treatment of pediatric patients with R/R NB who have CNS or LM. We expect to submit the BLA for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CNS/LM from NB in the second half of 2018.</w:t>
      </w:r>
    </w:p>
    <w:p>
      <w:pPr>
        <w:spacing w:after="0" w:line="60" w:lineRule="exact"/>
        <w:rPr>
          <w:sz w:val="20"/>
          <w:szCs w:val="20"/>
          <w:color w:val="auto"/>
        </w:rPr>
      </w:pPr>
    </w:p>
    <w:p>
      <w:pPr>
        <w:ind w:left="860"/>
        <w:spacing w:after="0"/>
        <w:rPr>
          <w:sz w:val="20"/>
          <w:szCs w:val="20"/>
          <w:color w:val="auto"/>
        </w:rPr>
      </w:pPr>
      <w:r>
        <w:rPr>
          <w:rFonts w:ascii="Arial" w:cs="Arial" w:eastAsia="Arial" w:hAnsi="Arial"/>
          <w:sz w:val="26"/>
          <w:szCs w:val="26"/>
          <w:color w:val="auto"/>
          <w:vertAlign w:val="superscript"/>
        </w:rPr>
        <w:t>124</w:t>
      </w:r>
      <w:r>
        <w:rPr>
          <w:rFonts w:ascii="Arial" w:cs="Arial" w:eastAsia="Arial" w:hAnsi="Arial"/>
          <w:sz w:val="16"/>
          <w:szCs w:val="16"/>
          <w:color w:val="auto"/>
        </w:rPr>
        <w:t>I-omburtamab, which is omburtamab radiolabeled with Iodine-124, is currently being studied for the treatment of Diffuse Intrinsic Pontine</w:t>
      </w:r>
    </w:p>
    <w:p>
      <w:pPr>
        <w:ind w:left="240" w:right="140"/>
        <w:spacing w:after="0" w:line="230" w:lineRule="auto"/>
        <w:rPr>
          <w:sz w:val="20"/>
          <w:szCs w:val="20"/>
          <w:color w:val="auto"/>
        </w:rPr>
      </w:pPr>
      <w:r>
        <w:rPr>
          <w:rFonts w:ascii="Arial" w:cs="Arial" w:eastAsia="Arial" w:hAnsi="Arial"/>
          <w:sz w:val="18"/>
          <w:szCs w:val="18"/>
          <w:color w:val="auto"/>
        </w:rPr>
        <w:t xml:space="preserve">Glioma, or DIPG.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and the underlying solid systemic tumors. We estimate that, in the United States in 2017, there were more than 30,000 new patients diagnosed with cancer that has metastasized to the CNS/LM, of which the vast majority express B7-H3.</w:t>
      </w:r>
    </w:p>
    <w:p>
      <w:pPr>
        <w:spacing w:after="0" w:line="211" w:lineRule="exact"/>
        <w:rPr>
          <w:sz w:val="20"/>
          <w:szCs w:val="20"/>
          <w:color w:val="auto"/>
        </w:rPr>
      </w:pPr>
    </w:p>
    <w:p>
      <w:pPr>
        <w:ind w:left="240" w:right="280" w:firstLine="611"/>
        <w:spacing w:after="0" w:line="332" w:lineRule="auto"/>
        <w:rPr>
          <w:sz w:val="20"/>
          <w:szCs w:val="20"/>
          <w:color w:val="auto"/>
        </w:rPr>
      </w:pPr>
      <w:r>
        <w:rPr>
          <w:rFonts w:ascii="Arial" w:cs="Arial" w:eastAsia="Arial" w:hAnsi="Arial"/>
          <w:sz w:val="16"/>
          <w:szCs w:val="16"/>
          <w:color w:val="auto"/>
        </w:rPr>
        <w:t>We have two additional product candidates in pre-clinical development, omburtamab-DTPA (diethylenetriamine pentaacetate), a Lutetium-177 conjugated antibody, and hu-omburtamab, a humanized version of omburtamab, each targeting indications with large adult patient populations</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58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55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20"/>
        <w:spacing w:after="0" w:line="291" w:lineRule="auto"/>
        <w:rPr>
          <w:sz w:val="20"/>
          <w:szCs w:val="20"/>
          <w:color w:val="auto"/>
        </w:rPr>
      </w:pPr>
      <w:r>
        <w:rPr>
          <w:rFonts w:ascii="Arial" w:cs="Arial" w:eastAsia="Arial" w:hAnsi="Arial"/>
          <w:sz w:val="16"/>
          <w:szCs w:val="16"/>
          <w:color w:val="auto"/>
        </w:rPr>
        <w:t>where we believe there is a significant unmet medical need. We are also advancing a pipeline of novel BsAbs through late pre-clinical development, including our naxitamab-BsAb product candidate for the treatment of refractory GD2-positive adult and pediatric solid tumors and our huCD33-BsAb product candidate for the treatment of hematological cancers expressing CD33, a transmembrane receptor expressed on cells of myeloid lineage. In pre-clinical studies, naxitamab-BsAb has demonstrated the potential for improved tumor-binding, longer serum half-life, lower immunogenicity and significantly greater T-cell mediated killing compared to existing bispecific constructs. We expect to file an Investigational New Drug application, or IND, for our naxitamab-BsAb product candidate for treatment of patients with refractory GD2-positive solid tumors in the first half of 2018.</w:t>
      </w:r>
    </w:p>
    <w:p>
      <w:pPr>
        <w:spacing w:after="0" w:line="174" w:lineRule="exact"/>
        <w:rPr>
          <w:sz w:val="20"/>
          <w:szCs w:val="20"/>
          <w:color w:val="auto"/>
        </w:rPr>
      </w:pPr>
    </w:p>
    <w:p>
      <w:pPr>
        <w:ind w:left="240" w:right="240" w:firstLine="611"/>
        <w:spacing w:after="0" w:line="286"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Memorial Sloan Kettering Cancer Center, or MSK. 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and are currently collaborating with MSK on several MULTI-TAG product candidates, with the goal of selecting a potential clinical candidate in 2018. We believe that our strong relationship with MSK, one of the world's leading cancer treatment centers, and our access to certain of MSK's technologies and substantial research capabilities affords us several competitive advantages, particularly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181" w:lineRule="exact"/>
        <w:rPr>
          <w:sz w:val="20"/>
          <w:szCs w:val="20"/>
          <w:color w:val="auto"/>
        </w:rPr>
      </w:pPr>
    </w:p>
    <w:p>
      <w:pPr>
        <w:ind w:left="240" w:right="240" w:firstLine="615"/>
        <w:spacing w:after="0" w:line="282" w:lineRule="auto"/>
        <w:rPr>
          <w:sz w:val="20"/>
          <w:szCs w:val="20"/>
          <w:color w:val="auto"/>
        </w:rPr>
      </w:pPr>
      <w:r>
        <w:rPr>
          <w:rFonts w:ascii="Arial" w:cs="Arial" w:eastAsia="Arial" w:hAnsi="Arial"/>
          <w:sz w:val="16"/>
          <w:szCs w:val="16"/>
          <w:color w:val="auto"/>
        </w:rPr>
        <w:t>Our management team has substantial public company experience and extensive knowledge in the field of antibody oncology drug development, manufacturing and commercialization. Thomas Gad, our Founder, Chairman, President and Head of Business Development, co-founded Singad Pharma ApS, a Danish pharmaceutical and distribution company, where, as part of senior management, he gained more than 12 years of experience in the pharmaceutical industry, including in business development, financing and licensing negotiations and manufacturing site qualification. Our Chief Executive Officer, Dr. Claus Juan Møller San Pedro, co-founded Genmab A/S, or Genmab, one of the largest public biotechnology companies in Europe, where he served as Executive Vice President and Chief Operating Officer for over 10 years. Our Chief Financial Officer, Bo Kruse, served as Genmab's Chief Financial Officer and was directly involved in several of Genmab's financing rounds including Genmab's initial public offering. In addition, since our inception in April 2015, we have raised approximately $120 million from our founding investors and prominent biotechnology institutional investors, including HBM Healthcare Investments (Cayman) Ltd. and funds advised by or affiliated with Scopia Capital Management LP and Sofinnova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ind w:left="240"/>
              <w:spacing w:after="0"/>
              <w:rPr>
                <w:sz w:val="20"/>
                <w:szCs w:val="20"/>
                <w:color w:val="auto"/>
              </w:rPr>
            </w:pPr>
            <w:r>
              <w:rPr>
                <w:rFonts w:ascii="Arial" w:cs="Arial" w:eastAsia="Arial" w:hAnsi="Arial"/>
                <w:sz w:val="18"/>
                <w:szCs w:val="18"/>
                <w:color w:val="auto"/>
              </w:rPr>
              <w:t>Ventures, Inc., among others, and as of</w:t>
            </w:r>
          </w:p>
        </w:tc>
        <w:tc>
          <w:tcPr>
            <w:tcW w:w="3940" w:type="dxa"/>
            <w:vAlign w:val="bottom"/>
          </w:tcPr>
          <w:p>
            <w:pPr>
              <w:jc w:val="right"/>
              <w:ind w:right="192"/>
              <w:spacing w:after="0"/>
              <w:rPr>
                <w:sz w:val="20"/>
                <w:szCs w:val="20"/>
                <w:color w:val="auto"/>
              </w:rPr>
            </w:pPr>
            <w:r>
              <w:rPr>
                <w:rFonts w:ascii="Arial" w:cs="Arial" w:eastAsia="Arial" w:hAnsi="Arial"/>
                <w:sz w:val="18"/>
                <w:szCs w:val="18"/>
                <w:color w:val="auto"/>
                <w:w w:val="97"/>
              </w:rPr>
              <w:t>, 2018 we have cash and cash equivalents of $</w:t>
            </w:r>
          </w:p>
        </w:tc>
        <w:tc>
          <w:tcPr>
            <w:tcW w:w="4060" w:type="dxa"/>
            <w:vAlign w:val="bottom"/>
          </w:tcPr>
          <w:p>
            <w:pPr>
              <w:jc w:val="right"/>
              <w:ind w:right="3672"/>
              <w:spacing w:after="0"/>
              <w:rPr>
                <w:sz w:val="20"/>
                <w:szCs w:val="20"/>
                <w:color w:val="auto"/>
              </w:rPr>
            </w:pPr>
            <w:r>
              <w:rPr>
                <w:rFonts w:ascii="Arial" w:cs="Arial" w:eastAsia="Arial" w:hAnsi="Arial"/>
                <w:sz w:val="18"/>
                <w:szCs w:val="18"/>
                <w:color w:val="auto"/>
              </w:rPr>
              <w:t>.</w:t>
            </w:r>
          </w:p>
        </w:tc>
      </w:tr>
      <w:tr>
        <w:trPr>
          <w:trHeight w:val="438"/>
        </w:trPr>
        <w:tc>
          <w:tcPr>
            <w:tcW w:w="34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r>
        <w:trPr>
          <w:trHeight w:val="427"/>
        </w:trPr>
        <w:tc>
          <w:tcPr>
            <w:tcW w:w="3420" w:type="dxa"/>
            <w:vAlign w:val="bottom"/>
          </w:tcPr>
          <w:p>
            <w:pPr>
              <w:spacing w:after="0"/>
              <w:rPr>
                <w:sz w:val="24"/>
                <w:szCs w:val="24"/>
                <w:color w:val="auto"/>
              </w:rPr>
            </w:pPr>
          </w:p>
        </w:tc>
        <w:tc>
          <w:tcPr>
            <w:tcW w:w="3940" w:type="dxa"/>
            <w:vAlign w:val="bottom"/>
          </w:tcPr>
          <w:p>
            <w:pPr>
              <w:jc w:val="right"/>
              <w:ind w:right="1512"/>
              <w:spacing w:after="0"/>
              <w:rPr>
                <w:sz w:val="20"/>
                <w:szCs w:val="20"/>
                <w:color w:val="auto"/>
              </w:rPr>
            </w:pPr>
            <w:r>
              <w:rPr>
                <w:rFonts w:ascii="Arial" w:cs="Arial" w:eastAsia="Arial" w:hAnsi="Arial"/>
                <w:sz w:val="18"/>
                <w:szCs w:val="18"/>
                <w:color w:val="auto"/>
              </w:rPr>
              <w:t>3</w:t>
            </w:r>
          </w:p>
        </w:tc>
        <w:tc>
          <w:tcPr>
            <w:tcW w:w="4060" w:type="dxa"/>
            <w:vAlign w:val="bottom"/>
          </w:tcPr>
          <w:p>
            <w:pPr>
              <w:spacing w:after="0"/>
              <w:rPr>
                <w:sz w:val="24"/>
                <w:szCs w:val="24"/>
                <w:color w:val="auto"/>
              </w:rPr>
            </w:pPr>
          </w:p>
        </w:tc>
      </w:tr>
      <w:tr>
        <w:trPr>
          <w:trHeight w:val="228"/>
        </w:trPr>
        <w:tc>
          <w:tcPr>
            <w:tcW w:w="342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3483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834834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240" w:right="380" w:firstLine="611"/>
        <w:spacing w:after="0" w:line="268" w:lineRule="auto"/>
        <w:rPr>
          <w:sz w:val="20"/>
          <w:szCs w:val="20"/>
          <w:color w:val="auto"/>
        </w:rPr>
      </w:pPr>
      <w:r>
        <w:rPr>
          <w:rFonts w:ascii="Arial" w:cs="Arial" w:eastAsia="Arial" w:hAnsi="Arial"/>
          <w:sz w:val="18"/>
          <w:szCs w:val="18"/>
          <w:color w:val="auto"/>
        </w:rPr>
        <w:t>The following table sets forth our product candidates and their current development stages, estimated development timelines and anticipated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80" w:hanging="538"/>
        <w:spacing w:after="0" w:line="233" w:lineRule="auto"/>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Pivotal registration study supportive of a BLA submission to the FDA, comprised of Study 12-230 measuring pharmacokinetic, toxicity and efficacy and an additional Phase 3 study, Study 201, to prove comparability between study sites using a cGMP commercial manufacturer and that has also been designed to satisfy the confirmatory study and post-marketing requirements by the FDA.</w:t>
      </w:r>
    </w:p>
    <w:p>
      <w:pPr>
        <w:spacing w:after="0" w:line="179" w:lineRule="exact"/>
        <w:rPr>
          <w:rFonts w:ascii="Arial" w:cs="Arial" w:eastAsia="Arial" w:hAnsi="Arial"/>
          <w:sz w:val="14"/>
          <w:szCs w:val="14"/>
          <w:color w:val="auto"/>
        </w:rPr>
      </w:pPr>
    </w:p>
    <w:p>
      <w:pPr>
        <w:ind w:left="780" w:hanging="538"/>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Initial study represents pediatric and young adult patients.</w:t>
      </w:r>
    </w:p>
    <w:p>
      <w:pPr>
        <w:spacing w:after="0" w:line="190" w:lineRule="exact"/>
        <w:rPr>
          <w:rFonts w:ascii="Arial" w:cs="Arial" w:eastAsia="Arial" w:hAnsi="Arial"/>
          <w:sz w:val="14"/>
          <w:szCs w:val="14"/>
          <w:color w:val="auto"/>
        </w:rPr>
      </w:pPr>
    </w:p>
    <w:p>
      <w:pPr>
        <w:ind w:left="780" w:hanging="538"/>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radioactive isotope of iodine used to radiolabel omburtamab.</w:t>
      </w:r>
    </w:p>
    <w:p>
      <w:pPr>
        <w:spacing w:after="0" w:line="190" w:lineRule="exact"/>
        <w:rPr>
          <w:rFonts w:ascii="Arial" w:cs="Arial" w:eastAsia="Arial" w:hAnsi="Arial"/>
          <w:sz w:val="14"/>
          <w:szCs w:val="14"/>
          <w:color w:val="auto"/>
        </w:rPr>
      </w:pPr>
    </w:p>
    <w:p>
      <w:pPr>
        <w:ind w:left="780" w:hanging="538"/>
        <w:spacing w:after="0" w:line="233" w:lineRule="auto"/>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Pivotal registration study supportive of a BLA submission to the FDA, comprised of Study 03-133 measuring pharmacokinetic, toxicity and efficacy and an additional Phase 3 study, Study 101, to prove comparability between study sites using a cGMP commercial manufacturer and that has also been designed to satisfy the confirmatory study and post-marketing requirements by the FDA.</w:t>
      </w:r>
    </w:p>
    <w:p>
      <w:pPr>
        <w:spacing w:after="0" w:line="179" w:lineRule="exact"/>
        <w:rPr>
          <w:rFonts w:ascii="Arial" w:cs="Arial" w:eastAsia="Arial" w:hAnsi="Arial"/>
          <w:sz w:val="14"/>
          <w:szCs w:val="14"/>
          <w:color w:val="auto"/>
        </w:rPr>
      </w:pPr>
    </w:p>
    <w:p>
      <w:pPr>
        <w:ind w:left="780" w:hanging="538"/>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Omburtamab-DTPA is a DTPA-conjugated omburtamab labeled with Lutetium-177 as chelator.</w:t>
      </w:r>
    </w:p>
    <w:p>
      <w:pPr>
        <w:spacing w:after="0" w:line="200" w:lineRule="exact"/>
        <w:rPr>
          <w:sz w:val="20"/>
          <w:szCs w:val="20"/>
          <w:color w:val="auto"/>
        </w:rPr>
      </w:pPr>
    </w:p>
    <w:p>
      <w:pPr>
        <w:spacing w:after="0" w:line="21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Key elements of our strategy are:</w:t>
      </w:r>
    </w:p>
    <w:p>
      <w:pPr>
        <w:spacing w:after="0" w:line="252" w:lineRule="exact"/>
        <w:rPr>
          <w:sz w:val="20"/>
          <w:szCs w:val="20"/>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Rapidly and concurrently advance our lead product candidates to regulatory approval.</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Expand the indications and target patient populations for our existing product candidates.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Independently commercialize our product candidates in indications and territories where we believe we can maximize their value.</w:t>
      </w:r>
    </w:p>
    <w:p>
      <w:pPr>
        <w:spacing w:after="0" w:line="275" w:lineRule="exact"/>
        <w:rPr>
          <w:rFonts w:ascii="Arial" w:cs="Arial" w:eastAsia="Arial" w:hAnsi="Arial"/>
          <w:sz w:val="16"/>
          <w:szCs w:val="16"/>
          <w:color w:val="auto"/>
        </w:rPr>
      </w:pPr>
    </w:p>
    <w:p>
      <w:pPr>
        <w:ind w:left="1320" w:hanging="538"/>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Advance our novel BsAb product candidates that we believe may offer potential substantial benefits over existing bispecific constructs.</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Leverage our relationships with leading academic and clinical institutions to develop additional product candidates.</w:t>
      </w:r>
    </w:p>
    <w:p>
      <w:pPr>
        <w:sectPr>
          <w:pgSz w:w="11900" w:h="16838" w:orient="portrait"/>
          <w:cols w:equalWidth="0" w:num="1">
            <w:col w:w="11100"/>
          </w:cols>
          <w:pgMar w:left="240" w:top="13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27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72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right="120" w:firstLine="615"/>
        <w:spacing w:after="0" w:line="33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66" w:lineRule="exact"/>
        <w:rPr>
          <w:sz w:val="20"/>
          <w:szCs w:val="20"/>
          <w:color w:val="auto"/>
        </w:rPr>
      </w:pPr>
    </w:p>
    <w:p>
      <w:pPr>
        <w:ind w:left="1320" w:right="40" w:hanging="538"/>
        <w:spacing w:after="0" w:line="332"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 limited operating history and have incurred significant losses since our inception. We have no products approved for commercial sale and expect to incur significant losses for the foreseeable future and may never achieve or maintain profitability.</w:t>
      </w:r>
    </w:p>
    <w:p>
      <w:pPr>
        <w:spacing w:after="0" w:line="152" w:lineRule="exact"/>
        <w:rPr>
          <w:rFonts w:ascii="Arial" w:cs="Arial" w:eastAsia="Arial" w:hAnsi="Arial"/>
          <w:sz w:val="16"/>
          <w:szCs w:val="16"/>
          <w:color w:val="auto"/>
        </w:rPr>
      </w:pPr>
    </w:p>
    <w:p>
      <w:pPr>
        <w:ind w:left="1320" w:right="50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obtained marketing approval for a product candidate and we may be unable to obtain, or may be delayed in obtaining, marketing approval for any of our product candidates.</w:t>
      </w:r>
    </w:p>
    <w:p>
      <w:pPr>
        <w:spacing w:after="0" w:line="199"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payment obligations to MSK may be a drain on our cash resources, or may cause us to incur debt obligations or issue additional equity securities to satisfy such payment obligations.</w:t>
      </w:r>
    </w:p>
    <w:p>
      <w:pPr>
        <w:spacing w:after="0" w:line="212" w:lineRule="exact"/>
        <w:rPr>
          <w:rFonts w:ascii="Arial" w:cs="Arial" w:eastAsia="Arial" w:hAnsi="Arial"/>
          <w:sz w:val="18"/>
          <w:szCs w:val="18"/>
          <w:color w:val="auto"/>
        </w:rPr>
      </w:pPr>
    </w:p>
    <w:p>
      <w:pPr>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licenses and other agreements may be terminated.</w:t>
      </w:r>
    </w:p>
    <w:p>
      <w:pPr>
        <w:spacing w:after="0" w:line="207" w:lineRule="exact"/>
        <w:rPr>
          <w:rFonts w:ascii="Arial" w:cs="Arial" w:eastAsia="Arial" w:hAnsi="Arial"/>
          <w:sz w:val="18"/>
          <w:szCs w:val="18"/>
          <w:color w:val="auto"/>
        </w:rPr>
      </w:pPr>
    </w:p>
    <w:p>
      <w:pPr>
        <w:jc w:val="both"/>
        <w:ind w:left="1320" w:hanging="538"/>
        <w:spacing w:after="0" w:line="306"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74" w:lineRule="exact"/>
        <w:rPr>
          <w:rFonts w:ascii="Arial" w:cs="Arial" w:eastAsia="Arial" w:hAnsi="Arial"/>
          <w:sz w:val="16"/>
          <w:szCs w:val="16"/>
          <w:color w:val="auto"/>
        </w:rPr>
      </w:pPr>
    </w:p>
    <w:p>
      <w:pPr>
        <w:ind w:left="1320" w:right="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212" w:lineRule="exact"/>
        <w:rPr>
          <w:rFonts w:ascii="Arial" w:cs="Arial" w:eastAsia="Arial" w:hAnsi="Arial"/>
          <w:sz w:val="18"/>
          <w:szCs w:val="18"/>
          <w:color w:val="auto"/>
        </w:rPr>
      </w:pPr>
    </w:p>
    <w:p>
      <w:pPr>
        <w:ind w:left="1320" w:right="140" w:hanging="538"/>
        <w:spacing w:after="0" w:line="255"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210" w:lineRule="exact"/>
        <w:rPr>
          <w:rFonts w:ascii="Arial" w:cs="Arial" w:eastAsia="Arial" w:hAnsi="Arial"/>
          <w:sz w:val="18"/>
          <w:szCs w:val="18"/>
          <w:color w:val="auto"/>
        </w:rPr>
      </w:pPr>
    </w:p>
    <w:p>
      <w:pPr>
        <w:ind w:left="1320" w:right="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w:t>
      </w:r>
    </w:p>
    <w:p>
      <w:pPr>
        <w:spacing w:after="0" w:line="207" w:lineRule="exact"/>
        <w:rPr>
          <w:rFonts w:ascii="Arial" w:cs="Arial" w:eastAsia="Arial" w:hAnsi="Arial"/>
          <w:sz w:val="18"/>
          <w:szCs w:val="18"/>
          <w:color w:val="auto"/>
        </w:rPr>
      </w:pPr>
    </w:p>
    <w:p>
      <w:pPr>
        <w:ind w:left="1320" w:right="280" w:hanging="538"/>
        <w:spacing w:after="0" w:line="294"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of the potential future collaborators, to market the drug could be compromised.</w:t>
      </w:r>
    </w:p>
    <w:p>
      <w:pPr>
        <w:spacing w:after="0" w:line="196" w:lineRule="exact"/>
        <w:rPr>
          <w:rFonts w:ascii="Arial" w:cs="Arial" w:eastAsia="Arial" w:hAnsi="Arial"/>
          <w:sz w:val="16"/>
          <w:szCs w:val="16"/>
          <w:color w:val="auto"/>
        </w:rPr>
      </w:pPr>
    </w:p>
    <w:p>
      <w:pPr>
        <w:ind w:left="1320" w:right="2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pre-clinical studies and early clinical trials may not be predictive of the success of later clinical trials, interim results of a clinical trial do not necessarily predict final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07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307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results, and the results of our clinical trials may not satisfy the requirements of the FDA or comparable foreign regulatory authorities.</w:t>
      </w:r>
    </w:p>
    <w:p>
      <w:pPr>
        <w:spacing w:after="0" w:line="275" w:lineRule="exact"/>
        <w:rPr>
          <w:sz w:val="20"/>
          <w:szCs w:val="20"/>
          <w:color w:val="auto"/>
        </w:rPr>
      </w:pPr>
    </w:p>
    <w:p>
      <w:pPr>
        <w:ind w:left="13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207" w:lineRule="exact"/>
        <w:rPr>
          <w:rFonts w:ascii="Arial" w:cs="Arial" w:eastAsia="Arial" w:hAnsi="Arial"/>
          <w:sz w:val="18"/>
          <w:szCs w:val="18"/>
          <w:color w:val="auto"/>
        </w:rPr>
      </w:pPr>
    </w:p>
    <w:p>
      <w:pPr>
        <w:ind w:left="1320" w:right="60" w:hanging="538"/>
        <w:spacing w:after="0" w:line="332"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52" w:lineRule="exact"/>
        <w:rPr>
          <w:rFonts w:ascii="Arial" w:cs="Arial" w:eastAsia="Arial" w:hAnsi="Arial"/>
          <w:sz w:val="16"/>
          <w:szCs w:val="16"/>
          <w:color w:val="auto"/>
        </w:rPr>
      </w:pPr>
    </w:p>
    <w:p>
      <w:pPr>
        <w:ind w:left="1320" w:right="16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no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221" w:lineRule="exact"/>
        <w:rPr>
          <w:rFonts w:ascii="Arial" w:cs="Arial" w:eastAsia="Arial" w:hAnsi="Arial"/>
          <w:sz w:val="18"/>
          <w:szCs w:val="18"/>
          <w:color w:val="auto"/>
        </w:rPr>
      </w:pPr>
    </w:p>
    <w:p>
      <w:pPr>
        <w:ind w:left="1320" w:right="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199" w:lineRule="exact"/>
        <w:rPr>
          <w:rFonts w:ascii="Arial" w:cs="Arial" w:eastAsia="Arial" w:hAnsi="Arial"/>
          <w:sz w:val="18"/>
          <w:szCs w:val="18"/>
          <w:color w:val="auto"/>
        </w:rPr>
      </w:pPr>
    </w:p>
    <w:p>
      <w:pPr>
        <w:ind w:left="1320" w:right="20" w:hanging="538"/>
        <w:spacing w:after="0" w:line="256"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collaborations in the future, or if such collaborations are not successful, our business could be adversely affected.</w:t>
      </w:r>
    </w:p>
    <w:p>
      <w:pPr>
        <w:spacing w:after="0" w:line="210" w:lineRule="exact"/>
        <w:rPr>
          <w:rFonts w:ascii="Arial" w:cs="Arial" w:eastAsia="Arial" w:hAnsi="Arial"/>
          <w:sz w:val="18"/>
          <w:szCs w:val="18"/>
          <w:color w:val="auto"/>
        </w:rPr>
      </w:pPr>
    </w:p>
    <w:p>
      <w:pPr>
        <w:ind w:left="1320" w:right="40" w:hanging="538"/>
        <w:spacing w:after="0" w:line="290"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Third parties have sponsored and conducted all clinical trials of our lead product candidates so far, and our ability to influence the design and conduct of such clinical trials has been limited. To date,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99" w:lineRule="exact"/>
        <w:rPr>
          <w:rFonts w:ascii="Arial" w:cs="Arial" w:eastAsia="Arial" w:hAnsi="Arial"/>
          <w:sz w:val="16"/>
          <w:szCs w:val="16"/>
          <w:color w:val="auto"/>
        </w:rPr>
      </w:pPr>
    </w:p>
    <w:p>
      <w:pPr>
        <w:ind w:left="1320" w:right="60" w:hanging="538"/>
        <w:spacing w:after="0" w:line="298"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Even if we complete the necessary pre-clinical studies and clinical trials, the FDA regulatory approval process is lengthy, time-consuming, and inherently unpredictable, and we or any of our collaborators may experience significant delays in the clinical development and regulatory approval, if any, for the commercialization of our product candidates. As a result, we cannot predict when or if, and in which territories, we, or any of our collaborators, will obtain marketing approval to commercialize a product candidate.</w:t>
      </w:r>
    </w:p>
    <w:p>
      <w:pPr>
        <w:spacing w:after="0" w:line="180" w:lineRule="exact"/>
        <w:rPr>
          <w:rFonts w:ascii="Arial" w:cs="Arial" w:eastAsia="Arial" w:hAnsi="Arial"/>
          <w:sz w:val="16"/>
          <w:szCs w:val="16"/>
          <w:color w:val="auto"/>
        </w:rPr>
      </w:pPr>
    </w:p>
    <w:p>
      <w:pPr>
        <w:ind w:left="1320" w:right="140" w:hanging="538"/>
        <w:spacing w:after="0" w:line="298"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80" w:lineRule="exact"/>
        <w:rPr>
          <w:rFonts w:ascii="Arial" w:cs="Arial" w:eastAsia="Arial" w:hAnsi="Arial"/>
          <w:sz w:val="16"/>
          <w:szCs w:val="16"/>
          <w:color w:val="auto"/>
        </w:rPr>
      </w:pPr>
    </w:p>
    <w:p>
      <w:pPr>
        <w:ind w:left="1320" w:right="38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109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200" w:hanging="538"/>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207" w:lineRule="exact"/>
        <w:rPr>
          <w:rFonts w:ascii="Arial" w:cs="Arial" w:eastAsia="Arial" w:hAnsi="Arial"/>
          <w:sz w:val="18"/>
          <w:szCs w:val="18"/>
          <w:color w:val="auto"/>
        </w:rPr>
      </w:pPr>
    </w:p>
    <w:p>
      <w:pPr>
        <w:ind w:left="1320" w:right="16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199" w:lineRule="exact"/>
        <w:rPr>
          <w:rFonts w:ascii="Arial" w:cs="Arial" w:eastAsia="Arial" w:hAnsi="Arial"/>
          <w:sz w:val="18"/>
          <w:szCs w:val="18"/>
          <w:color w:val="auto"/>
        </w:rPr>
      </w:pPr>
    </w:p>
    <w:p>
      <w:pPr>
        <w:ind w:left="1320" w:right="160" w:hanging="538"/>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221" w:lineRule="exact"/>
        <w:rPr>
          <w:rFonts w:ascii="Arial" w:cs="Arial" w:eastAsia="Arial" w:hAnsi="Arial"/>
          <w:sz w:val="18"/>
          <w:szCs w:val="18"/>
          <w:color w:val="auto"/>
        </w:rPr>
      </w:pPr>
    </w:p>
    <w:p>
      <w:pPr>
        <w:ind w:left="1320" w:right="40" w:hanging="538"/>
        <w:spacing w:after="0" w:line="291"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As a company with less than $1.07 billion of revenue during our last fiscal year, we qualify as an "emerging growth company" as defined in the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Jumpstart Our Business Startups Act of 2012, as amended, or the JOBS Act. We may remain an emerging growth company until the earlier of (i) the last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day of the fiscal year following the fifth anniversary of the completion of this offering, (ii) the last day of the fiscal year in which we have more than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$1.07 billion in annual gross revenue, (iii) the last day of the fiscal year in which we are deemed to be a "large accelerated filer" as defined in Rule 12b-2</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 the Securities Exchange Act of 1934, as amended, or the Exchange Act, which would occur if the market value of our common stock held by non-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affiliates exceeded $700.0 million as of the last business day of the second fiscal quarter of such fiscal year, or (iv) the date on which we issue more than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billion of non-convertible debt securities during the prior three-year period. For so long as we remain an emerging growth company, we are permitted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and intend to rely on exemptions from certain disclosure and other requirements that are applicable to other public companies that are not emerging growth</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companies. In particular, as an emerging growth company, in this prospectus, we (i) will have provided only two years of audited financial statements, with</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correspondingly reduced "Management's Discussion and Analysis of Financial Condition and Results of Operations" disclosure, (ii) may avail ourselves of</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exemption from the requirement to obtain an attestation and report from our auditors on the assessment of our internal control over financial reporting</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the Sarbanes-Oxley Act of 2002, or the Sarbanes-Oxley Act, (iii) have not included all of the executive compensation-related information that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would be required if we were not an emerging growth company and (iv) we may not require stockholder non-binding advisory votes on executive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compensation or golden parachute arrangements. Accordingly, the information contained herein may be different than the information you receive from</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public companies in which you hold stock.</w:t>
      </w:r>
    </w:p>
    <w:p>
      <w:pPr>
        <w:spacing w:after="0" w:line="219" w:lineRule="exact"/>
        <w:rPr>
          <w:sz w:val="20"/>
          <w:szCs w:val="20"/>
          <w:color w:val="auto"/>
        </w:rPr>
      </w:pPr>
    </w:p>
    <w:p>
      <w:pPr>
        <w:jc w:val="both"/>
        <w:ind w:left="240" w:right="220" w:firstLine="611"/>
        <w:spacing w:after="0" w:line="259" w:lineRule="auto"/>
        <w:rPr>
          <w:sz w:val="20"/>
          <w:szCs w:val="20"/>
          <w:color w:val="auto"/>
        </w:rPr>
      </w:pPr>
      <w:r>
        <w:rPr>
          <w:rFonts w:ascii="Arial" w:cs="Arial" w:eastAsia="Arial" w:hAnsi="Arial"/>
          <w:sz w:val="18"/>
          <w:szCs w:val="18"/>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525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52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Corporate Information</w:t>
      </w:r>
    </w:p>
    <w:p>
      <w:pPr>
        <w:spacing w:after="0" w:line="232" w:lineRule="exact"/>
        <w:rPr>
          <w:sz w:val="20"/>
          <w:szCs w:val="20"/>
          <w:color w:val="auto"/>
        </w:rPr>
      </w:pPr>
    </w:p>
    <w:p>
      <w:pPr>
        <w:ind w:left="240" w:firstLine="611"/>
        <w:spacing w:after="0" w:line="228" w:lineRule="auto"/>
        <w:rPr>
          <w:sz w:val="20"/>
          <w:szCs w:val="20"/>
          <w:color w:val="auto"/>
        </w:rPr>
      </w:pPr>
      <w:r>
        <w:rPr>
          <w:rFonts w:ascii="Arial" w:cs="Arial" w:eastAsia="Arial" w:hAnsi="Arial"/>
          <w:sz w:val="18"/>
          <w:szCs w:val="18"/>
          <w:color w:val="auto"/>
        </w:rPr>
        <w:t>We were incorporated under the laws of the State of Delaware on April 30, 2015. Our executive offices are located at 750 Third Avenue,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10017 and our telephone number is (212) 874-9841. Our website address is </w:t>
      </w:r>
      <w:r>
        <w:rPr>
          <w:rFonts w:ascii="Arial" w:cs="Arial" w:eastAsia="Arial" w:hAnsi="Arial"/>
          <w:sz w:val="18"/>
          <w:szCs w:val="18"/>
          <w:i w:val="1"/>
          <w:iCs w:val="1"/>
          <w:color w:val="auto"/>
        </w:rPr>
        <w:t>www.ymabs.com</w:t>
      </w:r>
      <w:r>
        <w:rPr>
          <w:rFonts w:ascii="Arial" w:cs="Arial" w:eastAsia="Arial" w:hAnsi="Arial"/>
          <w:sz w:val="18"/>
          <w:szCs w:val="18"/>
          <w:color w:val="auto"/>
        </w:rPr>
        <w:t>. The information contained on, or that can be accessed through, our website is not a part of this prospectus and is not incorporated by reference herein. We have included our website address in this prospectus solely as an inactive textual reference.</w:t>
      </w:r>
    </w:p>
    <w:p>
      <w:pPr>
        <w:spacing w:after="0" w:line="213" w:lineRule="exact"/>
        <w:rPr>
          <w:sz w:val="20"/>
          <w:szCs w:val="20"/>
          <w:color w:val="auto"/>
        </w:rPr>
      </w:pPr>
    </w:p>
    <w:p>
      <w:pPr>
        <w:ind w:left="240" w:right="80" w:firstLine="615"/>
        <w:spacing w:after="0" w:line="254" w:lineRule="auto"/>
        <w:rPr>
          <w:sz w:val="20"/>
          <w:szCs w:val="20"/>
          <w:color w:val="auto"/>
        </w:rPr>
      </w:pPr>
      <w:r>
        <w:rPr>
          <w:rFonts w:ascii="Arial" w:cs="Arial" w:eastAsia="Arial" w:hAnsi="Arial"/>
          <w:sz w:val="18"/>
          <w:szCs w:val="18"/>
          <w:color w:val="auto"/>
        </w:rPr>
        <w:t>"Y-mAbs" is our common law trademark. Any other trademarks or service marks of our company appearing in this prospectus are the property of Y-mAbs Therapeutics, Inc. All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4520" w:type="dxa"/>
            <w:vAlign w:val="bottom"/>
            <w:tcBorders>
              <w:top w:val="single" w:sz="8" w:color="auto"/>
              <w:left w:val="single" w:sz="8" w:color="auto"/>
            </w:tcBorders>
          </w:tcPr>
          <w:p>
            <w:pPr>
              <w:spacing w:after="0"/>
              <w:rPr>
                <w:sz w:val="24"/>
                <w:szCs w:val="24"/>
                <w:color w:val="auto"/>
              </w:rPr>
            </w:pPr>
          </w:p>
        </w:tc>
        <w:tc>
          <w:tcPr>
            <w:tcW w:w="23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THE OFFERING</w:t>
            </w:r>
          </w:p>
        </w:tc>
        <w:tc>
          <w:tcPr>
            <w:tcW w:w="2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r>
      <w:tr>
        <w:trPr>
          <w:trHeight w:val="432"/>
        </w:trPr>
        <w:tc>
          <w:tcPr>
            <w:tcW w:w="45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Common stock offered by us</w:t>
            </w:r>
          </w:p>
        </w:tc>
        <w:tc>
          <w:tcPr>
            <w:tcW w:w="2380" w:type="dxa"/>
            <w:vAlign w:val="bottom"/>
          </w:tcPr>
          <w:p>
            <w:pPr>
              <w:ind w:left="80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r>
      <w:tr>
        <w:trPr>
          <w:trHeight w:val="420"/>
        </w:trPr>
        <w:tc>
          <w:tcPr>
            <w:tcW w:w="45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w w:val="88"/>
              </w:rPr>
              <w:t>Common stock to be outstanding immediately following</w:t>
            </w:r>
          </w:p>
        </w:tc>
        <w:tc>
          <w:tcPr>
            <w:tcW w:w="2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r>
      <w:tr>
        <w:trPr>
          <w:trHeight w:val="228"/>
        </w:trPr>
        <w:tc>
          <w:tcPr>
            <w:tcW w:w="452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this offering</w:t>
            </w:r>
          </w:p>
        </w:tc>
        <w:tc>
          <w:tcPr>
            <w:tcW w:w="2380" w:type="dxa"/>
            <w:vAlign w:val="bottom"/>
          </w:tcPr>
          <w:p>
            <w:pPr>
              <w:ind w:left="80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426"/>
        </w:trPr>
        <w:tc>
          <w:tcPr>
            <w:tcW w:w="45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Option to purchase additional shares</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w w:val="88"/>
              </w:rPr>
              <w:t>The underwriters have the option to purchase up to an additional</w:t>
            </w:r>
          </w:p>
        </w:tc>
        <w:tc>
          <w:tcPr>
            <w:tcW w:w="640" w:type="dxa"/>
            <w:vAlign w:val="bottom"/>
          </w:tcPr>
          <w:p>
            <w:pPr>
              <w:spacing w:after="0"/>
              <w:rPr>
                <w:sz w:val="24"/>
                <w:szCs w:val="24"/>
                <w:color w:val="auto"/>
              </w:rPr>
            </w:pP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shares of</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8"/>
              </w:rPr>
              <w:t>common stock from us, at the public offering price, less the underwriting discount. The</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underwriters may exercise this option at any time within 30 days from the date of this</w:t>
            </w:r>
          </w:p>
        </w:tc>
      </w:tr>
      <w:tr>
        <w:trPr>
          <w:trHeight w:val="222"/>
        </w:trPr>
        <w:tc>
          <w:tcPr>
            <w:tcW w:w="4520" w:type="dxa"/>
            <w:vAlign w:val="bottom"/>
            <w:tcBorders>
              <w:left w:val="single" w:sz="8" w:color="auto"/>
            </w:tcBorders>
          </w:tcPr>
          <w:p>
            <w:pPr>
              <w:spacing w:after="0"/>
              <w:rPr>
                <w:sz w:val="19"/>
                <w:szCs w:val="19"/>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prospectus.</w:t>
            </w: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426"/>
        </w:trPr>
        <w:tc>
          <w:tcPr>
            <w:tcW w:w="45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Use of proceeds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w w:val="92"/>
              </w:rPr>
              <w:t>We estimate that the net proceeds to us from our issuance and sale of</w:t>
            </w:r>
          </w:p>
        </w:tc>
        <w:tc>
          <w:tcPr>
            <w:tcW w:w="158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shares of</w:t>
            </w:r>
          </w:p>
        </w:tc>
      </w:tr>
      <w:tr>
        <w:trPr>
          <w:trHeight w:val="216"/>
        </w:trPr>
        <w:tc>
          <w:tcPr>
            <w:tcW w:w="4520" w:type="dxa"/>
            <w:vAlign w:val="bottom"/>
            <w:tcBorders>
              <w:left w:val="single" w:sz="8" w:color="auto"/>
            </w:tcBorders>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our common stock in this offering will be approximately $</w:t>
            </w:r>
          </w:p>
        </w:tc>
        <w:tc>
          <w:tcPr>
            <w:tcW w:w="22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million, assuming an initial</w:t>
            </w:r>
          </w:p>
        </w:tc>
      </w:tr>
      <w:tr>
        <w:trPr>
          <w:trHeight w:val="216"/>
        </w:trPr>
        <w:tc>
          <w:tcPr>
            <w:tcW w:w="4520" w:type="dxa"/>
            <w:vAlign w:val="bottom"/>
            <w:tcBorders>
              <w:left w:val="single" w:sz="8" w:color="auto"/>
            </w:tcBorders>
          </w:tcPr>
          <w:p>
            <w:pPr>
              <w:spacing w:after="0"/>
              <w:rPr>
                <w:sz w:val="18"/>
                <w:szCs w:val="18"/>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public offering price of $</w:t>
            </w:r>
          </w:p>
        </w:tc>
        <w:tc>
          <w:tcPr>
            <w:tcW w:w="4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per share, which is the midpoint of the price range set forth</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3"/>
              </w:rPr>
              <w:t>on the cover page of this prospectus, after deducting estimated underwriting discounts and</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2"/>
              </w:rPr>
              <w:t>commissions and estimated offering expenses payable by us. If the underwriters exercise in</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5"/>
              </w:rPr>
              <w:t>full their option to purchase additional shares, we estimate that the net proceeds from this</w:t>
            </w:r>
          </w:p>
        </w:tc>
      </w:tr>
      <w:tr>
        <w:trPr>
          <w:trHeight w:val="222"/>
        </w:trPr>
        <w:tc>
          <w:tcPr>
            <w:tcW w:w="4520" w:type="dxa"/>
            <w:vAlign w:val="bottom"/>
            <w:tcBorders>
              <w:left w:val="single" w:sz="8" w:color="auto"/>
            </w:tcBorders>
          </w:tcPr>
          <w:p>
            <w:pPr>
              <w:spacing w:after="0"/>
              <w:rPr>
                <w:sz w:val="19"/>
                <w:szCs w:val="19"/>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w w:val="91"/>
              </w:rPr>
              <w:t>offering will be approximately $</w:t>
            </w:r>
          </w:p>
        </w:tc>
        <w:tc>
          <w:tcPr>
            <w:tcW w:w="2300" w:type="dxa"/>
            <w:vAlign w:val="bottom"/>
          </w:tcPr>
          <w:p>
            <w:pPr>
              <w:ind w:left="5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426"/>
        </w:trPr>
        <w:tc>
          <w:tcPr>
            <w:tcW w:w="4520" w:type="dxa"/>
            <w:vAlign w:val="bottom"/>
            <w:tcBorders>
              <w:left w:val="single" w:sz="8" w:color="auto"/>
            </w:tcBorders>
          </w:tcPr>
          <w:p>
            <w:pPr>
              <w:spacing w:after="0"/>
              <w:rPr>
                <w:sz w:val="24"/>
                <w:szCs w:val="24"/>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3"/>
              </w:rPr>
              <w:t>We currently estimate that we will use the net proceeds from this offering, together with our</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existing cash and cash equivalents, as follows: (i) to fund our ongoing pivotal stage</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3"/>
              </w:rPr>
              <w:t>development through regulatory submission, and other clinical development and expansion</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into new indications of one of our lead product candidates, naxitamab, (ii) to fund our</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ongoing pivotal stage development through regulatory submission, and other clinical</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3"/>
              </w:rPr>
              <w:t>development and expansion into new indications of another of our lead product candidates,</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omburtamab, (iii) to fund our ongoing clinical development of our omburtamab-DTPA</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product candidate, (iv) to fund our ongoing clinical development of our BsAb product</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8"/>
              </w:rPr>
              <w:t>candidates, (v) to fund additional pre-clinical research and clinical development activity</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5"/>
              </w:rPr>
              <w:t>related to our other product candidates and programs, and (iv) the remainder for working</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8"/>
              </w:rPr>
              <w:t>capital and other general corporate purposes, which may include funding for additional</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5"/>
              </w:rPr>
              <w:t>research, hiring additional personnel, capital and commercialization expenditures and the</w:t>
            </w:r>
          </w:p>
        </w:tc>
      </w:tr>
      <w:tr>
        <w:trPr>
          <w:trHeight w:val="222"/>
        </w:trPr>
        <w:tc>
          <w:tcPr>
            <w:tcW w:w="4520" w:type="dxa"/>
            <w:vAlign w:val="bottom"/>
            <w:tcBorders>
              <w:left w:val="single" w:sz="8" w:color="auto"/>
            </w:tcBorders>
          </w:tcPr>
          <w:p>
            <w:pPr>
              <w:spacing w:after="0"/>
              <w:rPr>
                <w:sz w:val="19"/>
                <w:szCs w:val="19"/>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w w:val="89"/>
              </w:rPr>
              <w:t>costs of operating as a public company. See "Use of Proceeds."</w:t>
            </w:r>
          </w:p>
        </w:tc>
        <w:tc>
          <w:tcPr>
            <w:tcW w:w="6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426"/>
        </w:trPr>
        <w:tc>
          <w:tcPr>
            <w:tcW w:w="45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Risk factors</w:t>
            </w: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2"/>
              </w:rPr>
              <w:t>You should carefully read the "Risk Factors" section of this prospectus and other information</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2"/>
              </w:rPr>
              <w:t>included in this prospectus for a discussion of factors to consider carefully before deciding to</w:t>
            </w:r>
          </w:p>
        </w:tc>
      </w:tr>
      <w:tr>
        <w:trPr>
          <w:trHeight w:val="222"/>
        </w:trPr>
        <w:tc>
          <w:tcPr>
            <w:tcW w:w="4520" w:type="dxa"/>
            <w:vAlign w:val="bottom"/>
            <w:tcBorders>
              <w:left w:val="single" w:sz="8" w:color="auto"/>
            </w:tcBorders>
          </w:tcPr>
          <w:p>
            <w:pPr>
              <w:spacing w:after="0"/>
              <w:rPr>
                <w:sz w:val="19"/>
                <w:szCs w:val="19"/>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invest in shares of our common stock.</w:t>
            </w:r>
          </w:p>
        </w:tc>
        <w:tc>
          <w:tcPr>
            <w:tcW w:w="6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426"/>
        </w:trPr>
        <w:tc>
          <w:tcPr>
            <w:tcW w:w="45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Dividend policy</w:t>
            </w: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8"/>
              </w:rPr>
              <w:t>We currently intend to retain all of our future earnings, if any, to finance the growth and</w:t>
            </w:r>
          </w:p>
        </w:tc>
      </w:tr>
      <w:tr>
        <w:trPr>
          <w:trHeight w:val="216"/>
        </w:trPr>
        <w:tc>
          <w:tcPr>
            <w:tcW w:w="45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8"/>
              </w:rPr>
              <w:t>development of our business. We do not intend to pay cash dividends in respect of our</w:t>
            </w:r>
          </w:p>
        </w:tc>
      </w:tr>
      <w:tr>
        <w:trPr>
          <w:trHeight w:val="222"/>
        </w:trPr>
        <w:tc>
          <w:tcPr>
            <w:tcW w:w="4520" w:type="dxa"/>
            <w:vAlign w:val="bottom"/>
            <w:tcBorders>
              <w:left w:val="single" w:sz="8" w:color="auto"/>
            </w:tcBorders>
          </w:tcPr>
          <w:p>
            <w:pPr>
              <w:spacing w:after="0"/>
              <w:rPr>
                <w:sz w:val="19"/>
                <w:szCs w:val="19"/>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common stock in the foreseeable future.</w:t>
            </w:r>
          </w:p>
        </w:tc>
        <w:tc>
          <w:tcPr>
            <w:tcW w:w="6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432"/>
        </w:trPr>
        <w:tc>
          <w:tcPr>
            <w:tcW w:w="45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Proposed Nasdaq Global Market symbol</w:t>
            </w:r>
          </w:p>
        </w:tc>
        <w:tc>
          <w:tcPr>
            <w:tcW w:w="2380" w:type="dxa"/>
            <w:vAlign w:val="bottom"/>
          </w:tcPr>
          <w:p>
            <w:pPr>
              <w:ind w:left="100"/>
              <w:spacing w:after="0"/>
              <w:rPr>
                <w:sz w:val="20"/>
                <w:szCs w:val="20"/>
                <w:color w:val="auto"/>
              </w:rPr>
            </w:pPr>
            <w:r>
              <w:rPr>
                <w:rFonts w:ascii="Arial" w:cs="Arial" w:eastAsia="Arial" w:hAnsi="Arial"/>
                <w:sz w:val="18"/>
                <w:szCs w:val="18"/>
                <w:color w:val="auto"/>
              </w:rPr>
              <w:t>"YMAB."</w:t>
            </w: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r>
      <w:tr>
        <w:trPr>
          <w:trHeight w:val="228"/>
        </w:trPr>
        <w:tc>
          <w:tcPr>
            <w:tcW w:w="4520" w:type="dxa"/>
            <w:vAlign w:val="bottom"/>
            <w:tcBorders>
              <w:left w:val="single" w:sz="8" w:color="auto"/>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427"/>
        </w:trPr>
        <w:tc>
          <w:tcPr>
            <w:tcW w:w="4520" w:type="dxa"/>
            <w:vAlign w:val="bottom"/>
          </w:tcPr>
          <w:p>
            <w:pPr>
              <w:spacing w:after="0"/>
              <w:rPr>
                <w:sz w:val="24"/>
                <w:szCs w:val="24"/>
                <w:color w:val="auto"/>
              </w:rPr>
            </w:pPr>
          </w:p>
        </w:tc>
        <w:tc>
          <w:tcPr>
            <w:tcW w:w="2380" w:type="dxa"/>
            <w:vAlign w:val="bottom"/>
          </w:tcPr>
          <w:p>
            <w:pPr>
              <w:ind w:left="1160"/>
              <w:spacing w:after="0"/>
              <w:rPr>
                <w:sz w:val="20"/>
                <w:szCs w:val="20"/>
                <w:color w:val="auto"/>
              </w:rPr>
            </w:pPr>
            <w:r>
              <w:rPr>
                <w:rFonts w:ascii="Arial" w:cs="Arial" w:eastAsia="Arial" w:hAnsi="Arial"/>
                <w:sz w:val="18"/>
                <w:szCs w:val="18"/>
                <w:color w:val="auto"/>
              </w:rPr>
              <w:t>9</w:t>
            </w: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8"/>
        </w:trPr>
        <w:tc>
          <w:tcPr>
            <w:tcW w:w="452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237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23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60" w:firstLine="611"/>
        <w:spacing w:after="0" w:line="268" w:lineRule="auto"/>
        <w:rPr>
          <w:sz w:val="20"/>
          <w:szCs w:val="20"/>
          <w:color w:val="auto"/>
        </w:rPr>
      </w:pPr>
      <w:r>
        <w:rPr>
          <w:rFonts w:ascii="Arial" w:cs="Arial" w:eastAsia="Arial" w:hAnsi="Arial"/>
          <w:sz w:val="18"/>
          <w:szCs w:val="18"/>
          <w:color w:val="auto"/>
        </w:rPr>
        <w:t>The number of shares of our common stock to be outstanding after this offering is based on shares of our common stock outstanding as of December 31, 2017.</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ectPr>
          <w:pgSz w:w="11900" w:h="16838" w:orient="portrait"/>
          <w:cols w:equalWidth="0" w:num="1">
            <w:col w:w="11000"/>
          </w:cols>
          <w:pgMar w:left="240" w:top="131" w:right="659" w:bottom="1440" w:gutter="0" w:footer="0" w:header="0"/>
        </w:sectPr>
      </w:pPr>
    </w:p>
    <w:p>
      <w:pPr>
        <w:spacing w:after="0" w:line="22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firstLine="834"/>
        <w:spacing w:after="0" w:line="268" w:lineRule="auto"/>
        <w:rPr>
          <w:sz w:val="20"/>
          <w:szCs w:val="20"/>
          <w:color w:val="auto"/>
        </w:rPr>
      </w:pPr>
      <w:r>
        <w:rPr>
          <w:rFonts w:ascii="Arial" w:cs="Arial" w:eastAsia="Arial" w:hAnsi="Arial"/>
          <w:sz w:val="18"/>
          <w:szCs w:val="18"/>
          <w:color w:val="auto"/>
        </w:rPr>
        <w:t>shares of our common stock issuable upon the exercise of stock options outstanding as of December 31, 2017, at a weighted average exercise price of $ per share; and</w:t>
      </w:r>
    </w:p>
    <w:p>
      <w:pPr>
        <w:spacing w:after="0" w:line="186" w:lineRule="exact"/>
        <w:rPr>
          <w:sz w:val="20"/>
          <w:szCs w:val="20"/>
          <w:color w:val="auto"/>
        </w:rPr>
      </w:pPr>
    </w:p>
    <w:p>
      <w:pPr>
        <w:sectPr>
          <w:pgSz w:w="11900" w:h="16838" w:orient="portrait"/>
          <w:cols w:equalWidth="0" w:num="2">
            <w:col w:w="840" w:space="480"/>
            <w:col w:w="9680"/>
          </w:cols>
          <w:pgMar w:left="240" w:top="131" w:right="65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20" w:firstLine="1053"/>
        <w:spacing w:after="0" w:line="268" w:lineRule="auto"/>
        <w:rPr>
          <w:sz w:val="20"/>
          <w:szCs w:val="20"/>
          <w:color w:val="auto"/>
        </w:rPr>
      </w:pPr>
      <w:r>
        <w:rPr>
          <w:rFonts w:ascii="Arial" w:cs="Arial" w:eastAsia="Arial" w:hAnsi="Arial"/>
          <w:sz w:val="18"/>
          <w:szCs w:val="18"/>
          <w:color w:val="auto"/>
        </w:rPr>
        <w:t>shares of our common stock remaining available for future issuance as of December 31, 2017 under our Amended and Restated 2015 Equity Incentive Plan, or the 2015 Plan.</w:t>
      </w:r>
    </w:p>
    <w:p>
      <w:pPr>
        <w:spacing w:after="0" w:line="186" w:lineRule="exact"/>
        <w:rPr>
          <w:sz w:val="20"/>
          <w:szCs w:val="20"/>
          <w:color w:val="auto"/>
        </w:rPr>
      </w:pPr>
    </w:p>
    <w:p>
      <w:pPr>
        <w:sectPr>
          <w:pgSz w:w="11900" w:h="16838" w:orient="portrait"/>
          <w:cols w:equalWidth="0" w:num="2">
            <w:col w:w="840" w:space="480"/>
            <w:col w:w="9680"/>
          </w:cols>
          <w:pgMar w:left="240" w:top="131" w:right="659" w:bottom="1440" w:gutter="0" w:footer="0" w:header="0"/>
          <w:type w:val="continuous"/>
        </w:sectPr>
      </w:pPr>
    </w:p>
    <w:p>
      <w:pPr>
        <w:ind w:left="86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239" w:lineRule="exact"/>
        <w:rPr>
          <w:sz w:val="20"/>
          <w:szCs w:val="20"/>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25" w:lineRule="exact"/>
        <w:rPr>
          <w:sz w:val="20"/>
          <w:szCs w:val="20"/>
          <w:color w:val="auto"/>
        </w:rPr>
      </w:pPr>
    </w:p>
    <w:p>
      <w:pPr>
        <w:ind w:left="780"/>
        <w:spacing w:after="0"/>
        <w:tabs>
          <w:tab w:leader="none" w:pos="1300" w:val="left"/>
          <w:tab w:leader="none" w:pos="6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w:t>
      </w:r>
      <w:r>
        <w:rPr>
          <w:sz w:val="20"/>
          <w:szCs w:val="20"/>
          <w:color w:val="auto"/>
        </w:rPr>
        <w:tab/>
      </w:r>
      <w:r>
        <w:rPr>
          <w:rFonts w:ascii="Arial" w:cs="Arial" w:eastAsia="Arial" w:hAnsi="Arial"/>
          <w:sz w:val="15"/>
          <w:szCs w:val="15"/>
          <w:color w:val="auto"/>
        </w:rPr>
        <w:t>additional shares of our common stock; and</w:t>
      </w:r>
    </w:p>
    <w:p>
      <w:pPr>
        <w:spacing w:after="0" w:line="266" w:lineRule="exact"/>
        <w:rPr>
          <w:sz w:val="20"/>
          <w:szCs w:val="20"/>
          <w:color w:val="auto"/>
        </w:rPr>
      </w:pPr>
    </w:p>
    <w:p>
      <w:pPr>
        <w:ind w:left="132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our amended and restated certificate of incorporation and bylaws, both of which we intend to file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5475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475605"/>
                    </a:xfrm>
                    <a:prstGeom prst="rect">
                      <a:avLst/>
                    </a:prstGeom>
                    <a:noFill/>
                  </pic:spPr>
                </pic:pic>
              </a:graphicData>
            </a:graphic>
          </wp:anchor>
        </w:drawing>
      </w: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following tables set forth our summary consolidated financial data for the periods indicated. We have derived the consolidated statements of operations data for the years ended December 31, 2016 and 2017 and the consolidated balance sheet data as of December 31, 2017 from our audited consolidated financial statements included elsewhere in this prospectus. Our historical results are not necessarily indicative of the results that should be expected for any future period. You should read the following summary consolidated financial data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20" w:type="dxa"/>
            <w:vAlign w:val="bottom"/>
            <w:gridSpan w:val="2"/>
          </w:tcPr>
          <w:p>
            <w:pPr>
              <w:jc w:val="right"/>
              <w:ind w:right="37"/>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5"/>
              </w:rPr>
              <w:t>except per share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data)</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13,855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3,184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(17,039)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tcPr>
          <w:p>
            <w:pPr>
              <w:spacing w:after="0"/>
              <w:rPr>
                <w:sz w:val="18"/>
                <w:szCs w:val="18"/>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(18)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(17,057)</w:t>
            </w: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highlight w:val="white"/>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(17,057)</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576"/>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Net loss per share attributable to common stockholders—basic and diluted</w:t>
            </w:r>
            <w:r>
              <w:rPr>
                <w:rFonts w:ascii="Arial" w:cs="Arial" w:eastAsia="Arial" w:hAnsi="Arial"/>
                <w:sz w:val="27"/>
                <w:szCs w:val="27"/>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Weighted-average common shares outstanding used in computing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attributable to common stockholders—basic and diluted</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w w:val="93"/>
              </w:rPr>
              <w:t>14,087,456</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 adjusted net loss per share—basic and diluted (unaudited)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76"/>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w w:val="91"/>
              </w:rPr>
              <w:t>As adjusted weighted average common shares outstanding used in computing net loss per</w:t>
            </w: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share—basic and diluted (unaudited)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74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40" w:right="20" w:hanging="544"/>
        <w:spacing w:after="0" w:line="318" w:lineRule="auto"/>
        <w:tabs>
          <w:tab w:leader="none" w:pos="1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See Note 4 to our to consolidated financial statements included elsewhere in prospectus for an explanation of the method used to calculate the historical basic and diluted net loss per common share and the weighted 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480" w:top="1009" w:right="6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366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36613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As of December 31, 2017</w:t>
      </w:r>
    </w:p>
    <w:p>
      <w:pPr>
        <w:spacing w:after="0" w:line="13" w:lineRule="exact"/>
        <w:rPr>
          <w:sz w:val="20"/>
          <w:szCs w:val="20"/>
          <w:color w:val="auto"/>
        </w:rPr>
      </w:pPr>
    </w:p>
    <w:p>
      <w:pPr>
        <w:jc w:val="center"/>
        <w:ind w:left="7780"/>
        <w:spacing w:after="0"/>
        <w:tabs>
          <w:tab w:leader="none" w:pos="360"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As Adjusted(2)(3)</w:t>
      </w:r>
    </w:p>
    <w:p>
      <w:pPr>
        <w:jc w:val="center"/>
        <w:ind w:left="640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Consolidated Balance Sheet Data</w:t>
            </w:r>
            <w:r>
              <w:rPr>
                <w:rFonts w:ascii="Arial" w:cs="Arial" w:eastAsia="Arial" w:hAnsi="Arial"/>
                <w:sz w:val="18"/>
                <w:szCs w:val="18"/>
                <w:color w:val="auto"/>
                <w:w w:val="93"/>
              </w:rPr>
              <w:t>:</w:t>
            </w:r>
          </w:p>
        </w:tc>
        <w:tc>
          <w:tcPr>
            <w:tcW w:w="4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192"/>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426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Total assets</w:t>
            </w:r>
          </w:p>
        </w:tc>
        <w:tc>
          <w:tcPr>
            <w:tcW w:w="42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Accumulated deficit</w:t>
            </w:r>
          </w:p>
        </w:tc>
        <w:tc>
          <w:tcPr>
            <w:tcW w:w="42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08"/>
        </w:trPr>
        <w:tc>
          <w:tcPr>
            <w:tcW w:w="2740" w:type="dxa"/>
            <w:vAlign w:val="bottom"/>
            <w:tcBorders>
              <w:bottom w:val="single" w:sz="8" w:color="auto"/>
            </w:tcBorders>
          </w:tcPr>
          <w:p>
            <w:pPr>
              <w:spacing w:after="0"/>
              <w:rPr>
                <w:sz w:val="9"/>
                <w:szCs w:val="9"/>
                <w:color w:val="auto"/>
              </w:rPr>
            </w:pPr>
          </w:p>
        </w:tc>
        <w:tc>
          <w:tcPr>
            <w:tcW w:w="4260" w:type="dxa"/>
            <w:vAlign w:val="bottom"/>
          </w:tcPr>
          <w:p>
            <w:pPr>
              <w:spacing w:after="0"/>
              <w:rPr>
                <w:sz w:val="9"/>
                <w:szCs w:val="9"/>
                <w:color w:val="auto"/>
              </w:rPr>
            </w:pPr>
          </w:p>
        </w:tc>
        <w:tc>
          <w:tcPr>
            <w:tcW w:w="1740" w:type="dxa"/>
            <w:vAlign w:val="bottom"/>
          </w:tcPr>
          <w:p>
            <w:pPr>
              <w:spacing w:after="0"/>
              <w:rPr>
                <w:sz w:val="9"/>
                <w:szCs w:val="9"/>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1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40" w:type="dxa"/>
            <w:vAlign w:val="bottom"/>
          </w:tcPr>
          <w:p>
            <w:pPr>
              <w:jc w:val="right"/>
              <w:ind w:right="112"/>
              <w:spacing w:after="0"/>
              <w:rPr>
                <w:sz w:val="20"/>
                <w:szCs w:val="20"/>
                <w:color w:val="auto"/>
              </w:rPr>
            </w:pPr>
            <w:r>
              <w:rPr>
                <w:rFonts w:ascii="Arial" w:cs="Arial" w:eastAsia="Arial" w:hAnsi="Arial"/>
                <w:sz w:val="14"/>
                <w:szCs w:val="14"/>
                <w:color w:val="auto"/>
                <w:w w:val="81"/>
              </w:rPr>
              <w:t>(2)</w:t>
            </w:r>
          </w:p>
        </w:tc>
        <w:tc>
          <w:tcPr>
            <w:tcW w:w="4460" w:type="dxa"/>
            <w:vAlign w:val="bottom"/>
            <w:gridSpan w:val="2"/>
          </w:tcPr>
          <w:p>
            <w:pPr>
              <w:ind w:left="200"/>
              <w:spacing w:after="0"/>
              <w:rPr>
                <w:sz w:val="20"/>
                <w:szCs w:val="20"/>
                <w:color w:val="auto"/>
              </w:rPr>
            </w:pPr>
            <w:r>
              <w:rPr>
                <w:rFonts w:ascii="Arial" w:cs="Arial" w:eastAsia="Arial" w:hAnsi="Arial"/>
                <w:sz w:val="14"/>
                <w:szCs w:val="14"/>
                <w:color w:val="auto"/>
                <w:w w:val="92"/>
              </w:rPr>
              <w:t>The as adjusted balance sheet data give effect to our issuance and sale of</w:t>
            </w:r>
          </w:p>
        </w:tc>
        <w:tc>
          <w:tcPr>
            <w:tcW w:w="4980" w:type="dxa"/>
            <w:vAlign w:val="bottom"/>
          </w:tcPr>
          <w:p>
            <w:pPr>
              <w:ind w:left="340"/>
              <w:spacing w:after="0"/>
              <w:rPr>
                <w:sz w:val="20"/>
                <w:szCs w:val="20"/>
                <w:color w:val="auto"/>
              </w:rPr>
            </w:pPr>
            <w:r>
              <w:rPr>
                <w:rFonts w:ascii="Arial" w:cs="Arial" w:eastAsia="Arial" w:hAnsi="Arial"/>
                <w:sz w:val="14"/>
                <w:szCs w:val="14"/>
                <w:color w:val="auto"/>
                <w:w w:val="88"/>
              </w:rPr>
              <w:t>shares of our common stock in this offering at an assumed initial public offering price</w:t>
            </w:r>
          </w:p>
        </w:tc>
      </w:tr>
      <w:tr>
        <w:trPr>
          <w:trHeight w:val="161"/>
        </w:trPr>
        <w:tc>
          <w:tcPr>
            <w:tcW w:w="340" w:type="dxa"/>
            <w:vAlign w:val="bottom"/>
          </w:tcPr>
          <w:p>
            <w:pPr>
              <w:spacing w:after="0"/>
              <w:rPr>
                <w:sz w:val="13"/>
                <w:szCs w:val="13"/>
                <w:color w:val="auto"/>
              </w:rPr>
            </w:pPr>
          </w:p>
        </w:tc>
        <w:tc>
          <w:tcPr>
            <w:tcW w:w="540" w:type="dxa"/>
            <w:vAlign w:val="bottom"/>
          </w:tcPr>
          <w:p>
            <w:pPr>
              <w:ind w:left="200"/>
              <w:spacing w:after="0"/>
              <w:rPr>
                <w:sz w:val="20"/>
                <w:szCs w:val="20"/>
                <w:color w:val="auto"/>
              </w:rPr>
            </w:pPr>
            <w:r>
              <w:rPr>
                <w:rFonts w:ascii="Arial" w:cs="Arial" w:eastAsia="Arial" w:hAnsi="Arial"/>
                <w:sz w:val="14"/>
                <w:szCs w:val="14"/>
                <w:color w:val="auto"/>
              </w:rPr>
              <w:t>of $</w:t>
            </w:r>
          </w:p>
        </w:tc>
        <w:tc>
          <w:tcPr>
            <w:tcW w:w="8900" w:type="dxa"/>
            <w:vAlign w:val="bottom"/>
            <w:gridSpan w:val="2"/>
          </w:tcPr>
          <w:p>
            <w:pPr>
              <w:ind w:left="140"/>
              <w:spacing w:after="0"/>
              <w:rPr>
                <w:sz w:val="20"/>
                <w:szCs w:val="20"/>
                <w:color w:val="auto"/>
              </w:rPr>
            </w:pPr>
            <w:r>
              <w:rPr>
                <w:rFonts w:ascii="Arial" w:cs="Arial" w:eastAsia="Arial" w:hAnsi="Arial"/>
                <w:sz w:val="14"/>
                <w:szCs w:val="14"/>
                <w:color w:val="auto"/>
                <w:w w:val="92"/>
              </w:rPr>
              <w:t>per share of common stock, which is the midpoint of the price range set forth on the cover page of this prospectus, after deducting estimated underwriting</w:t>
            </w:r>
          </w:p>
        </w:tc>
      </w:tr>
    </w:tbl>
    <w:p>
      <w:pPr>
        <w:ind w:left="1880"/>
        <w:spacing w:after="0"/>
        <w:rPr>
          <w:sz w:val="20"/>
          <w:szCs w:val="20"/>
          <w:color w:val="auto"/>
        </w:rPr>
      </w:pPr>
      <w:r>
        <w:rPr>
          <w:rFonts w:ascii="Arial" w:cs="Arial" w:eastAsia="Arial" w:hAnsi="Arial"/>
          <w:sz w:val="14"/>
          <w:szCs w:val="14"/>
          <w:color w:val="auto"/>
        </w:rPr>
        <w:t>discounts and commissions and estimated offering expenses payable by us.</w:t>
      </w:r>
    </w:p>
    <w:p>
      <w:pPr>
        <w:spacing w:after="0" w:line="111" w:lineRule="exact"/>
        <w:rPr>
          <w:sz w:val="20"/>
          <w:szCs w:val="20"/>
          <w:color w:val="auto"/>
        </w:rPr>
      </w:pPr>
    </w:p>
    <w:p>
      <w:pPr>
        <w:ind w:left="1880" w:hanging="544"/>
        <w:spacing w:after="0"/>
        <w:tabs>
          <w:tab w:leader="none" w:pos="18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as adjusted information discussed above is illustrative only and will change based on the actual initial public offering price and other terms of this offering determined</w:t>
      </w:r>
    </w:p>
    <w:p>
      <w:pPr>
        <w:spacing w:after="0" w:line="23" w:lineRule="exact"/>
        <w:rPr>
          <w:sz w:val="20"/>
          <w:szCs w:val="20"/>
          <w:color w:val="auto"/>
        </w:rPr>
      </w:pPr>
    </w:p>
    <w:p>
      <w:pPr>
        <w:ind w:left="1880"/>
        <w:spacing w:after="0" w:line="258" w:lineRule="auto"/>
        <w:rPr>
          <w:sz w:val="20"/>
          <w:szCs w:val="20"/>
          <w:color w:val="auto"/>
        </w:rPr>
      </w:pPr>
      <w:r>
        <w:rPr>
          <w:rFonts w:ascii="Arial" w:cs="Arial" w:eastAsia="Arial" w:hAnsi="Arial"/>
          <w:sz w:val="12"/>
          <w:szCs w:val="12"/>
          <w:color w:val="auto"/>
        </w:rPr>
        <w:t>at pricing. A $1.00 increase or decrease in the assumed initial public offering price of $ per share, which is the midpoint of the price range set forth on the cover page of this prospectus, would increase or decrease the as adjusted amount of each of cash and cash equivalents, working capital, total assets and total stockholders' equity by</w:t>
      </w:r>
    </w:p>
    <w:p>
      <w:pPr>
        <w:ind w:left="1880" w:right="200" w:hanging="3"/>
        <w:spacing w:after="0" w:line="258" w:lineRule="auto"/>
        <w:tabs>
          <w:tab w:leader="none" w:pos="2353" w:val="left"/>
        </w:tabs>
        <w:numPr>
          <w:ilvl w:val="0"/>
          <w:numId w:val="13"/>
        </w:numPr>
        <w:rPr>
          <w:rFonts w:ascii="Arial" w:cs="Arial" w:eastAsia="Arial" w:hAnsi="Arial"/>
          <w:sz w:val="12"/>
          <w:szCs w:val="12"/>
          <w:color w:val="auto"/>
        </w:rPr>
      </w:pPr>
      <w:r>
        <w:rPr>
          <w:rFonts w:ascii="Arial" w:cs="Arial" w:eastAsia="Arial" w:hAnsi="Arial"/>
          <w:sz w:val="12"/>
          <w:szCs w:val="12"/>
          <w:color w:val="auto"/>
        </w:rPr>
        <w:t>million, assuming that the number of shares offered by us, as set forth on the cover page of this prospectus, remains the same and after deducting estimated underwriting discounts and commissions and estimated offering expenses payable by us. An increase or decrease of 1,000,000 shares of common stock in the number of</w:t>
      </w:r>
    </w:p>
    <w:p>
      <w:pPr>
        <w:ind w:left="1880" w:right="100"/>
        <w:spacing w:after="0" w:line="258" w:lineRule="auto"/>
        <w:rPr>
          <w:rFonts w:ascii="Arial" w:cs="Arial" w:eastAsia="Arial" w:hAnsi="Arial"/>
          <w:sz w:val="12"/>
          <w:szCs w:val="12"/>
          <w:color w:val="auto"/>
        </w:rPr>
      </w:pPr>
      <w:r>
        <w:rPr>
          <w:rFonts w:ascii="Arial" w:cs="Arial" w:eastAsia="Arial" w:hAnsi="Arial"/>
          <w:sz w:val="12"/>
          <w:szCs w:val="12"/>
          <w:color w:val="auto"/>
        </w:rPr>
        <w:t>shares offered by us, at an assumed initial public offering price of $ per share of common stock, which is the midpoint of the price range set forth on the cover page of this prospectus, would increase or decrease the as adjusted amount of each of cash and cash equivalents, working capital, total assets and total stockholders' equity by</w:t>
      </w:r>
    </w:p>
    <w:p>
      <w:pPr>
        <w:ind w:left="1880" w:right="360" w:hanging="3"/>
        <w:spacing w:after="0" w:line="230" w:lineRule="auto"/>
        <w:tabs>
          <w:tab w:leader="none" w:pos="2353" w:val="left"/>
        </w:tabs>
        <w:numPr>
          <w:ilvl w:val="0"/>
          <w:numId w:val="13"/>
        </w:numPr>
        <w:rPr>
          <w:rFonts w:ascii="Arial" w:cs="Arial" w:eastAsia="Arial" w:hAnsi="Arial"/>
          <w:sz w:val="14"/>
          <w:szCs w:val="14"/>
          <w:color w:val="auto"/>
        </w:rPr>
      </w:pPr>
      <w:r>
        <w:rPr>
          <w:rFonts w:ascii="Arial" w:cs="Arial" w:eastAsia="Arial" w:hAnsi="Arial"/>
          <w:sz w:val="14"/>
          <w:szCs w:val="14"/>
          <w:color w:val="auto"/>
        </w:rPr>
        <w:t>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615"/>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in our common stock, you should consider carefully the risks described below, together with the other information contained in this prospectus, including "Management's Discussion and Analysis of Financial Condition and Results of Operation" and our consolidated financial statements and the related notes. The risks and uncertainties described below are the risks that we believe are material to us as of the date of this prospectus.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since inception. We have no products approved for commercial sale and we expect to incur significant losses for the foreseeable future. We may never achieve or maintain profitability, which may cause the market value of our common stock to decline significantly.</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are a clinical-stage biopharmaceutical company with a limited operating history. Since our inception in 2015, we have incurred significant losses</w:t>
      </w:r>
    </w:p>
    <w:p>
      <w:pPr>
        <w:spacing w:after="0" w:line="38"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each year. Our net loss was $</w:t>
      </w:r>
      <w:r>
        <w:rPr>
          <w:sz w:val="20"/>
          <w:szCs w:val="20"/>
          <w:color w:val="auto"/>
        </w:rPr>
        <w:tab/>
      </w:r>
      <w:r>
        <w:rPr>
          <w:rFonts w:ascii="Arial" w:cs="Arial" w:eastAsia="Arial" w:hAnsi="Arial"/>
          <w:sz w:val="15"/>
          <w:szCs w:val="15"/>
          <w:color w:val="auto"/>
        </w:rPr>
        <w:t>million for the year ended December 31, 2017 and $17,057 million for the year ended December 31, 2016. As of</w:t>
      </w:r>
    </w:p>
    <w:p>
      <w:pPr>
        <w:spacing w:after="0" w:line="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December 31, 2017, we had an accumulated deficit of $ million. We have financed our operations principally through private placements of our common stock. To date, we have devoted substantially all of our efforts to research and development of our lead product candidates. While our lead product candidates are in pivotal clinical trials, we cannot assure you that we will receive regulatory approval for the sale of these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 We expect to continue to incur significant expenses and increasing operating losses for the foreseeable future. The net losses we incur may fluctuate significantly from quarter to quarter.</w:t>
      </w:r>
    </w:p>
    <w:p>
      <w:pPr>
        <w:spacing w:after="0" w:line="172"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We have no product candidates approved for commercial sale, have not generated any revenue from product sales, and do not anticipate generating any revenue from product sales until sometime after we receive regulatory approval for the commercial sale of a product candidate. We cannot assure you that we will ever receive regulatory approval for any of our product candidates.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generate revenue and achieve profitability depends significantly on our success in many factors, including:</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studies;</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developing a sustainable and scalable manufacturing process for our product candidates, including establishing and maintaining commercially viable supply relationships with third parties and establishing our own manufacturing capabilities and infrastructure;</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products, product candidates, related technologies and/or market developments;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research, development, clinical trial, manufacturing and marketing costs associated with commercializing any approved products.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any approved products, we may never become profitable.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We were incorporated and began our operations on April 30, 2015. Our operations to date have been limited to organizing and staffing our company, business planning, raising capital, conducting clinical trials of our lead product candidates, conducting pre-clinical studies of our other product candidates, and identifying additional potential product candidates. We have not yet demonstrated our ability to successfully complete any clinical trials, including large-scale, pivotal clinical trials, obtain marketing approvals, manufacture a commercial-scale drug or arrange for a third party to do so on our behalf, or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our product candidates.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Our payment obligations to MSK may be a drain on our cash resources, or may cause us to incur debt obligations or issue additional equity securities to satisfy such payment obligations, which may adversely affect our financial position and results of operations.</w:t>
      </w:r>
    </w:p>
    <w:p>
      <w:pPr>
        <w:spacing w:after="0" w:line="139" w:lineRule="exact"/>
        <w:rPr>
          <w:sz w:val="20"/>
          <w:szCs w:val="20"/>
          <w:color w:val="auto"/>
        </w:rPr>
      </w:pPr>
    </w:p>
    <w:p>
      <w:pPr>
        <w:ind w:firstLine="615"/>
        <w:spacing w:after="0" w:line="306" w:lineRule="auto"/>
        <w:rPr>
          <w:sz w:val="20"/>
          <w:szCs w:val="20"/>
          <w:color w:val="auto"/>
        </w:rPr>
      </w:pPr>
      <w:r>
        <w:rPr>
          <w:rFonts w:ascii="Arial" w:cs="Arial" w:eastAsia="Arial" w:hAnsi="Arial"/>
          <w:sz w:val="15"/>
          <w:szCs w:val="15"/>
          <w:color w:val="auto"/>
        </w:rPr>
        <w:t>Under the MSK License, we have committed to funding scientific research as well as conducting certain clinical trial activities at MSK through 2020. As licensed product candidates progress through clinical development and commercialization, certain milestone payments will come due, and we will owe MSK customary royalties on commercial sales of our approved products, if any, including, unless such royalties become due earlier, an annual fixed minimum royalty of $80,000 over the royalty term starting in 2020. These milestone payments become due upon achievement of the related clinical, regulatory or sales-based milestone set forth in the MSK License. Certain of the clinical and regulatory milestone payments become due at the earlier of completion of the related milestone activity or the date indicated in the MSK License,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 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MCTA, under which we will provide drug product and funding for certain clinical trials at MSK under separate appendices to be executed. Additionally, we entered into a master sponsored research agreement, or the SRA, with MSK pursuant to which we agreed to pay MSK to conduct certain research projects over a period of five years related to the intellectual property licensed under the MSK License.</w:t>
      </w:r>
    </w:p>
    <w:p>
      <w:pPr>
        <w:spacing w:after="0" w:line="170"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These payments could be significant and in order to satisfy our obligations to MSK, if and when they are triggered, we may use our existing cash, incur debt obligations or issue additional equity securities, which may materially and adversely affect our financial position and results of operations.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6" w:lineRule="exact"/>
        <w:rPr>
          <w:sz w:val="20"/>
          <w:szCs w:val="20"/>
          <w:color w:val="auto"/>
        </w:rPr>
      </w:pPr>
    </w:p>
    <w:p>
      <w:pPr>
        <w:ind w:right="200" w:firstLine="611"/>
        <w:spacing w:after="0" w:line="332" w:lineRule="auto"/>
        <w:rPr>
          <w:sz w:val="20"/>
          <w:szCs w:val="20"/>
          <w:color w:val="auto"/>
        </w:rPr>
      </w:pPr>
      <w:r>
        <w:rPr>
          <w:rFonts w:ascii="Arial" w:cs="Arial" w:eastAsia="Arial" w:hAnsi="Arial"/>
          <w:sz w:val="16"/>
          <w:szCs w:val="16"/>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5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assimilation of operations, intellectual property and products of an acquired company, including difficulties associated with integration;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 strategic merger or acquisition;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6" w:lineRule="exact"/>
        <w:rPr>
          <w:sz w:val="20"/>
          <w:szCs w:val="20"/>
          <w:color w:val="auto"/>
        </w:rPr>
      </w:pPr>
    </w:p>
    <w:p>
      <w:pPr>
        <w:ind w:right="220" w:firstLine="615"/>
        <w:spacing w:after="0" w:line="306" w:lineRule="auto"/>
        <w:rPr>
          <w:sz w:val="20"/>
          <w:szCs w:val="20"/>
          <w:color w:val="auto"/>
        </w:rPr>
      </w:pPr>
      <w:r>
        <w:rPr>
          <w:rFonts w:ascii="Arial" w:cs="Arial" w:eastAsia="Arial" w:hAnsi="Arial"/>
          <w:sz w:val="16"/>
          <w:szCs w:val="16"/>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6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 and other agreements may be terminated.</w:t>
      </w:r>
    </w:p>
    <w:p>
      <w:pPr>
        <w:spacing w:after="0" w:line="19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 lead product candidates and our other product candidates. In addition, if we obtain marketing approval for any of our product candidates, we expect to incur commercialization expenses, which may be significant, related to product sales, marketing, manufacturing and distribution to the extent that such sales, marketing, manufacturing and distribution are not the responsibility of any collaborator that we may have at such time for any such product candidate. Furthermore, commencing upon the closing of this offering, we expect to incur additional costs associated with operating as a public company. Accordingly,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74" w:lineRule="exact"/>
        <w:rPr>
          <w:sz w:val="20"/>
          <w:szCs w:val="20"/>
          <w:color w:val="auto"/>
        </w:rPr>
      </w:pPr>
    </w:p>
    <w:p>
      <w:pPr>
        <w:ind w:left="620"/>
        <w:spacing w:after="0"/>
        <w:tabs>
          <w:tab w:leader="none" w:pos="4700" w:val="left"/>
        </w:tabs>
        <w:rPr>
          <w:sz w:val="20"/>
          <w:szCs w:val="20"/>
          <w:color w:val="auto"/>
        </w:rPr>
      </w:pPr>
      <w:r>
        <w:rPr>
          <w:rFonts w:ascii="Arial" w:cs="Arial" w:eastAsia="Arial" w:hAnsi="Arial"/>
          <w:sz w:val="18"/>
          <w:szCs w:val="18"/>
          <w:color w:val="auto"/>
        </w:rPr>
        <w:t>As of December 31, 2017, we had approximately $</w:t>
      </w:r>
      <w:r>
        <w:rPr>
          <w:sz w:val="20"/>
          <w:szCs w:val="20"/>
          <w:color w:val="auto"/>
        </w:rPr>
        <w:tab/>
      </w:r>
      <w:r>
        <w:rPr>
          <w:rFonts w:ascii="Arial" w:cs="Arial" w:eastAsia="Arial" w:hAnsi="Arial"/>
          <w:sz w:val="16"/>
          <w:szCs w:val="16"/>
          <w:color w:val="auto"/>
        </w:rPr>
        <w:t>million in cash and cash equivalents. We estimate that the net proceeds from this offering will</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 approximately $ million after deducting the estimated offering expenses payable by us. We believe that such proceeds, together with our existing cash and cash equivalents, will be sufficient to fund our operations through February 2020. However, 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99" w:lineRule="exact"/>
        <w:rPr>
          <w:sz w:val="20"/>
          <w:szCs w:val="20"/>
          <w:color w:val="auto"/>
        </w:rPr>
      </w:pPr>
    </w:p>
    <w:p>
      <w:pPr>
        <w:ind w:right="20" w:firstLine="615"/>
        <w:spacing w:after="0" w:line="253" w:lineRule="auto"/>
        <w:rPr>
          <w:sz w:val="20"/>
          <w:szCs w:val="20"/>
          <w:color w:val="auto"/>
        </w:rPr>
      </w:pPr>
      <w:r>
        <w:rPr>
          <w:rFonts w:ascii="Arial" w:cs="Arial" w:eastAsia="Arial" w:hAnsi="Arial"/>
          <w:sz w:val="18"/>
          <w:szCs w:val="18"/>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product candidates on terms unfavorable to us.</w:t>
      </w:r>
    </w:p>
    <w:p>
      <w:pPr>
        <w:spacing w:after="0" w:line="186" w:lineRule="exact"/>
        <w:rPr>
          <w:sz w:val="20"/>
          <w:szCs w:val="20"/>
          <w:color w:val="auto"/>
        </w:rPr>
      </w:pPr>
    </w:p>
    <w:p>
      <w:pPr>
        <w:ind w:right="60" w:firstLine="611"/>
        <w:spacing w:after="0" w:line="288"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our product candidates, we expect to finance our cash needs through a combination of cash on hand, equity offerings, debt financings, collaborations, strategic alliances and/or licensing arrangements. To the extent that we raise additional capital through the sale of equity or convertible debt securities, your ownership interest will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74"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future commercialization efforts or grant rights to develop and market product candidates that we would otherwise prefer to develop and market ourselves.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186"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We intend to focus our efforts and managerial resources on specific product candidates and on specific indications.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15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result of becoming a public company, we will be required, pursuant to Section 404 of the Sarbanes-Oxley Act, to furnish a report by our management on, among other things, the effectiveness of our internal control over financial reporting for the first fiscal year beginning after the effective date of the registration statement of which this prospectus is a part.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174"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In connection with the audit of our financial statements for the year ended December 31, 2016,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analyze, record and disclose complex accounting matters timely and accurately, including share-based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70" w:lineRule="exact"/>
        <w:rPr>
          <w:sz w:val="20"/>
          <w:szCs w:val="20"/>
          <w:color w:val="auto"/>
        </w:rPr>
      </w:pPr>
    </w:p>
    <w:p>
      <w:pPr>
        <w:ind w:right="320" w:firstLine="615"/>
        <w:spacing w:after="0" w:line="259" w:lineRule="auto"/>
        <w:rPr>
          <w:sz w:val="20"/>
          <w:szCs w:val="20"/>
          <w:color w:val="auto"/>
        </w:rPr>
      </w:pPr>
      <w:r>
        <w:rPr>
          <w:rFonts w:ascii="Arial" w:cs="Arial" w:eastAsia="Arial" w:hAnsi="Arial"/>
          <w:sz w:val="18"/>
          <w:szCs w:val="18"/>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94" w:lineRule="exact"/>
        <w:rPr>
          <w:sz w:val="20"/>
          <w:szCs w:val="20"/>
          <w:color w:val="auto"/>
        </w:rPr>
      </w:pPr>
    </w:p>
    <w:p>
      <w:pPr>
        <w:ind w:right="60" w:firstLine="611"/>
        <w:spacing w:after="0" w:line="287" w:lineRule="auto"/>
        <w:rPr>
          <w:sz w:val="20"/>
          <w:szCs w:val="20"/>
          <w:color w:val="auto"/>
        </w:rPr>
      </w:pPr>
      <w:r>
        <w:rPr>
          <w:rFonts w:ascii="Arial" w:cs="Arial" w:eastAsia="Arial" w:hAnsi="Arial"/>
          <w:sz w:val="16"/>
          <w:szCs w:val="16"/>
          <w:color w:val="auto"/>
        </w:rPr>
        <w:t>We have begun evaluating and implementing additional procedures to address these material weaknesses, however, we cannot assure you that these or other measures will fully remediate the material weaknesses described above in a timely manner. We intend to begin addressing the material weaknesses identified above by hiring additional finance and accounting personnel and increasing the oversight and review procedures with regard to financial reporting, financial processes and procedures and internal control procedures. Nevertheless, we cannot assure you that we will be able to remedy our current material weaknesses.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as defined in the JOBS Act, if we take advantage (as we expect to do) of the exemptions contained in the JOBS Act. We will remain an "emerging growth company" for up to five years, although if the market value of our common stock that is held by non-affiliates exceeds $700 million as of June 30 of any year before that time, we would cease to be an "emerging growth company" as of December 31 of that year. At such time, our independent registered public accounting firm may issue a report that is adverse in the event it is not satisfied with the level at which our controls are documented, designed or operating. Our remediation efforts may not enable us to avoid material weaknesses in our internal control over financial reporting in the future.</w:t>
      </w:r>
    </w:p>
    <w:p>
      <w:pPr>
        <w:spacing w:after="0" w:line="172"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Market or other adverse consequences that would materially harm to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Our product candidates and related technologies represent novel approaches to cancer treatment generally, and developing and commercializing our product candidates subjects us to a number of challenges. We currently generate no revenues from sales of any products, we have never obtained marketing approval for a product candidate and we may never be able to develop a marketable product. Our ability to generate product revenue is highly dependent on our ability to obtain regulatory approval of and successfully commercialize one or more of our lead product candidates, which will require additional clinical and non-clinical development, regulatory review and approval in each jurisdiction in which we intend to market them, substantial investment, access to sufficient commercial manufacturing capacity, and significant marketing efforts before we can generate any revenue from product sales. We cannot be certain that any of our product candidates will be successful in clinical studies and they may not receive regulatory approval even if they are successful in clinical studies.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success of our product candidates, including our lead product candidates, will depend on several factors, including the following: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initiation and successful patient enrollment and completion of additional clinical trials on a timely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safety, tolerability and efficacy profiles that are satisfactory to the FDA or any comparable foreign regulatory authority for marketing approval;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receipt of marketing approvals for our lead product candidates from applicable regulatory authorities;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obtaining and maintaining patent protection, trade secret protection and regulatory exclusivity, both in the United States and internationally;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 including our licensed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140" w:firstLine="611"/>
        <w:spacing w:after="0" w:line="332"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39" w:lineRule="exact"/>
        <w:rPr>
          <w:sz w:val="20"/>
          <w:szCs w:val="20"/>
          <w:color w:val="auto"/>
        </w:rPr>
      </w:pPr>
    </w:p>
    <w:p>
      <w:pPr>
        <w:ind w:right="360" w:firstLine="615"/>
        <w:spacing w:after="0" w:line="298" w:lineRule="auto"/>
        <w:rPr>
          <w:sz w:val="20"/>
          <w:szCs w:val="20"/>
          <w:color w:val="auto"/>
        </w:rPr>
      </w:pPr>
      <w:r>
        <w:rPr>
          <w:rFonts w:ascii="Arial" w:cs="Arial" w:eastAsia="Arial" w:hAnsi="Arial"/>
          <w:sz w:val="16"/>
          <w:szCs w:val="16"/>
          <w:color w:val="auto"/>
        </w:rPr>
        <w:t>In addition, because our lead product candidates are our most advanced product candidates, and because our other product candidates are based on similar technology, if our lead product candidates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67"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cannot guarantee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trials begin, issues may arise that could suspend or terminate such clinical trials. A failure of one or more clinical studies can occur at any stage of testing, and our future clinical studies may not be successful.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opportunities for our product candidates may be limited to those patients who are ineligible for or have failed prior treatments and may be small.</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253"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Our current potential patient population is based on our beliefs and estimates regarding the incidence or prevalence of certain types of cancers that may be addressable by our product candidates, which is derived from a variety of sources, including scientific literature, surveys of clinics, patient foundations, or market research. Our projections may prove to be incorrect and the number of potential patients may turn out to be lower than expected. Even if we obtain significant market share for our product candidates, because the potential target populations are small, we may never achieve profitability without obtaining regulatory approval for additional indications, including use of our product candidates for front-line and second-line therapy.</w:t>
      </w:r>
    </w:p>
    <w:p>
      <w:pPr>
        <w:spacing w:after="0" w:line="170"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We expect to initially seek approval of some of our product candidates as second or third-line therapies for patients who have failed other approved treatments. Subsequently, for those product candidates that prove to be sufficiently beneficial, if any, we would expect to seek approval as a second-line therapy and potentially as a front-line therapy, but there is no guarantee that our product candidates, even if approved for third-line therapy, would be approved for second-line or front-line therapy. In addition, we may have to conduct additional clinical trials prior to gaining approval for second-line or front-line therapy.</w:t>
      </w:r>
    </w:p>
    <w:p>
      <w:pPr>
        <w:spacing w:after="0" w:line="167"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5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competing clinical trials for similar therapies or other new therapeutics not involving our product candidates and or related technologies;</w:t>
      </w:r>
    </w:p>
    <w:p>
      <w:pPr>
        <w:spacing w:after="0" w:line="275"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4" w:lineRule="exact"/>
        <w:rPr>
          <w:sz w:val="20"/>
          <w:szCs w:val="20"/>
          <w:color w:val="auto"/>
        </w:rPr>
      </w:pPr>
    </w:p>
    <w:p>
      <w:pPr>
        <w:jc w:val="both"/>
        <w:ind w:right="80" w:firstLine="615"/>
        <w:spacing w:after="0" w:line="259"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9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0" w:lineRule="exact"/>
        <w:rPr>
          <w:sz w:val="20"/>
          <w:szCs w:val="20"/>
          <w:color w:val="auto"/>
        </w:rPr>
      </w:pPr>
    </w:p>
    <w:p>
      <w:pPr>
        <w:ind w:right="80" w:firstLine="605"/>
        <w:spacing w:after="0" w:line="256" w:lineRule="auto"/>
        <w:rPr>
          <w:sz w:val="20"/>
          <w:szCs w:val="20"/>
          <w:color w:val="auto"/>
        </w:rPr>
      </w:pPr>
      <w:r>
        <w:rPr>
          <w:rFonts w:ascii="Arial" w:cs="Arial" w:eastAsia="Arial" w:hAnsi="Arial"/>
          <w:sz w:val="18"/>
          <w:szCs w:val="18"/>
          <w:color w:val="auto"/>
        </w:rPr>
        <w:t>As with most biological drug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 To date, there have been no significant long-term toxicities among patients treated with our lead product candidates.</w:t>
      </w:r>
    </w:p>
    <w:p>
      <w:pPr>
        <w:spacing w:after="0" w:line="197"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Any of these occurrences may materially and adversely harm our business, financial condition and prospects.</w:t>
      </w:r>
    </w:p>
    <w:p>
      <w:pPr>
        <w:spacing w:after="0" w:line="174"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88" w:lineRule="exact"/>
        <w:rPr>
          <w:sz w:val="20"/>
          <w:szCs w:val="20"/>
          <w:color w:val="auto"/>
        </w:rPr>
      </w:pPr>
    </w:p>
    <w:p>
      <w:pPr>
        <w:ind w:left="5620" w:right="4440" w:hanging="5072"/>
        <w:spacing w:after="0" w:line="519" w:lineRule="auto"/>
        <w:tabs>
          <w:tab w:leader="none" w:pos="10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 or impose distribution or use restrictions;</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0" w:firstLine="605"/>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or the market price of our common stock.</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w:t>
      </w:r>
    </w:p>
    <w:p>
      <w:pPr>
        <w:spacing w:after="0" w:line="194"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later-stage clinical trials.</w:t>
      </w:r>
    </w:p>
    <w:p>
      <w:pPr>
        <w:spacing w:after="0" w:line="170"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w:t>
      </w:r>
    </w:p>
    <w:p>
      <w:pPr>
        <w:spacing w:after="0" w:line="174"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Further, our product candidates may not be approved even if they achieve their primary endpoints in Phase 3 trials or other pivotal trials. The FDA or non-U.S.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72"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 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72"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1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product candidates and related technologies we have licensed have not yet led, and may never lead, to approved or commercially successful products. Even if we are successful in continuing to build our pipeline, obtaining regulatory approvals and commercializing our product candidates will require substantial additional funding beyond the net proceeds of this offering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6" w:lineRule="exact"/>
        <w:rPr>
          <w:sz w:val="20"/>
          <w:szCs w:val="20"/>
          <w:color w:val="auto"/>
        </w:rPr>
      </w:pPr>
    </w:p>
    <w:p>
      <w:pPr>
        <w:ind w:left="5620" w:right="5380" w:hanging="5072"/>
        <w:spacing w:after="0" w:line="613" w:lineRule="auto"/>
        <w:tabs>
          <w:tab w:leader="none" w:pos="10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not be successful in identifying additional product candidates;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market for a product candidate may change so that the continued development of that product candidate is no longer reasonable;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product candidate may not be accepted as safe and effective by patients, the medical community or third-party payors, if applicable.</w:t>
      </w:r>
    </w:p>
    <w:p>
      <w:pPr>
        <w:spacing w:after="0" w:line="248"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Even if we receive approval to market our product candidates from the FDA, the EMA, or other regulatory bodies, whether for the treatment of cancers or other diseases, we cannot assure you that any such product candidates will be successfully commercialized, widely accepted in the marketplace or more effective than other commercially available alternatives.</w:t>
      </w:r>
    </w:p>
    <w:p>
      <w:pPr>
        <w:spacing w:after="0" w:line="19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6"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183"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developing processes for the safe administration of our products, including long-term follow-up for all patients who receive the product;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availability and amount of coverage and reimbursement from government payors, managed care plans and other third-party payors.</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194"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drugs. We are not currently a party to a strategic collaboration that provides us with access to a collaborator's resources in selling or marketing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or co-promote some of our product candidates if and when they are approved, or enter into collaborations with respect to the sale and marketing of our product candidates.</w:t>
      </w:r>
    </w:p>
    <w:p>
      <w:pPr>
        <w:spacing w:after="0" w:line="198" w:lineRule="exact"/>
        <w:rPr>
          <w:sz w:val="20"/>
          <w:szCs w:val="20"/>
          <w:color w:val="auto"/>
        </w:rPr>
      </w:pPr>
    </w:p>
    <w:p>
      <w:pPr>
        <w:ind w:right="120" w:firstLine="611"/>
        <w:spacing w:after="0" w:line="294" w:lineRule="auto"/>
        <w:rPr>
          <w:sz w:val="20"/>
          <w:szCs w:val="20"/>
          <w:color w:val="auto"/>
        </w:rPr>
      </w:pPr>
      <w:r>
        <w:rPr>
          <w:rFonts w:ascii="Arial" w:cs="Arial" w:eastAsia="Arial" w:hAnsi="Arial"/>
          <w:sz w:val="16"/>
          <w:szCs w:val="16"/>
          <w:color w:val="auto"/>
        </w:rPr>
        <w:t>There are risks involved with both establishing our own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Factors that may inhibit our efforts to commercialize our drugs on our own after obtaining any regulatory approval to gain market acceptance include:</w:t>
      </w:r>
    </w:p>
    <w:p>
      <w:pPr>
        <w:spacing w:after="0" w:line="26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261"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If we enter into arrangements with third parties to perform sales and marketing services, our revenues from the sale of drugs or the profitability of these revenues to us are likely to be lower than if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could materially adversely affect our business.</w:t>
      </w:r>
    </w:p>
    <w:p>
      <w:pPr>
        <w:spacing w:after="0" w:line="225" w:lineRule="exact"/>
        <w:rPr>
          <w:sz w:val="20"/>
          <w:szCs w:val="20"/>
          <w:color w:val="auto"/>
        </w:rPr>
      </w:pPr>
    </w:p>
    <w:p>
      <w:pPr>
        <w:ind w:right="560" w:firstLine="611"/>
        <w:spacing w:after="0" w:line="268"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340" w:firstLine="611"/>
        <w:spacing w:after="0" w:line="268"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8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86"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potential</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product candidates and related technologies.</w:t>
      </w:r>
    </w:p>
    <w:p>
      <w:pPr>
        <w:spacing w:after="0" w:line="174"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Specifically, MacroGenics, Inc. and Daiichi Sankyo Co. are developing antibodies against B7-H3. In addition, United Therapeutics Corporation has commercialized Unituxin (dinutuximab), an antibody against GD2, in the United States and we believe EUSA Pharma (UK) Ltd. plans to commercialize a similar antibody (dinutuximab beta) under the name Isquette in Europe.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Even if we obtain regulatory approval of our product candidates, we may not be the first to market and that may affect the price or demand for our product candidates. Additionally,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72"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61" w:lineRule="exact"/>
        <w:rPr>
          <w:sz w:val="20"/>
          <w:szCs w:val="20"/>
          <w:color w:val="auto"/>
        </w:rPr>
      </w:pPr>
    </w:p>
    <w:p>
      <w:pPr>
        <w:ind w:right="120" w:firstLine="611"/>
        <w:spacing w:after="0" w:line="289" w:lineRule="auto"/>
        <w:rPr>
          <w:sz w:val="20"/>
          <w:szCs w:val="20"/>
          <w:color w:val="auto"/>
        </w:rPr>
      </w:pPr>
      <w:r>
        <w:rPr>
          <w:rFonts w:ascii="Arial" w:cs="Arial" w:eastAsia="Arial" w:hAnsi="Arial"/>
          <w:sz w:val="16"/>
          <w:szCs w:val="16"/>
          <w:color w:val="auto"/>
        </w:rPr>
        <w:t>We currently have in place several agreements with MSK that are important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15"/>
        <w:spacing w:after="0" w:line="268" w:lineRule="auto"/>
        <w:rPr>
          <w:sz w:val="20"/>
          <w:szCs w:val="20"/>
          <w:color w:val="auto"/>
        </w:rPr>
      </w:pPr>
      <w:r>
        <w:rPr>
          <w:rFonts w:ascii="Arial" w:cs="Arial" w:eastAsia="Arial" w:hAnsi="Arial"/>
          <w:sz w:val="18"/>
          <w:szCs w:val="18"/>
          <w:color w:val="auto"/>
        </w:rPr>
        <w:t>Further, arrangements with third parties, such as our arrangement with MSK, or any potential future collaborations we may enter into involving our product candidates, are subject to numerous risks, including the following:</w:t>
      </w:r>
    </w:p>
    <w:p>
      <w:pPr>
        <w:spacing w:after="0" w:line="199" w:lineRule="exact"/>
        <w:rPr>
          <w:sz w:val="20"/>
          <w:szCs w:val="20"/>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have significant discretion in determining the efforts and resources that they will apply to a collaboration;</w:t>
      </w:r>
    </w:p>
    <w:p>
      <w:pPr>
        <w:spacing w:after="0" w:line="21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210"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third parties or any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could independently develop, or develop with third parties, products that compete directly or indirectly with our products or product candidates;</w:t>
      </w:r>
    </w:p>
    <w:p>
      <w:pPr>
        <w:spacing w:after="0" w:line="212" w:lineRule="exact"/>
        <w:rPr>
          <w:rFonts w:ascii="Arial" w:cs="Arial" w:eastAsia="Arial" w:hAnsi="Arial"/>
          <w:sz w:val="18"/>
          <w:szCs w:val="18"/>
          <w:color w:val="auto"/>
        </w:rPr>
      </w:pPr>
    </w:p>
    <w:p>
      <w:pPr>
        <w:ind w:left="1080" w:right="24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 candidates;</w:t>
      </w:r>
    </w:p>
    <w:p>
      <w:pPr>
        <w:spacing w:after="0" w:line="174"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party or any potential future collaborator with marketing and distribution rights to one or more products may not commit sufficient resources to their marketing and distribution;</w:t>
      </w:r>
    </w:p>
    <w:p>
      <w:pPr>
        <w:spacing w:after="0" w:line="19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21"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may arise between us and such third party or any potential future collaborator that cause the delay or termination of the research, development or commercialization of our product candidates, or that result in costly litigation or arbitration that diverts management attention and resources;</w:t>
      </w:r>
    </w:p>
    <w:p>
      <w:pPr>
        <w:spacing w:after="0" w:line="207"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infringe the intellectual property rights of third parties, which may expose us to litigation and potential liability;</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arrangements or any potential future collaborations may be terminated and, if terminated, may result in a need for additional capital to pursue further development or commercialization of the applicable product candidates; and</w:t>
      </w:r>
    </w:p>
    <w:p>
      <w:pPr>
        <w:spacing w:after="0" w:line="212"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third parties or any potential future collaborators may own or co-own intellectual property covering our products that results from our collaborating with them, and in such cases, we would not have the exclusive right to commercialize such intellectual property.</w:t>
      </w:r>
    </w:p>
    <w:p>
      <w:pPr>
        <w:spacing w:after="0" w:line="139" w:lineRule="exact"/>
        <w:rPr>
          <w:sz w:val="20"/>
          <w:szCs w:val="20"/>
          <w:color w:val="auto"/>
        </w:rPr>
      </w:pPr>
    </w:p>
    <w:p>
      <w:pPr>
        <w:ind w:right="40" w:firstLine="605"/>
        <w:spacing w:after="0" w:line="268" w:lineRule="auto"/>
        <w:rPr>
          <w:sz w:val="20"/>
          <w:szCs w:val="20"/>
          <w:color w:val="auto"/>
        </w:rPr>
      </w:pPr>
      <w:r>
        <w:rPr>
          <w:rFonts w:ascii="Arial" w:cs="Arial" w:eastAsia="Arial" w:hAnsi="Arial"/>
          <w:sz w:val="18"/>
          <w:szCs w:val="18"/>
          <w:color w:val="auto"/>
        </w:rPr>
        <w:t>As a result, if we are unable to maintain current arrangements or enter into and maintain future arrangements and collaborations, or if such arrangements or collaborations are not successful,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territories for certain indications, which would harm our business prospects, financial condition, and results of operations.</w:t>
      </w:r>
    </w:p>
    <w:p>
      <w:pPr>
        <w:spacing w:after="0" w:line="1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or third parties, such as CROs or CMOs, use hazardous and biological materials in a manner that causes injury or violates applicable law, we may be liable for damages.</w:t>
      </w:r>
    </w:p>
    <w:p>
      <w:pPr>
        <w:spacing w:after="0" w:line="186"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gamma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8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86" w:lineRule="exact"/>
        <w:rPr>
          <w:sz w:val="20"/>
          <w:szCs w:val="20"/>
          <w:color w:val="auto"/>
        </w:rPr>
      </w:pPr>
    </w:p>
    <w:p>
      <w:pPr>
        <w:ind w:right="100" w:firstLine="615"/>
        <w:spacing w:after="0" w:line="288"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terrorist activities, and other natural or man-made disasters or business interruptions, for which we are predominantly self-insured.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w:t>
      </w:r>
    </w:p>
    <w:p>
      <w:pPr>
        <w:spacing w:after="0" w:line="18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right="200" w:firstLine="611"/>
        <w:spacing w:after="0" w:line="290"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120" w:firstLine="615"/>
        <w:spacing w:after="0" w:line="290"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prevent or inhibit the commercialization of products we develop, alone or with collaborators. Although we carry $5.0 million of clinical trial insurance,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Third parties have sponsored all clinical trials of our lead product candidates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74" w:lineRule="exact"/>
        <w:rPr>
          <w:sz w:val="20"/>
          <w:szCs w:val="20"/>
          <w:color w:val="auto"/>
        </w:rPr>
      </w:pPr>
    </w:p>
    <w:p>
      <w:pPr>
        <w:ind w:right="140" w:firstLine="611"/>
        <w:spacing w:after="0" w:line="288" w:lineRule="auto"/>
        <w:rPr>
          <w:sz w:val="20"/>
          <w:szCs w:val="20"/>
          <w:color w:val="auto"/>
        </w:rPr>
      </w:pPr>
      <w:r>
        <w:rPr>
          <w:rFonts w:ascii="Arial" w:cs="Arial" w:eastAsia="Arial" w:hAnsi="Arial"/>
          <w:sz w:val="16"/>
          <w:szCs w:val="16"/>
          <w:color w:val="auto"/>
        </w:rPr>
        <w:t>We have sponsored only a limited number of clinical trials relating to our lead product candidates.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our lead product candidates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these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4"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datas before we may begin our planned trials and/or may not accept such additional data as adequate to begin our planned trials.</w:t>
      </w:r>
    </w:p>
    <w:p>
      <w:pPr>
        <w:spacing w:after="0" w:line="172"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b w:val="1"/>
          <w:bCs w:val="1"/>
          <w:i w:val="1"/>
          <w:iCs w:val="1"/>
          <w:color w:val="auto"/>
        </w:rPr>
        <w:t>We will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16"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will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cGCP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78"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We will rely on third parties to manufacture our product candidates for our pre-clinical studies, and in the case of our lead product candidates, our ongoing clinical trials, as well as any additional clinical trials of our other product candidates we may conduct. We also expect to rely on third parties for the manufacturing process of our product candidates, if approved. Our business could be harmed if those third parties fail to provide us with sufficient quantities of product supplies or product candidates, or fail to do so at acceptable quality levels or prices.</w:t>
      </w:r>
    </w:p>
    <w:p>
      <w:pPr>
        <w:spacing w:after="0" w:line="167" w:lineRule="exact"/>
        <w:rPr>
          <w:sz w:val="20"/>
          <w:szCs w:val="20"/>
          <w:color w:val="auto"/>
        </w:rPr>
      </w:pPr>
    </w:p>
    <w:p>
      <w:pPr>
        <w:ind w:right="20" w:firstLine="611"/>
        <w:spacing w:after="0" w:line="291" w:lineRule="auto"/>
        <w:rPr>
          <w:sz w:val="20"/>
          <w:szCs w:val="20"/>
          <w:color w:val="auto"/>
        </w:rPr>
      </w:pPr>
      <w:r>
        <w:rPr>
          <w:rFonts w:ascii="Arial" w:cs="Arial" w:eastAsia="Arial" w:hAnsi="Arial"/>
          <w:sz w:val="16"/>
          <w:szCs w:val="16"/>
          <w:color w:val="auto"/>
        </w:rPr>
        <w:t>We do not currently own any facility that may be used as a clinical-scale manufacturing and processing facility and we intend to rely on outside vendors to manufacture supplies and process our product candidates for pre-clinical studies and clinical trials under the guidance our management team. Our lead product candidates have only been manufactured or processed on a limited basis and we may not be able to continue doing so for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74"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To date, we have obtained the active pharmaceutical ingredient, or API, of our lead product candidates from a limited number of third-party manufacturers. We have engaged a separate third-party manufacturer to conduct fill-and-finish and labeling services, as well as for the storage and distribution of our lead product candidates to clinical sites. We do not have a long-term supply agreement with any of these third-party manufacturers, and we purchase our required drug supplies on a purchase order basis.</w:t>
      </w:r>
    </w:p>
    <w:p>
      <w:pPr>
        <w:spacing w:after="0" w:line="197"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We expect to rely on third-party manufacturers or third-party collaborators for the manufacture of our product candidates for commercial supply of any of our product candidates for which we or any of our potential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11" w:lineRule="exact"/>
        <w:rPr>
          <w:sz w:val="20"/>
          <w:szCs w:val="20"/>
          <w:color w:val="auto"/>
        </w:rPr>
      </w:pPr>
    </w:p>
    <w:p>
      <w:pPr>
        <w:jc w:val="both"/>
        <w:ind w:left="1080" w:right="6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potential manufacturers is limited and the FDA must approve any new manufacturers. This approval would require new testing and current good manufacturing practices, or cGMP, compliance inspections by the FDA. In addition, a new manufacturer would have to be educated in, or develop substantially equivalent processes for, production of our products;</w:t>
      </w:r>
    </w:p>
    <w:p>
      <w:pPr>
        <w:spacing w:after="0" w:line="221"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third-party manufacturers may not be able to execute our manufacturing procedures and other logistical support requirements appropriately;</w:t>
      </w:r>
    </w:p>
    <w:p>
      <w:pPr>
        <w:spacing w:after="0" w:line="261"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remain in the contract manufacturing business for the time required to supply our clinical trials or to successfully produce, store, and distribute our products;</w:t>
      </w:r>
    </w:p>
    <w:p>
      <w:pPr>
        <w:spacing w:after="0" w:line="199" w:lineRule="exact"/>
        <w:rPr>
          <w:sz w:val="20"/>
          <w:szCs w:val="20"/>
          <w:color w:val="auto"/>
        </w:rPr>
      </w:pPr>
    </w:p>
    <w:p>
      <w:pPr>
        <w:jc w:val="both"/>
        <w:ind w:left="1080" w:right="320" w:hanging="532"/>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87" w:lineRule="exact"/>
        <w:rPr>
          <w:rFonts w:ascii="Arial" w:cs="Arial" w:eastAsia="Arial" w:hAnsi="Arial"/>
          <w:sz w:val="16"/>
          <w:szCs w:val="16"/>
          <w:color w:val="auto"/>
        </w:rPr>
      </w:pPr>
    </w:p>
    <w:p>
      <w:pPr>
        <w:ind w:left="1080" w:right="6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third-party manufacturers could breach, terminate or not renew their agreement with us at a time that is costly or inconvenient for us;</w:t>
      </w:r>
    </w:p>
    <w:p>
      <w:pPr>
        <w:spacing w:after="0" w:line="261"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221"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38"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w:t>
      </w:r>
    </w:p>
    <w:p>
      <w:pPr>
        <w:spacing w:after="0" w:line="225" w:lineRule="exact"/>
        <w:rPr>
          <w:sz w:val="20"/>
          <w:szCs w:val="20"/>
          <w:color w:val="auto"/>
        </w:rPr>
      </w:pPr>
    </w:p>
    <w:p>
      <w:pPr>
        <w:ind w:right="220" w:firstLine="615"/>
        <w:spacing w:after="0" w:line="298" w:lineRule="auto"/>
        <w:rPr>
          <w:sz w:val="20"/>
          <w:szCs w:val="20"/>
          <w:color w:val="auto"/>
        </w:rPr>
      </w:pPr>
      <w:r>
        <w:rPr>
          <w:rFonts w:ascii="Arial" w:cs="Arial" w:eastAsia="Arial" w:hAnsi="Arial"/>
          <w:sz w:val="16"/>
          <w:szCs w:val="16"/>
          <w:color w:val="auto"/>
        </w:rPr>
        <w:t>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67"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BLA to the FDA. We do not have complete control over all aspects of the manufacturing process of, and are dependent on, our contract manufacturing partners for compliance with cGMP regulations for manufacturing both active drug substances and finished drug products.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05"/>
        <w:spacing w:after="0" w:line="255"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of our lead product candidates and we only currently use a different single third-party manufacturer for fill-and-finish services for our lead product candidates. If our current contract manufacturers cannot perform as agreed, we may be required to replace those manufacturers. Although we believe that there may be potential alternative manufacturers who could manufacture our product candidates, we may incur added costs and delays in identifying and qualifying any such replacement.</w:t>
      </w:r>
    </w:p>
    <w:p>
      <w:pPr>
        <w:spacing w:after="0" w:line="19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our IND filings and our ability to conduct future planned clinical trials.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currently have no internal research and development capabilities and we have not and are not currently conducting any independent clinical trials.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Therefore, we currently rely on third-party research institutions for both capabilities.</w:t>
      </w:r>
    </w:p>
    <w:p>
      <w:pPr>
        <w:spacing w:after="0" w:line="219"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Currently, MSK is conducting clinical trials to address pediatric R/R high-risk NB and a clinical trial to address relapsed osteosarcoma using our naxitamab product candidate. We are also conducting a clinical trial at MSK for CNS/LM from NB and clinical trials for DIPG and DSRCT for our omburtamab product candidate. Under the terms of the MSK License, we are obligated to pay for the costs associated with these clinical trials.</w:t>
      </w:r>
    </w:p>
    <w:p>
      <w:pPr>
        <w:spacing w:after="0" w:line="161" w:lineRule="exact"/>
        <w:rPr>
          <w:sz w:val="20"/>
          <w:szCs w:val="20"/>
          <w:color w:val="auto"/>
        </w:rPr>
      </w:pPr>
    </w:p>
    <w:p>
      <w:pPr>
        <w:jc w:val="both"/>
        <w:ind w:right="220" w:firstLine="611"/>
        <w:spacing w:after="0" w:line="259" w:lineRule="auto"/>
        <w:rPr>
          <w:sz w:val="20"/>
          <w:szCs w:val="20"/>
          <w:color w:val="auto"/>
        </w:rPr>
      </w:pPr>
      <w:r>
        <w:rPr>
          <w:rFonts w:ascii="Arial" w:cs="Arial" w:eastAsia="Arial" w:hAnsi="Arial"/>
          <w:sz w:val="18"/>
          <w:szCs w:val="18"/>
          <w:color w:val="auto"/>
        </w:rPr>
        <w:t>We have agreed to fund certain research and development costs under both the MSK License and the MSK CD33 License. However, the research we have agreed to fund constitutes only a small portion of the overall research of MSK. Other research being conducted by MSK may receive higher priority than research on the programs we may fund.</w:t>
      </w:r>
    </w:p>
    <w:p>
      <w:pPr>
        <w:spacing w:after="0" w:line="194"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outside scientists who conduct the clinical testing of our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72"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as described in more detail in the section of this prospectus captioned "Business—Intellectual Property—MSK License." If MSK terminates the MSK License, the MSK CD33 License or its other agreements with us,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97"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Our product candidates are biologics and the process of manufacturing them is complex, highly-regulated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7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74"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another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9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b w:val="1"/>
          <w:bCs w:val="1"/>
          <w:i w:val="1"/>
          <w:iCs w:val="1"/>
          <w:color w:val="auto"/>
        </w:rPr>
        <w:t>Although we currently plan to retain all commercial rights to our product candidates, we may enter into strategic collaborations for the development, marketing and commercialization of all or some our product candidates. If those collaborations are not successful, or if we are unable to establish any such collaborations, we may have to alter or delay our development and commercialization plans.</w:t>
      </w:r>
    </w:p>
    <w:p>
      <w:pPr>
        <w:spacing w:after="0" w:line="161" w:lineRule="exact"/>
        <w:rPr>
          <w:sz w:val="20"/>
          <w:szCs w:val="20"/>
          <w:color w:val="auto"/>
        </w:rPr>
      </w:pPr>
    </w:p>
    <w:p>
      <w:pPr>
        <w:ind w:right="200" w:firstLine="605"/>
        <w:spacing w:after="0" w:line="286" w:lineRule="auto"/>
        <w:rPr>
          <w:sz w:val="20"/>
          <w:szCs w:val="20"/>
          <w:color w:val="auto"/>
        </w:rPr>
      </w:pPr>
      <w:r>
        <w:rPr>
          <w:rFonts w:ascii="Arial" w:cs="Arial" w:eastAsia="Arial" w:hAnsi="Arial"/>
          <w:sz w:val="16"/>
          <w:szCs w:val="16"/>
          <w:color w:val="auto"/>
        </w:rPr>
        <w:t>As we further develop our lead product candidates, we may build a commercial infrastructure with the capability to directly market it to a variety of markets and territories. Although we currently plan to retain all commercial rights to our product candidates, we may enter into strategic collaborations for the development, marketing and commercialization of all or some of our product candidates. Our likely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Collaborations involving our product candidates pose risks to us, including the following:</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8"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4"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5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212"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marketing and/or commercialization of the applicable product candidates;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248"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86"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any products that we develop or that the reimbursement level will be adequate to allow us to operate profitably. Also, we cannot be certain that reimbursement policies will not reduce the demand for, or the price paid for, our products. If reimbursement is not available or is available on a limited basis,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reimbursement amount is inadequate, we may not be able to successfully commercialize any of our approved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As a result, we cannot predict when or if, and in which territories, we, or any of our potential future collaborators, will obtain marketing approval to commercialize a product candidate.</w:t>
      </w:r>
    </w:p>
    <w:p>
      <w:pPr>
        <w:spacing w:after="0" w:line="167" w:lineRule="exact"/>
        <w:rPr>
          <w:sz w:val="20"/>
          <w:szCs w:val="20"/>
          <w:color w:val="auto"/>
        </w:rPr>
      </w:pPr>
    </w:p>
    <w:p>
      <w:pPr>
        <w:ind w:right="100" w:firstLine="611"/>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We plan to begin additional clinical trials with our lead product candidates in 2018 and 2019. We intend to conduct each of these clinical trials in the United States and Europe. We intend to discuss with the FDA and EMA submission of BLAs for respective approval of such product candidates as treatments for indications that currently lack FDA-approved treatments.</w:t>
      </w:r>
    </w:p>
    <w:p>
      <w:pPr>
        <w:spacing w:after="0" w:line="198"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currently limited alternative therapies for patients with pediatric relapsed or refractory, or R/R, from neuroblastoma, or NB, but the FDA may not agree. The FDA may ultimately require one or multiple Phase 3 clinical trials prior to approval.</w:t>
      </w:r>
    </w:p>
    <w:p>
      <w:pPr>
        <w:spacing w:after="0" w:line="178" w:lineRule="exact"/>
        <w:rPr>
          <w:sz w:val="20"/>
          <w:szCs w:val="20"/>
          <w:color w:val="auto"/>
        </w:rPr>
      </w:pPr>
    </w:p>
    <w:p>
      <w:pPr>
        <w:ind w:right="20" w:firstLine="611"/>
        <w:spacing w:after="0" w:line="253" w:lineRule="auto"/>
        <w:rPr>
          <w:sz w:val="20"/>
          <w:szCs w:val="20"/>
          <w:color w:val="auto"/>
        </w:rPr>
      </w:pPr>
      <w:r>
        <w:rPr>
          <w:rFonts w:ascii="Arial" w:cs="Arial" w:eastAsia="Arial" w:hAnsi="Arial"/>
          <w:sz w:val="18"/>
          <w:szCs w:val="18"/>
          <w:color w:val="auto"/>
        </w:rPr>
        <w:t>We have not previously submitted a BLA to the FDA, or similar approval filings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based on the completed clinical trials. Accordingly, the regulatory approval pathway for our product candidates may be uncertain, complex, expensive, and lengthy, and approval may not be obtained.</w:t>
      </w:r>
    </w:p>
    <w:p>
      <w:pPr>
        <w:spacing w:after="0" w:line="186" w:lineRule="exact"/>
        <w:rPr>
          <w:sz w:val="20"/>
          <w:szCs w:val="20"/>
          <w:color w:val="auto"/>
        </w:rPr>
      </w:pPr>
    </w:p>
    <w:p>
      <w:pPr>
        <w:ind w:right="120" w:firstLine="611"/>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clinical trials can be delayed or terminated for a variety of reasons, including delays or failures related to:</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IRB;</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cGCPs, or dropping out of a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Patient enrollment is a significant factor in the timing of clinical trials and is affected by many factors. See the risk factor above "—The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370" w:lineRule="auto"/>
        <w:rPr>
          <w:sz w:val="20"/>
          <w:szCs w:val="20"/>
          <w:color w:val="auto"/>
        </w:rPr>
      </w:pPr>
      <w:r>
        <w:rPr>
          <w:rFonts w:ascii="Arial" w:cs="Arial" w:eastAsia="Arial" w:hAnsi="Arial"/>
          <w:sz w:val="15"/>
          <w:szCs w:val="15"/>
          <w:color w:val="auto"/>
        </w:rPr>
        <w:t>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16"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marketing approval in the United States or elsewhere;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any companion diagnostics that may be required in connection with approval of our therapeutic product candidates;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marketing approval to market any of our product candidates, which would significantly harm our business, results of operations and prospects.</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 xml:space="preserve">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obtain may be limited or subject to restrictions or post-approval commitments that render the approved drug not commercially viable.</w:t>
      </w:r>
    </w:p>
    <w:p>
      <w:pPr>
        <w:spacing w:after="0" w:line="225" w:lineRule="exact"/>
        <w:rPr>
          <w:sz w:val="20"/>
          <w:szCs w:val="20"/>
          <w:color w:val="auto"/>
        </w:rPr>
      </w:pPr>
    </w:p>
    <w:p>
      <w:pPr>
        <w:jc w:val="both"/>
        <w:ind w:right="200" w:firstLine="605"/>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97" w:lineRule="exact"/>
        <w:rPr>
          <w:sz w:val="20"/>
          <w:szCs w:val="20"/>
          <w:color w:val="auto"/>
        </w:rPr>
      </w:pPr>
    </w:p>
    <w:p>
      <w:pPr>
        <w:ind w:right="160" w:firstLine="615"/>
        <w:spacing w:after="0" w:line="289"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72"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74" w:lineRule="exact"/>
        <w:rPr>
          <w:sz w:val="20"/>
          <w:szCs w:val="20"/>
          <w:color w:val="auto"/>
        </w:rPr>
      </w:pPr>
    </w:p>
    <w:p>
      <w:pPr>
        <w:ind w:right="460" w:firstLine="605"/>
        <w:spacing w:after="0" w:line="268"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86"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94"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97" w:lineRule="exact"/>
        <w:rPr>
          <w:sz w:val="20"/>
          <w:szCs w:val="20"/>
          <w:color w:val="auto"/>
        </w:rPr>
      </w:pPr>
    </w:p>
    <w:p>
      <w:pPr>
        <w:ind w:right="180" w:firstLine="615"/>
        <w:spacing w:after="0" w:line="298" w:lineRule="auto"/>
        <w:rPr>
          <w:sz w:val="20"/>
          <w:szCs w:val="20"/>
          <w:color w:val="auto"/>
        </w:rPr>
      </w:pPr>
      <w:r>
        <w:rPr>
          <w:rFonts w:ascii="Arial" w:cs="Arial" w:eastAsia="Arial" w:hAnsi="Arial"/>
          <w:sz w:val="16"/>
          <w:szCs w:val="16"/>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80"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221"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20" w:firstLine="605"/>
        <w:spacing w:after="0" w:line="254" w:lineRule="auto"/>
        <w:rPr>
          <w:sz w:val="20"/>
          <w:szCs w:val="20"/>
          <w:color w:val="auto"/>
        </w:rPr>
      </w:pPr>
      <w:r>
        <w:rPr>
          <w:rFonts w:ascii="Arial" w:cs="Arial" w:eastAsia="Arial" w:hAnsi="Arial"/>
          <w:sz w:val="18"/>
          <w:szCs w:val="18"/>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Failure to obtain regulatory approval to market any of our product candidates would significantly harm our business, results of operations, and prospects.</w:t>
      </w:r>
    </w:p>
    <w:p>
      <w:pPr>
        <w:spacing w:after="0" w:line="26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may seek BTD for naxitamab or one or more of our other product candidates. We may not receive such designation, and even if we do, such designation may not lead to a faster development or regulatory review or approval process.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2012, the FDA established BTD,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72"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10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 BTD does not change the standards for product approval.</w:t>
      </w:r>
    </w:p>
    <w:p>
      <w:pPr>
        <w:spacing w:after="0" w:line="173" w:lineRule="exact"/>
        <w:rPr>
          <w:sz w:val="20"/>
          <w:szCs w:val="20"/>
          <w:color w:val="auto"/>
        </w:rPr>
      </w:pPr>
    </w:p>
    <w:p>
      <w:pPr>
        <w:jc w:val="both"/>
        <w:ind w:right="20" w:firstLine="615"/>
        <w:spacing w:after="0" w:line="222" w:lineRule="auto"/>
        <w:rPr>
          <w:sz w:val="20"/>
          <w:szCs w:val="20"/>
          <w:color w:val="auto"/>
        </w:rPr>
      </w:pPr>
      <w:r>
        <w:rPr>
          <w:rFonts w:ascii="Arial" w:cs="Arial" w:eastAsia="Arial" w:hAnsi="Arial"/>
          <w:sz w:val="18"/>
          <w:szCs w:val="18"/>
          <w:color w:val="auto"/>
        </w:rPr>
        <w:t xml:space="preserve">In June 2017, BTD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was received for the treatment of pediatric patients with R/R NB who have CNS or LM. We may seek BTD for some or all of our other product candidates, but we may never receive such BTD, or, if received, the development of our product candidates may not be expedited or benefited by such designation.</w:t>
      </w:r>
    </w:p>
    <w:p>
      <w:pPr>
        <w:spacing w:after="0" w:line="212"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 candidates may not be able to obtain ODD or RPDD or obtain or maintain orphan drug exclusivity. We will not be eligible to receive PRVs in the event that our product candidates are not approved before October 1, 2022.</w:t>
      </w:r>
    </w:p>
    <w:p>
      <w:pPr>
        <w:spacing w:after="0" w:line="186" w:lineRule="exact"/>
        <w:rPr>
          <w:sz w:val="20"/>
          <w:szCs w:val="20"/>
          <w:color w:val="auto"/>
        </w:rPr>
      </w:pPr>
    </w:p>
    <w:p>
      <w:pPr>
        <w:ind w:right="20" w:firstLine="615"/>
        <w:spacing w:after="0" w:line="254"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ODD to omburtamab for the treatment of NB. In April 2017, the EMA granted ODD to omburtamab for the treatment of CNS/LM from NB.</w:t>
      </w:r>
    </w:p>
    <w:p>
      <w:pPr>
        <w:spacing w:after="0" w:line="198" w:lineRule="exact"/>
        <w:rPr>
          <w:sz w:val="20"/>
          <w:szCs w:val="20"/>
          <w:color w:val="auto"/>
        </w:rPr>
      </w:pPr>
    </w:p>
    <w:p>
      <w:pPr>
        <w:ind w:right="180" w:firstLine="615"/>
        <w:spacing w:after="0" w:line="254" w:lineRule="auto"/>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is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98"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In 2012, the United States Congress effectuated a Rare Pediatric Disease Priority Review Voucher Program, or PRV Program, to incentivize pharmaceutical sponsors to develop drugs for rare pediatric diseases. A sponsor who obtains approval of a New Drug Application or BLA for a rare pediatric disease may be eligible for a Priority Review Voucher, or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 The terms of our license agreements with MSK provide that MSK is entitled to receive 40-50% of any income generated from the sale of any PRV or the sale of any other comparable incentives provided by any non-U.S. jurisdiction that we may receive. In December 2016, the 21st Century Cures Act, or the Cures Act, became effective, which, among other initiatives, reauthorized the PRV Program until 2020. Under the Cures Act, a drug that receives RPDD before October 1, 2020, will continue to be eligible for a PRV if the drug is approved before October 1, 2022.</w:t>
      </w:r>
    </w:p>
    <w:p>
      <w:pPr>
        <w:spacing w:after="0" w:line="174"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time or regulatory review time of a drug nor gives the drug any advantage in the regulatory review or approval process.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Once marketing approval has been granted, an approved drug and its manufacturer and marketer are subject to ongoing review and extensive regulation.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72"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w:t>
      </w:r>
    </w:p>
    <w:p>
      <w:pPr>
        <w:spacing w:after="0" w:line="172" w:lineRule="exact"/>
        <w:rPr>
          <w:sz w:val="20"/>
          <w:szCs w:val="20"/>
          <w:color w:val="auto"/>
        </w:rPr>
      </w:pPr>
    </w:p>
    <w:p>
      <w:pPr>
        <w:jc w:val="both"/>
        <w:ind w:right="420" w:firstLine="605"/>
        <w:spacing w:after="0" w:line="259" w:lineRule="auto"/>
        <w:rPr>
          <w:sz w:val="20"/>
          <w:szCs w:val="20"/>
          <w:color w:val="auto"/>
        </w:rPr>
      </w:pPr>
      <w:r>
        <w:rPr>
          <w:rFonts w:ascii="Arial" w:cs="Arial" w:eastAsia="Arial" w:hAnsi="Arial"/>
          <w:sz w:val="18"/>
          <w:szCs w:val="18"/>
          <w:color w:val="auto"/>
        </w:rPr>
        <w:t>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94" w:lineRule="exact"/>
        <w:rPr>
          <w:sz w:val="20"/>
          <w:szCs w:val="20"/>
          <w:color w:val="auto"/>
        </w:rPr>
      </w:pPr>
    </w:p>
    <w:p>
      <w:pPr>
        <w:ind w:right="280" w:firstLine="615"/>
        <w:spacing w:after="0" w:line="298" w:lineRule="auto"/>
        <w:rPr>
          <w:sz w:val="20"/>
          <w:szCs w:val="20"/>
          <w:color w:val="auto"/>
        </w:rPr>
      </w:pPr>
      <w:r>
        <w:rPr>
          <w:rFonts w:ascii="Arial" w:cs="Arial" w:eastAsia="Arial" w:hAnsi="Arial"/>
          <w:sz w:val="16"/>
          <w:szCs w:val="16"/>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 which would impact our ability to generate revenue.</w:t>
      </w:r>
    </w:p>
    <w:p>
      <w:pPr>
        <w:spacing w:after="0" w:line="186"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In December 2016, the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marketing approval that we may have obtained and we may not achieve or sustain profitability, which would adversely affect our business, prospects, financial condition and results of operations.</w:t>
      </w:r>
    </w:p>
    <w:p>
      <w:pPr>
        <w:spacing w:after="0" w:line="186" w:lineRule="exact"/>
        <w:rPr>
          <w:sz w:val="20"/>
          <w:szCs w:val="20"/>
          <w:color w:val="auto"/>
        </w:rPr>
      </w:pPr>
    </w:p>
    <w:p>
      <w:pPr>
        <w:ind w:right="40" w:firstLine="611"/>
        <w:spacing w:after="0" w:line="285"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5"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b w:val="1"/>
          <w:bCs w:val="1"/>
          <w:i w:val="1"/>
          <w:iCs w:val="1"/>
          <w:color w:val="auto"/>
        </w:rPr>
        <w:t>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16" w:lineRule="exact"/>
        <w:rPr>
          <w:sz w:val="20"/>
          <w:szCs w:val="20"/>
          <w:color w:val="auto"/>
        </w:rPr>
      </w:pPr>
    </w:p>
    <w:p>
      <w:pPr>
        <w:ind w:right="260" w:firstLine="605"/>
        <w:spacing w:after="0" w:line="268" w:lineRule="auto"/>
        <w:rPr>
          <w:sz w:val="20"/>
          <w:szCs w:val="20"/>
          <w:color w:val="auto"/>
        </w:rPr>
      </w:pPr>
      <w:r>
        <w:rPr>
          <w:rFonts w:ascii="Arial" w:cs="Arial" w:eastAsia="Arial" w:hAnsi="Arial"/>
          <w:sz w:val="18"/>
          <w:szCs w:val="18"/>
          <w:color w:val="auto"/>
        </w:rPr>
        <w:t>Any of our product candidates for which we, or our potential future collaborators, obtain marketing approval in the future, will be subject to continual review by the FDA and other regulatory authorities.</w:t>
      </w:r>
    </w:p>
    <w:p>
      <w:pPr>
        <w:spacing w:after="0" w:line="18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Food, Drug and Cosmetic Act of 1938,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16"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70"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and could decrease the coverage and price that we, or our potential future collaborators, may receive for any approved drugs. While the MMA only addresses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97" w:lineRule="exact"/>
        <w:rPr>
          <w:sz w:val="20"/>
          <w:szCs w:val="20"/>
          <w:color w:val="auto"/>
        </w:rPr>
      </w:pPr>
    </w:p>
    <w:p>
      <w:pPr>
        <w:ind w:right="300" w:firstLine="615"/>
        <w:spacing w:after="0" w:line="268" w:lineRule="auto"/>
        <w:rPr>
          <w:sz w:val="20"/>
          <w:szCs w:val="20"/>
          <w:color w:val="auto"/>
        </w:rPr>
      </w:pPr>
      <w:r>
        <w:rPr>
          <w:rFonts w:ascii="Arial" w:cs="Arial" w:eastAsia="Arial" w:hAnsi="Arial"/>
          <w:sz w:val="18"/>
          <w:szCs w:val="18"/>
          <w:color w:val="auto"/>
        </w:rPr>
        <w:t>In March 2010, then-President Obama signed into law the Patient Protection and Affordable Care Act, as amended by the Health Care and Education Reconciliation Act, or collectively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Affordable Care Act, or ACA, which substantially changes the way healthcare is financed by both governmental and private insurers. The provisions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Affordable Care Act of potential importance to our product candidates are the following:</w:t>
      </w:r>
    </w:p>
    <w:p>
      <w:pPr>
        <w:spacing w:after="0" w:line="23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specified branded prescription drugs and biologic agents;</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99"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6"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 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More recently, President Trump has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Further, here has been heightened governmental scrutiny over the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0"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0" w:lineRule="exact"/>
        <w:rPr>
          <w:sz w:val="20"/>
          <w:szCs w:val="20"/>
          <w:color w:val="auto"/>
        </w:rPr>
      </w:pPr>
    </w:p>
    <w:p>
      <w:pPr>
        <w:ind w:right="40" w:firstLine="615"/>
        <w:spacing w:after="0" w:line="308" w:lineRule="auto"/>
        <w:rPr>
          <w:sz w:val="20"/>
          <w:szCs w:val="20"/>
          <w:color w:val="auto"/>
        </w:rPr>
      </w:pPr>
      <w:r>
        <w:rPr>
          <w:rFonts w:ascii="Arial" w:cs="Arial" w:eastAsia="Arial" w:hAnsi="Arial"/>
          <w:sz w:val="15"/>
          <w:szCs w:val="15"/>
          <w:color w:val="auto"/>
        </w:rPr>
        <w:t>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Cuts and Jobs Act of 2017, or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possible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63" w:lineRule="exact"/>
        <w:rPr>
          <w:sz w:val="20"/>
          <w:szCs w:val="20"/>
          <w:color w:val="auto"/>
        </w:rPr>
      </w:pPr>
    </w:p>
    <w:p>
      <w:pPr>
        <w:ind w:right="40" w:firstLine="605"/>
        <w:spacing w:after="0" w:line="290" w:lineRule="auto"/>
        <w:rPr>
          <w:sz w:val="20"/>
          <w:szCs w:val="20"/>
          <w:color w:val="auto"/>
        </w:rPr>
      </w:pPr>
      <w:r>
        <w:rPr>
          <w:rFonts w:ascii="Arial" w:cs="Arial" w:eastAsia="Arial" w:hAnsi="Arial"/>
          <w:sz w:val="16"/>
          <w:szCs w:val="16"/>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 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72" w:lineRule="exact"/>
        <w:rPr>
          <w:sz w:val="20"/>
          <w:szCs w:val="20"/>
          <w:color w:val="auto"/>
        </w:rPr>
      </w:pPr>
    </w:p>
    <w:p>
      <w:pPr>
        <w:ind w:right="180" w:firstLine="611"/>
        <w:spacing w:after="0" w:line="294"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amounts that federal and state governments will pay for healthcare products and services, which could result in reduced demand for our drug candidates or additional pricing pressures.</w:t>
      </w:r>
    </w:p>
    <w:p>
      <w:pPr>
        <w:spacing w:after="0" w:line="186" w:lineRule="exact"/>
        <w:rPr>
          <w:sz w:val="20"/>
          <w:szCs w:val="20"/>
          <w:color w:val="auto"/>
        </w:rPr>
      </w:pPr>
    </w:p>
    <w:p>
      <w:pPr>
        <w:ind w:right="60" w:firstLine="611"/>
        <w:spacing w:after="0" w:line="314" w:lineRule="auto"/>
        <w:rPr>
          <w:sz w:val="20"/>
          <w:szCs w:val="20"/>
          <w:color w:val="auto"/>
        </w:rPr>
      </w:pPr>
      <w:r>
        <w:rPr>
          <w:rFonts w:ascii="Arial" w:cs="Arial" w:eastAsia="Arial" w:hAnsi="Arial"/>
          <w:sz w:val="15"/>
          <w:szCs w:val="15"/>
          <w:color w:val="auto"/>
        </w:rPr>
        <w:t>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59" w:lineRule="exact"/>
        <w:rPr>
          <w:sz w:val="20"/>
          <w:szCs w:val="20"/>
          <w:color w:val="auto"/>
        </w:rPr>
      </w:pPr>
    </w:p>
    <w:p>
      <w:pPr>
        <w:ind w:right="120" w:firstLine="615"/>
        <w:spacing w:after="0" w:line="294"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70" w:lineRule="exact"/>
        <w:rPr>
          <w:sz w:val="20"/>
          <w:szCs w:val="20"/>
          <w:color w:val="auto"/>
        </w:rPr>
      </w:pPr>
    </w:p>
    <w:p>
      <w:pPr>
        <w:jc w:val="both"/>
        <w:ind w:right="300"/>
        <w:spacing w:after="0" w:line="370" w:lineRule="auto"/>
        <w:rPr>
          <w:sz w:val="20"/>
          <w:szCs w:val="20"/>
          <w:color w:val="auto"/>
        </w:rPr>
      </w:pPr>
      <w:r>
        <w:rPr>
          <w:rFonts w:ascii="Arial" w:cs="Arial" w:eastAsia="Arial" w:hAnsi="Arial"/>
          <w:sz w:val="15"/>
          <w:szCs w:val="15"/>
          <w:b w:val="1"/>
          <w:bCs w:val="1"/>
          <w:i w:val="1"/>
          <w:iCs w:val="1"/>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116"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recently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 Current government regulations and possible future legislation regarding health care may affect coverage and reimbursement for medical treatment by third-party payors, which may render our product candidates, if approved, not commercially viable or may adversely affect our anticipated future revenues and gross margins.</w:t>
      </w:r>
    </w:p>
    <w:p>
      <w:pPr>
        <w:spacing w:after="0" w:line="177" w:lineRule="exact"/>
        <w:rPr>
          <w:sz w:val="20"/>
          <w:szCs w:val="20"/>
          <w:color w:val="auto"/>
        </w:rPr>
      </w:pPr>
    </w:p>
    <w:p>
      <w:pPr>
        <w:ind w:right="20" w:firstLine="611"/>
        <w:spacing w:after="0" w:line="306" w:lineRule="auto"/>
        <w:rPr>
          <w:sz w:val="20"/>
          <w:szCs w:val="20"/>
          <w:color w:val="auto"/>
        </w:rPr>
      </w:pPr>
      <w:r>
        <w:rPr>
          <w:rFonts w:ascii="Arial" w:cs="Arial" w:eastAsia="Arial" w:hAnsi="Arial"/>
          <w:sz w:val="16"/>
          <w:szCs w:val="16"/>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our future products, which would adversely affect our anticipated revenue and results of operations.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94"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Our relationships with healthcare providers, physicians and third-party payors will subject us to additional healthcare statutory and regulatory requirements and enforcement by the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183" w:lineRule="exact"/>
        <w:rPr>
          <w:sz w:val="20"/>
          <w:szCs w:val="20"/>
          <w:color w:val="auto"/>
        </w:rPr>
      </w:pPr>
    </w:p>
    <w:p>
      <w:pPr>
        <w:ind w:left="1080" w:hanging="532"/>
        <w:spacing w:after="0" w:line="255"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—the federal healthcare anti-kickback statute prohibits, among other things, persons from knowingly and willfully soliciting,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223"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False Claims Act</w:t>
      </w:r>
      <w:r>
        <w:rPr>
          <w:rFonts w:ascii="Arial" w:cs="Arial" w:eastAsia="Arial" w:hAnsi="Arial"/>
          <w:sz w:val="18"/>
          <w:szCs w:val="18"/>
          <w:color w:val="auto"/>
        </w:rPr>
        <w:t>—the federal False Claims Act imposes criminal and civil penalties, including through civil whistleblower or</w:t>
      </w:r>
      <w:r>
        <w:rPr>
          <w:rFonts w:ascii="Arial" w:cs="Arial" w:eastAsia="Arial" w:hAnsi="Arial"/>
          <w:sz w:val="18"/>
          <w:szCs w:val="18"/>
          <w:i w:val="1"/>
          <w:iCs w:val="1"/>
          <w:color w:val="auto"/>
        </w:rPr>
        <w:t xml:space="preserve"> qui tam </w:t>
      </w:r>
      <w:r>
        <w:rPr>
          <w:rFonts w:ascii="Arial" w:cs="Arial" w:eastAsia="Arial" w:hAnsi="Arial"/>
          <w:sz w:val="18"/>
          <w:szCs w:val="18"/>
          <w:color w:val="auto"/>
        </w:rPr>
        <w:t>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10" w:lineRule="exact"/>
        <w:rPr>
          <w:rFonts w:ascii="Arial" w:cs="Arial" w:eastAsia="Arial" w:hAnsi="Arial"/>
          <w:sz w:val="18"/>
          <w:szCs w:val="18"/>
          <w:color w:val="auto"/>
        </w:rPr>
      </w:pPr>
    </w:p>
    <w:p>
      <w:pPr>
        <w:ind w:left="1080" w:hanging="532"/>
        <w:spacing w:after="0" w:line="287"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HIPAA</w:t>
      </w:r>
      <w:r>
        <w:rPr>
          <w:rFonts w:ascii="Arial" w:cs="Arial" w:eastAsia="Arial" w:hAnsi="Arial"/>
          <w:sz w:val="16"/>
          <w:szCs w:val="16"/>
          <w:color w:val="auto"/>
        </w:rPr>
        <w:t>—the federal Health Insurance Portability and Accountability Act of 1996, or HIPAA, imposes criminal and civil liability for executing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90" w:lineRule="exact"/>
        <w:rPr>
          <w:rFonts w:ascii="Arial" w:cs="Arial" w:eastAsia="Arial" w:hAnsi="Arial"/>
          <w:sz w:val="16"/>
          <w:szCs w:val="16"/>
          <w:color w:val="auto"/>
        </w:rPr>
      </w:pPr>
    </w:p>
    <w:p>
      <w:pPr>
        <w:ind w:left="1080" w:right="40" w:hanging="532"/>
        <w:spacing w:after="0" w:line="298"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HIPAA Privacy Provisions</w:t>
      </w:r>
      <w:r>
        <w:rPr>
          <w:rFonts w:ascii="Arial" w:cs="Arial" w:eastAsia="Arial" w:hAnsi="Arial"/>
          <w:sz w:val="16"/>
          <w:szCs w:val="16"/>
          <w:color w:val="auto"/>
        </w:rPr>
        <w:t>—as amended by HITECH and its implementing regulations, HIPAA also imposes obligations on certain covered entity</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notification to affected individuals and regulatory authorities of certain breaches of security of individually identifiable health information;</w:t>
      </w:r>
    </w:p>
    <w:p>
      <w:pPr>
        <w:spacing w:after="0" w:line="262" w:lineRule="exact"/>
        <w:rPr>
          <w:sz w:val="20"/>
          <w:szCs w:val="20"/>
          <w:color w:val="auto"/>
        </w:rPr>
      </w:pPr>
    </w:p>
    <w:p>
      <w:pPr>
        <w:ind w:left="1080" w:right="80" w:hanging="532"/>
        <w:spacing w:after="0" w:line="29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Transparency Requirements</w:t>
      </w:r>
      <w:r>
        <w:rPr>
          <w:rFonts w:ascii="Arial" w:cs="Arial" w:eastAsia="Arial" w:hAnsi="Arial"/>
          <w:sz w:val="16"/>
          <w:szCs w:val="16"/>
          <w:color w:val="auto"/>
        </w:rPr>
        <w:t>—the federal legislation commonly referred to as the Physician Payments Sunshine Act, enacted as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FDCA</w:t>
      </w:r>
      <w:r>
        <w:rPr>
          <w:rFonts w:ascii="Arial" w:cs="Arial" w:eastAsia="Arial" w:hAnsi="Arial"/>
          <w:sz w:val="16"/>
          <w:szCs w:val="16"/>
          <w:color w:val="auto"/>
        </w:rPr>
        <w:t>—the FDCA, which prohibits, among other things, the adulteration or misbranding of drugs, biologics and medical devices; and</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 as state anti-kickback and false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laws that may apply to sales or marketing arrangements and claims involving healthcare items or services reimbursed by non-governmental third-party payors, including private insurers.</w:t>
      </w:r>
    </w:p>
    <w:p>
      <w:pPr>
        <w:spacing w:after="0" w:line="194"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97"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86"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Successful sales of our product candidates, if approved, depend on the availability of adequate coverage and reimbursement from third-party payors. In addition, because our product candidates represent relatively new approaches to the treatment of cancer, we cannot accurately estimate the potential revenue from our product candidates.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94"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208"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candidates unless coverage is provided and reimbursement is adequate to cover a significant portion of the cost of our product candidates. Because our product candidates have a higher cost of goods than conventional therapies, and may require long-term follow up evaluations, the risk that coverage and reimbursement rates may be inadequate for us to achieve profitability may be greater.</w:t>
      </w:r>
    </w:p>
    <w:p>
      <w:pPr>
        <w:spacing w:after="0" w:line="174" w:lineRule="exact"/>
        <w:rPr>
          <w:sz w:val="20"/>
          <w:szCs w:val="20"/>
          <w:color w:val="auto"/>
        </w:rPr>
      </w:pPr>
    </w:p>
    <w:p>
      <w:pPr>
        <w:ind w:right="100" w:firstLine="611"/>
        <w:spacing w:after="0" w:line="291"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86" w:lineRule="exact"/>
        <w:rPr>
          <w:sz w:val="20"/>
          <w:szCs w:val="20"/>
          <w:color w:val="auto"/>
        </w:rPr>
      </w:pPr>
    </w:p>
    <w:p>
      <w:pPr>
        <w:ind w:firstLine="611"/>
        <w:spacing w:after="0" w:line="318" w:lineRule="auto"/>
        <w:rPr>
          <w:sz w:val="20"/>
          <w:szCs w:val="20"/>
          <w:color w:val="auto"/>
        </w:rPr>
      </w:pPr>
      <w:r>
        <w:rPr>
          <w:rFonts w:ascii="Arial" w:cs="Arial" w:eastAsia="Arial" w:hAnsi="Arial"/>
          <w:sz w:val="15"/>
          <w:szCs w:val="15"/>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commercializing those products in the United States, our potential exposure under such laws will increase significantly, and our costs associated with compliance with such laws are also likely to increase significantly.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86" w:lineRule="exact"/>
        <w:rPr>
          <w:sz w:val="20"/>
          <w:szCs w:val="20"/>
          <w:color w:val="auto"/>
        </w:rPr>
      </w:pPr>
    </w:p>
    <w:p>
      <w:pPr>
        <w:ind w:right="140" w:firstLine="611"/>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4" w:lineRule="exact"/>
        <w:rPr>
          <w:sz w:val="20"/>
          <w:szCs w:val="20"/>
          <w:color w:val="auto"/>
        </w:rPr>
      </w:pPr>
    </w:p>
    <w:p>
      <w:pPr>
        <w:ind w:right="40" w:firstLine="605"/>
        <w:spacing w:after="0" w:line="25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97"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39" w:lineRule="exact"/>
        <w:rPr>
          <w:sz w:val="20"/>
          <w:szCs w:val="20"/>
          <w:color w:val="auto"/>
        </w:rPr>
      </w:pPr>
    </w:p>
    <w:p>
      <w:pPr>
        <w:ind w:right="280" w:firstLine="611"/>
        <w:spacing w:after="0" w:line="298" w:lineRule="auto"/>
        <w:rPr>
          <w:sz w:val="20"/>
          <w:szCs w:val="20"/>
          <w:color w:val="auto"/>
        </w:rPr>
      </w:pPr>
      <w:r>
        <w:rPr>
          <w:rFonts w:ascii="Arial" w:cs="Arial" w:eastAsia="Arial" w:hAnsi="Arial"/>
          <w:sz w:val="16"/>
          <w:szCs w:val="16"/>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We cannot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assure you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97" w:lineRule="exact"/>
        <w:rPr>
          <w:sz w:val="20"/>
          <w:szCs w:val="20"/>
          <w:color w:val="auto"/>
        </w:rPr>
      </w:pPr>
    </w:p>
    <w:p>
      <w:pPr>
        <w:ind w:right="20" w:firstLine="611"/>
        <w:spacing w:after="0" w:line="253" w:lineRule="auto"/>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20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7" w:lineRule="exact"/>
        <w:rPr>
          <w:sz w:val="20"/>
          <w:szCs w:val="20"/>
          <w:color w:val="auto"/>
        </w:rPr>
      </w:pPr>
    </w:p>
    <w:p>
      <w:pPr>
        <w:ind w:right="140" w:firstLine="611"/>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7"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Tax Reform Bill could have a negative effect on us or our stockholders.</w:t>
      </w:r>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On December 20, 2017, Congress passed the Tax Reform Bill and on December 22, 2017, President Trump signed the Tax Reform Bill into law. The Tax Reform Bill makes significant changes to the U.S. federal income tax rules applicable to both individuals and entities, including corporations. There is significant uncertainty as to the impact of the Tax Reform Bill on us, including, but not limited to, our ability to utilize our net operating loss carry forwards, and on any investment in our common stock. For losses arising in tax years beginning after December 31, 2017, the amount of net operating losses that we can use to offset taxable income is limited to 80% of our taxable income. You should consult with your tax advisor with respect to the status of U.S. federal tax reform and its potential effect on your investment in our common stock.</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86"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product candidates, products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 candidates or products and related proprietary technologies is dependent upon the extent to which we have rights under valid and enforceable patents or trade secrets that cover these activities.</w:t>
      </w:r>
    </w:p>
    <w:p>
      <w:pPr>
        <w:spacing w:after="0" w:line="197" w:lineRule="exact"/>
        <w:rPr>
          <w:sz w:val="20"/>
          <w:szCs w:val="20"/>
          <w:color w:val="auto"/>
        </w:rPr>
      </w:pPr>
    </w:p>
    <w:p>
      <w:pPr>
        <w:ind w:right="80" w:firstLine="611"/>
        <w:spacing w:after="0" w:line="25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products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9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currently depend on proprietary technology licensed from MSK and may depend on other third party licensors in the future. If we lose our existing licenses or are unable to acquire or license additional proprietary rights from MSK or other third parties, we may not be able to continue developing our products.</w:t>
      </w:r>
    </w:p>
    <w:p>
      <w:pPr>
        <w:spacing w:after="0" w:line="194"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We currently in-license certain intellectual property from MSK.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72"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or products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w:t>
      </w:r>
    </w:p>
    <w:p>
      <w:pPr>
        <w:spacing w:after="0" w:line="194"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74" w:lineRule="exact"/>
        <w:rPr>
          <w:sz w:val="20"/>
          <w:szCs w:val="20"/>
          <w:color w:val="auto"/>
        </w:rPr>
      </w:pPr>
    </w:p>
    <w:p>
      <w:pPr>
        <w:ind w:right="200" w:firstLine="611"/>
        <w:spacing w:after="0" w:line="291"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4"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are a party to license agreements with MSK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94" w:lineRule="exact"/>
        <w:rPr>
          <w:sz w:val="20"/>
          <w:szCs w:val="20"/>
          <w:color w:val="auto"/>
        </w:rPr>
      </w:pPr>
    </w:p>
    <w:p>
      <w:pPr>
        <w:ind w:right="100" w:firstLine="611"/>
        <w:spacing w:after="0" w:line="288" w:lineRule="auto"/>
        <w:rPr>
          <w:sz w:val="20"/>
          <w:szCs w:val="20"/>
          <w:color w:val="auto"/>
        </w:rPr>
      </w:pPr>
      <w:r>
        <w:rPr>
          <w:rFonts w:ascii="Arial" w:cs="Arial" w:eastAsia="Arial" w:hAnsi="Arial"/>
          <w:sz w:val="16"/>
          <w:szCs w:val="16"/>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 candidates, products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67" w:lineRule="exact"/>
        <w:rPr>
          <w:sz w:val="20"/>
          <w:szCs w:val="20"/>
          <w:color w:val="auto"/>
        </w:rPr>
      </w:pPr>
    </w:p>
    <w:p>
      <w:pPr>
        <w:ind w:right="80" w:firstLine="615"/>
        <w:spacing w:after="0" w:line="285" w:lineRule="auto"/>
        <w:rPr>
          <w:sz w:val="20"/>
          <w:szCs w:val="20"/>
          <w:color w:val="auto"/>
        </w:rPr>
      </w:pPr>
      <w:r>
        <w:rPr>
          <w:rFonts w:ascii="Arial" w:cs="Arial" w:eastAsia="Arial" w:hAnsi="Arial"/>
          <w:sz w:val="16"/>
          <w:szCs w:val="16"/>
          <w:color w:val="auto"/>
        </w:rPr>
        <w:t xml:space="preserve">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We may become involved in opposition,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Even if our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 candidates, products and technology. Given the amount of time required for the development, testing and regulatory review of new product candidates, patents protecting such candidates might expire before or shortly after such candidates are commercialized. As a result, our and in-licensed patent portfolio may not provide us with sufficient rights to exclude others from commercializing products similar or identical to ours or otherwise provide us with a competitive advantage.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99" w:lineRule="exact"/>
        <w:rPr>
          <w:sz w:val="20"/>
          <w:szCs w:val="20"/>
          <w:color w:val="auto"/>
        </w:rPr>
      </w:pPr>
    </w:p>
    <w:p>
      <w:pPr>
        <w:ind w:left="1080" w:right="2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or products but that are not covered by the claims of our patents;</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APIs in our current product candidates may eventually become commercially available in generic drug products, and no patent protection may be available with regard to formulation or method of use;</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products and proprietary technologies;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or in-licensed pending patent applications will not result in issued patents;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products or technologies similar to ours;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claims of our owned or in-licensed issued patents or patent applications, if and when issued, may not cover our product candidates or products;</w:t>
      </w:r>
    </w:p>
    <w:p>
      <w:pPr>
        <w:spacing w:after="0" w:line="273" w:lineRule="exact"/>
        <w:rPr>
          <w:rFonts w:ascii="Arial" w:cs="Arial" w:eastAsia="Arial" w:hAnsi="Arial"/>
          <w:sz w:val="15"/>
          <w:szCs w:val="15"/>
          <w:color w:val="auto"/>
        </w:rPr>
      </w:pPr>
    </w:p>
    <w:p>
      <w:pPr>
        <w:ind w:left="1080" w:right="3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99"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43" w:lineRule="exact"/>
        <w:rPr>
          <w:rFonts w:ascii="Arial" w:cs="Arial" w:eastAsia="Arial" w:hAnsi="Arial"/>
          <w:sz w:val="15"/>
          <w:szCs w:val="15"/>
          <w:color w:val="auto"/>
        </w:rPr>
      </w:pPr>
    </w:p>
    <w:p>
      <w:pPr>
        <w:ind w:left="1080" w:right="12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collatoration/agreement with such third party;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it is possible that product candidates or diagnostic tests we develop may be covered by third parties' patents or other exclusive rights; or</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94"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74"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and product candidates. Likewise, our current owned and in-licensed patents covering our proprietary technologies and our product candidates are expected to expire on various dates from 2021 through 2031, without taking into account any possible patent term adjustments or extensions. Our earliest in-licensed patents were only filed in the United States and may expire before, or soon after, our first product achieves marketing approval in the United States. Upon the expiration of our current patents, we may lose the right to exclude others from practicing these inventions. The expiration of these patents could also have a similar material adverse effect on our business, results of operations, financial condition and prospects. We own or in-license pending patent applications covering our proprietary technologies or our product candidates that if issued as patents are expected to expire from 2021 through 2035 (2038 assuming the future filing of a priority claiming Patent Cooperation Treaty application), without taking into account any possible patent term adjustments or extensions. However, we cannot be assured that the USPTO or relevant foreign patent offices will grant any of these patent applications.</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86"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67"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before the USPTO, or during litigation, under the revised criteria which could also make it more difficult to obtain patents.</w:t>
      </w:r>
    </w:p>
    <w:p>
      <w:pPr>
        <w:spacing w:after="0" w:line="225"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74"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 xml:space="preserve">If another party questions the patentability of any of our claims in our owned or in-licensed U.S. patents, the third party can request that the USPTO review the patent claims such as in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8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72"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97" w:lineRule="exact"/>
        <w:rPr>
          <w:sz w:val="20"/>
          <w:szCs w:val="20"/>
          <w:color w:val="auto"/>
        </w:rPr>
      </w:pPr>
    </w:p>
    <w:p>
      <w:pPr>
        <w:ind w:right="20" w:firstLine="611"/>
        <w:spacing w:after="0" w:line="332" w:lineRule="auto"/>
        <w:rPr>
          <w:sz w:val="20"/>
          <w:szCs w:val="20"/>
          <w:color w:val="auto"/>
        </w:rPr>
      </w:pPr>
      <w:r>
        <w:rPr>
          <w:rFonts w:ascii="Arial" w:cs="Arial" w:eastAsia="Arial" w:hAnsi="Arial"/>
          <w:sz w:val="16"/>
          <w:szCs w:val="16"/>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86" w:lineRule="exact"/>
        <w:rPr>
          <w:sz w:val="20"/>
          <w:szCs w:val="20"/>
          <w:color w:val="auto"/>
        </w:rPr>
      </w:pPr>
    </w:p>
    <w:p>
      <w:pPr>
        <w:ind w:right="60" w:firstLine="615"/>
        <w:spacing w:after="0" w:line="29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or products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 candidates or products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72"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77" w:lineRule="exact"/>
        <w:rPr>
          <w:sz w:val="20"/>
          <w:szCs w:val="20"/>
          <w:color w:val="auto"/>
        </w:rPr>
      </w:pPr>
    </w:p>
    <w:p>
      <w:pPr>
        <w:ind w:right="400" w:firstLine="611"/>
        <w:spacing w:after="0" w:line="306"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239" w:lineRule="exact"/>
        <w:rPr>
          <w:sz w:val="20"/>
          <w:szCs w:val="20"/>
          <w:color w:val="auto"/>
        </w:rPr>
      </w:pPr>
    </w:p>
    <w:p>
      <w:pPr>
        <w:ind w:left="1080" w:right="2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21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207"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21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redesigning our product candidates or products or processes so they do not infringe, which may not be possible or may require substantial monetary expenditures and time.</w:t>
      </w:r>
    </w:p>
    <w:p>
      <w:pPr>
        <w:spacing w:after="0" w:line="186"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97" w:lineRule="exact"/>
        <w:rPr>
          <w:sz w:val="20"/>
          <w:szCs w:val="20"/>
          <w:color w:val="auto"/>
        </w:rPr>
      </w:pPr>
    </w:p>
    <w:p>
      <w:pPr>
        <w:ind w:right="140" w:firstLine="611"/>
        <w:spacing w:after="0" w:line="294" w:lineRule="auto"/>
        <w:rPr>
          <w:sz w:val="20"/>
          <w:szCs w:val="20"/>
          <w:color w:val="auto"/>
        </w:rPr>
      </w:pPr>
      <w:r>
        <w:rPr>
          <w:rFonts w:ascii="Arial" w:cs="Arial" w:eastAsia="Arial" w:hAnsi="Arial"/>
          <w:sz w:val="16"/>
          <w:szCs w:val="16"/>
          <w:color w:val="auto"/>
        </w:rPr>
        <w:t xml:space="preserve">We may choose to challenge the patentability of claims in a third party's U.S. patent by requesting that the USPTO review the patent claims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or post-grant review proceedings. These proceedings are expensive and may consume our time or other resources.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Filing, prosecuting and defending patents on all of our product candidates or products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or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77" w:lineRule="exact"/>
        <w:rPr>
          <w:sz w:val="20"/>
          <w:szCs w:val="20"/>
          <w:color w:val="auto"/>
        </w:rPr>
      </w:pPr>
    </w:p>
    <w:p>
      <w:pPr>
        <w:ind w:right="80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94" w:lineRule="exact"/>
        <w:rPr>
          <w:sz w:val="20"/>
          <w:szCs w:val="20"/>
          <w:color w:val="auto"/>
        </w:rPr>
      </w:pPr>
    </w:p>
    <w:p>
      <w:pPr>
        <w:ind w:right="220" w:firstLine="611"/>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86"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yet registered our trademarks in the United States. Failure to secure such registrations could adversely affect our business.</w:t>
      </w:r>
    </w:p>
    <w:p>
      <w:pPr>
        <w:spacing w:after="0" w:line="248"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We have not yet registered our trademarks in the United States. If we do not successfully register our trademarks, we may encounter difficulty in enforcing, or be unable to enforce, our trademark rights against third parties, which could adversely affect our business and our ability to effectively compete in the marketplace. We have also not yet registered trademarks for any of our product candidates in any jurisdiction. When we file registration applications for trademarks relating to our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72" w:lineRule="exact"/>
        <w:rPr>
          <w:sz w:val="20"/>
          <w:szCs w:val="20"/>
          <w:color w:val="auto"/>
        </w:rPr>
      </w:pPr>
    </w:p>
    <w:p>
      <w:pPr>
        <w:ind w:right="100" w:firstLine="615"/>
        <w:spacing w:after="0" w:line="294" w:lineRule="auto"/>
        <w:rPr>
          <w:sz w:val="20"/>
          <w:szCs w:val="20"/>
          <w:color w:val="auto"/>
        </w:rPr>
      </w:pPr>
      <w:r>
        <w:rPr>
          <w:rFonts w:ascii="Arial" w:cs="Arial" w:eastAsia="Arial" w:hAnsi="Arial"/>
          <w:sz w:val="16"/>
          <w:szCs w:val="16"/>
          <w:color w:val="auto"/>
        </w:rPr>
        <w:t>In addition, any proprietary name we propose to use with any of our product candidate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86"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if any,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94" w:lineRule="exact"/>
        <w:rPr>
          <w:sz w:val="20"/>
          <w:szCs w:val="20"/>
          <w:color w:val="auto"/>
        </w:rPr>
      </w:pPr>
    </w:p>
    <w:p>
      <w:pPr>
        <w:ind w:right="160" w:firstLine="611"/>
        <w:spacing w:after="0" w:line="290" w:lineRule="auto"/>
        <w:rPr>
          <w:sz w:val="20"/>
          <w:szCs w:val="20"/>
          <w:color w:val="auto"/>
        </w:rPr>
      </w:pPr>
      <w:r>
        <w:rPr>
          <w:rFonts w:ascii="Arial" w:cs="Arial" w:eastAsia="Arial" w:hAnsi="Arial"/>
          <w:sz w:val="16"/>
          <w:szCs w:val="16"/>
          <w:color w:val="auto"/>
        </w:rPr>
        <w:t>We are highly dependent on Thomas Gad, our Founder, Chairman, President and Head of Business Development; Dr. Claus Juan Møller San Pedro, M.D., Ph.D., our Chief Executive Officer; Bo Kruse, our Executive Vice President, Chief Financial Officer, Secretary and Treasurer; Joris Wiel Jan Wilms, our Senior Vice President and Chief Operating Officer; Dr. Torben Lund-Hansen, Ph.D., our Senior Vice President and Head of Technical Operations; and Dr. Steen Lisby, M.D., DMSc, our Senior Vice President and Chief Medical Officer, as well as the other principal members of our management and scientific teams. Our agreements with our executive officers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72" w:lineRule="exact"/>
        <w:rPr>
          <w:sz w:val="20"/>
          <w:szCs w:val="20"/>
          <w:color w:val="auto"/>
        </w:rPr>
      </w:pPr>
    </w:p>
    <w:p>
      <w:pPr>
        <w:ind w:right="20" w:firstLine="615"/>
        <w:spacing w:after="0" w:line="298"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67"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Although we have employment agreements with our key employees, these employment agreements provide for at-will employment, which means that any of our employees could leave our employment at any time, with or without notice.</w:t>
      </w:r>
    </w:p>
    <w:p>
      <w:pPr>
        <w:spacing w:after="0" w:line="186" w:lineRule="exact"/>
        <w:rPr>
          <w:sz w:val="20"/>
          <w:szCs w:val="20"/>
          <w:color w:val="auto"/>
        </w:rPr>
      </w:pPr>
    </w:p>
    <w:p>
      <w:pPr>
        <w:jc w:val="both"/>
        <w:ind w:right="80" w:firstLine="615"/>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our sales and marketing capabilities, and as a result, we may encounter difficulties in managing our growth, which could disrupt our operations.</w:t>
      </w:r>
    </w:p>
    <w:p>
      <w:pPr>
        <w:spacing w:after="0" w:line="186" w:lineRule="exact"/>
        <w:rPr>
          <w:sz w:val="20"/>
          <w:szCs w:val="20"/>
          <w:color w:val="auto"/>
        </w:rPr>
      </w:pPr>
    </w:p>
    <w:p>
      <w:pPr>
        <w:ind w:right="140" w:firstLine="611"/>
        <w:spacing w:after="0" w:line="253"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will maintain ownership of a significant percentage of our stock and will be able to exercise significant influence over matters subject to stockholder approval.</w:t>
      </w:r>
    </w:p>
    <w:p>
      <w:pPr>
        <w:spacing w:after="0" w:line="186" w:lineRule="exact"/>
        <w:rPr>
          <w:sz w:val="20"/>
          <w:szCs w:val="20"/>
          <w:color w:val="auto"/>
        </w:rPr>
      </w:pPr>
    </w:p>
    <w:p>
      <w:pPr>
        <w:ind w:right="140" w:firstLine="615"/>
        <w:spacing w:after="0" w:line="291" w:lineRule="auto"/>
        <w:rPr>
          <w:sz w:val="20"/>
          <w:szCs w:val="20"/>
          <w:color w:val="auto"/>
        </w:rPr>
      </w:pPr>
      <w:r>
        <w:rPr>
          <w:rFonts w:ascii="Arial" w:cs="Arial" w:eastAsia="Arial" w:hAnsi="Arial"/>
          <w:sz w:val="16"/>
          <w:szCs w:val="16"/>
          <w:color w:val="auto"/>
        </w:rPr>
        <w:t>Upon the closing of this offering, our executive officers and directors and our existing stockholders, which own more than 5% of our outstanding common stock before this offering, will, in the aggregate, beneficially own shares representing approximately % of our common stock, not including any shares purchased by these stockholders in this offering.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6"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Provisions in our certificate of incorporation and our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stockholders to replace or remove our current management by making it more difficult for stockholders to replace members of our board of directors. Among other things, these provisions:</w:t>
      </w:r>
    </w:p>
    <w:p>
      <w:pPr>
        <w:spacing w:after="0" w:line="19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86" w:lineRule="exact"/>
        <w:rPr>
          <w:sz w:val="20"/>
          <w:szCs w:val="20"/>
          <w:color w:val="auto"/>
        </w:rPr>
      </w:pPr>
    </w:p>
    <w:p>
      <w:pPr>
        <w:jc w:val="both"/>
        <w:ind w:right="200" w:firstLine="615"/>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ind w:right="340" w:firstLine="611"/>
        <w:spacing w:after="0" w:line="303" w:lineRule="auto"/>
        <w:rPr>
          <w:sz w:val="20"/>
          <w:szCs w:val="20"/>
          <w:color w:val="auto"/>
        </w:rPr>
      </w:pPr>
      <w:r>
        <w:rPr>
          <w:rFonts w:ascii="Arial" w:cs="Arial" w:eastAsia="Arial" w:hAnsi="Arial"/>
          <w:sz w:val="15"/>
          <w:szCs w:val="15"/>
          <w:color w:val="auto"/>
        </w:rPr>
        <w:t>The initial public offering price of shares of our common stock is substantially higher than the as adjusted net tangible book value per share of our common stock. Therefore, if you purchase shares of our common stock in this initial public offering, you will pay a price per share of common stock that substantially exceeds our as adjusted net tangible book value per share of common stock after this initial public offering. To the extent shares of our common</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stock are issued under outstanding options, you will incur further dilution. Based on the initial public offering price of $ per share of common stock, which is the midpoint of the price range set forth on the cover of this prospectus, you will experience immediate dilution of $ per share of common stock,</w:t>
      </w:r>
    </w:p>
    <w:p>
      <w:pPr>
        <w:spacing w:after="0" w:line="1"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representing the difference between our as adjusted net tangible book value per share of common stock after giving effect to this offering and the assumed initial public offering price per share of common stock. In addition, purchasers of shares of our common stock in this offering will have contributed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 of the aggregate price paid by all purchasers of shares of our common stock but will own only approximately % of our common stock outstanding after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develop and, as a result, it may be difficult for you to sell your shares of our common stock.</w:t>
      </w:r>
    </w:p>
    <w:p>
      <w:pPr>
        <w:spacing w:after="0" w:line="248"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will be determined through negotiations with the underwriters.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plan to list our common stock on the Nasdaq Global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86"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ind w:right="180" w:firstLine="615"/>
        <w:spacing w:after="0" w:line="256" w:lineRule="auto"/>
        <w:rPr>
          <w:sz w:val="20"/>
          <w:szCs w:val="20"/>
          <w:color w:val="auto"/>
        </w:rPr>
      </w:pPr>
      <w:r>
        <w:rPr>
          <w:rFonts w:ascii="Arial" w:cs="Arial" w:eastAsia="Arial" w:hAnsi="Arial"/>
          <w:sz w:val="18"/>
          <w:szCs w:val="18"/>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211"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jc w:val="both"/>
        <w:ind w:right="40" w:firstLine="615"/>
        <w:spacing w:after="0" w:line="306"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right="300" w:firstLine="615"/>
        <w:spacing w:after="0" w:line="29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We are an "emerging growth company" as defined in the JOBS Act. We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 present only two years of audited financial statements and a correspondingly reduced "Management's Discussion and Analysis of Financial Condition and Results of Operations" disclosure in this prospectus, reduced disclosure obligations regarding executive compensation and exemptions from the requirements of holding a nonbinding advisory vote on executive compensation and shareholder approval of any golden parachute payments not previously approved.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15"/>
        <w:spacing w:after="0" w:line="29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86"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4"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As a result of our current and planned fund raising activities, including this offering, we may experience such an "ownership change." We may also experience ownership changes in the future as a result of subsequent shifts in our stock ownership, some of which changes are outside our control. As a result, our ability to use any pre-change net operating loss carryforwards and other pre-change tax attributes to offset post-change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taxable income or taxes may be subject to limitation and may harm our future operating results by effectively increasing our future tax obligations.</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86" w:lineRule="exact"/>
        <w:rPr>
          <w:sz w:val="20"/>
          <w:szCs w:val="20"/>
          <w:color w:val="auto"/>
        </w:rPr>
      </w:pPr>
    </w:p>
    <w:p>
      <w:pPr>
        <w:jc w:val="both"/>
        <w:ind w:right="40" w:firstLine="611"/>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doing well.</w:t>
      </w:r>
    </w:p>
    <w:p>
      <w:pPr>
        <w:spacing w:after="0" w:line="186" w:lineRule="exact"/>
        <w:rPr>
          <w:sz w:val="20"/>
          <w:szCs w:val="20"/>
          <w:color w:val="auto"/>
        </w:rPr>
      </w:pPr>
    </w:p>
    <w:p>
      <w:pPr>
        <w:ind w:right="240" w:firstLine="615"/>
        <w:spacing w:after="0" w:line="286"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ind w:left="540" w:right="460" w:hanging="526"/>
        <w:spacing w:after="0" w:line="281" w:lineRule="auto"/>
        <w:rPr>
          <w:sz w:val="20"/>
          <w:szCs w:val="20"/>
          <w:color w:val="auto"/>
        </w:rPr>
      </w:pPr>
      <w:r>
        <w:rPr>
          <w:rFonts w:ascii="Arial" w:cs="Arial" w:eastAsia="Arial" w:hAnsi="Arial"/>
          <w:sz w:val="18"/>
          <w:szCs w:val="18"/>
          <w:color w:val="auto"/>
        </w:rPr>
        <w:t>outstanding</w:t>
      </w:r>
      <w:r>
        <w:rPr>
          <w:sz w:val="20"/>
          <w:szCs w:val="20"/>
          <w:color w:val="auto"/>
        </w:rPr>
        <w:t xml:space="preserve"> </w:t>
      </w:r>
      <w:r>
        <w:rPr>
          <w:rFonts w:ascii="Arial" w:cs="Arial" w:eastAsia="Arial" w:hAnsi="Arial"/>
          <w:sz w:val="16"/>
          <w:szCs w:val="16"/>
          <w:color w:val="auto"/>
        </w:rPr>
        <w:t>shares of common stock based on the number of shares outstanding as of , 2018. Of these shares of our common stock, shares to be sold in this offering, plus any shares sold upon exercise of the underwriters' option to purchase additional shares, will be freely tradable,</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without restriction, in the public market immediately following this offering, unless purchased by our affiliates. All of the remaining shares are currently restricted as a result of securities laws or lock-up agreements but will be able to be sold after the offering as described in the "Shares Eligible for Future Sale" section of this prospectus, including with the prior written consent of Merrill Lynch, Pierce, Fenner &amp; Smith Incorporated and Cowen and Company, LLC during the term of the lock-up agreements.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78"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b w:val="1"/>
          <w:bCs w:val="1"/>
          <w:i w:val="1"/>
          <w:iCs w:val="1"/>
          <w:color w:val="auto"/>
        </w:rPr>
        <w:t>Our certificate of incorporation that will become effective upon the closing of this offering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42" w:lineRule="exact"/>
        <w:rPr>
          <w:sz w:val="20"/>
          <w:szCs w:val="20"/>
          <w:color w:val="auto"/>
        </w:rPr>
      </w:pPr>
    </w:p>
    <w:p>
      <w:pPr>
        <w:ind w:right="60" w:firstLine="615"/>
        <w:spacing w:after="0" w:line="290"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certificate of incorporation or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31"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other than statements of historical facts, contained in this prospectus,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39" w:lineRule="exact"/>
        <w:rPr>
          <w:sz w:val="20"/>
          <w:szCs w:val="20"/>
          <w:color w:val="auto"/>
        </w:rPr>
      </w:pPr>
    </w:p>
    <w:p>
      <w:pPr>
        <w:ind w:left="1080" w:right="1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develop and commercialize our lead product candidates and other product candidates, including the potential benefits thereof;</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ongoing and future clinical trials for our lead product candidates, whether conducted by us or by any of our collaborators, including the timing of initiation of these trials and of the anticipated results;</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pre-clinical studies and future clinical trials for our other product candidates and our research and development programs, whether conducted by us or by any of our collaborators, including the timing of initiation of these trials and of the anticipated results;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and marketing approvals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remediation of material weaknesses in our internal control over financial reporting;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 and our existing cash and cash equivalents;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financial performance, including our estimates regarding expenses, future revenue, capital requirements and needs for additional financing;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620"/>
        <w:spacing w:after="0"/>
        <w:tabs>
          <w:tab w:leader="none" w:pos="5960" w:val="left"/>
        </w:tabs>
        <w:rPr>
          <w:sz w:val="20"/>
          <w:szCs w:val="20"/>
          <w:color w:val="auto"/>
        </w:rPr>
      </w:pPr>
      <w:r>
        <w:rPr>
          <w:rFonts w:ascii="Arial" w:cs="Arial" w:eastAsia="Arial" w:hAnsi="Arial"/>
          <w:sz w:val="18"/>
          <w:szCs w:val="18"/>
          <w:color w:val="auto"/>
        </w:rPr>
        <w:t>We estimate that the net proceeds to us from our issuance and sale of</w:t>
      </w:r>
      <w:r>
        <w:rPr>
          <w:sz w:val="20"/>
          <w:szCs w:val="20"/>
          <w:color w:val="auto"/>
        </w:rPr>
        <w:tab/>
      </w:r>
      <w:r>
        <w:rPr>
          <w:rFonts w:ascii="Arial" w:cs="Arial" w:eastAsia="Arial" w:hAnsi="Arial"/>
          <w:sz w:val="16"/>
          <w:szCs w:val="16"/>
          <w:color w:val="auto"/>
        </w:rPr>
        <w:t>shares of our common stock in this offering will be approximately</w:t>
      </w:r>
    </w:p>
    <w:p>
      <w:pPr>
        <w:spacing w:after="0" w:line="15" w:lineRule="exact"/>
        <w:rPr>
          <w:sz w:val="20"/>
          <w:szCs w:val="20"/>
          <w:color w:val="auto"/>
        </w:rPr>
      </w:pPr>
    </w:p>
    <w:p>
      <w:pPr>
        <w:ind w:left="620" w:hanging="612"/>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million, assuming an initial public offering price of $</w:t>
      </w:r>
      <w:r>
        <w:rPr>
          <w:rFonts w:ascii="Arial" w:cs="Arial" w:eastAsia="Arial" w:hAnsi="Arial"/>
          <w:sz w:val="15"/>
          <w:szCs w:val="15"/>
          <w:color w:val="auto"/>
        </w:rPr>
        <w:t>per share, which is the midpoint of the price range set forth on the cover page of this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5"/>
          <w:szCs w:val="15"/>
          <w:color w:val="auto"/>
        </w:rPr>
        <w:t>prospectus, after deducting estimated underwriting discounts and commissions and estimated offering expenses payable by us. If the underwriters exercise in full</w:t>
      </w:r>
    </w:p>
    <w:p>
      <w:pPr>
        <w:spacing w:after="0" w:line="219" w:lineRule="exact"/>
        <w:rPr>
          <w:sz w:val="20"/>
          <w:szCs w:val="20"/>
          <w:color w:val="auto"/>
        </w:rPr>
      </w:pPr>
    </w:p>
    <w:p>
      <w:pPr>
        <w:spacing w:after="0"/>
        <w:tabs>
          <w:tab w:leader="none" w:pos="8860" w:val="left"/>
        </w:tabs>
        <w:rPr>
          <w:sz w:val="20"/>
          <w:szCs w:val="20"/>
          <w:color w:val="auto"/>
        </w:rPr>
      </w:pPr>
      <w:r>
        <w:rPr>
          <w:rFonts w:ascii="Arial" w:cs="Arial" w:eastAsia="Arial" w:hAnsi="Arial"/>
          <w:sz w:val="18"/>
          <w:szCs w:val="18"/>
          <w:color w:val="auto"/>
        </w:rPr>
        <w:t>their option to purchase additional shares, we estimate that the net proceeds from this offering will be approximately $</w:t>
      </w:r>
      <w:r>
        <w:rPr>
          <w:sz w:val="20"/>
          <w:szCs w:val="20"/>
          <w:color w:val="auto"/>
        </w:rPr>
        <w:tab/>
      </w:r>
      <w:r>
        <w:rPr>
          <w:rFonts w:ascii="Arial" w:cs="Arial" w:eastAsia="Arial" w:hAnsi="Arial"/>
          <w:sz w:val="18"/>
          <w:szCs w:val="18"/>
          <w:color w:val="auto"/>
        </w:rPr>
        <w:t>million.</w:t>
      </w:r>
    </w:p>
    <w:p>
      <w:pPr>
        <w:spacing w:after="0" w:line="225" w:lineRule="exact"/>
        <w:rPr>
          <w:sz w:val="20"/>
          <w:szCs w:val="20"/>
          <w:color w:val="auto"/>
        </w:rPr>
      </w:pPr>
    </w:p>
    <w:p>
      <w:pPr>
        <w:ind w:right="280" w:firstLine="605"/>
        <w:spacing w:after="0" w:line="286" w:lineRule="auto"/>
        <w:rPr>
          <w:sz w:val="20"/>
          <w:szCs w:val="20"/>
          <w:color w:val="auto"/>
        </w:rPr>
      </w:pPr>
      <w:r>
        <w:rPr>
          <w:rFonts w:ascii="Arial" w:cs="Arial" w:eastAsia="Arial" w:hAnsi="Arial"/>
          <w:sz w:val="16"/>
          <w:szCs w:val="16"/>
          <w:color w:val="auto"/>
        </w:rPr>
        <w:t>A $1.00 increase or decrease in the assumed initial public offering price of $ per share, which is the midpoint of the price range set forth on the cover page of this prospectus, would increase or decrease our net proceeds from this offering by approximately $ million, assuming that the number of</w:t>
      </w:r>
    </w:p>
    <w:p>
      <w:pPr>
        <w:ind w:right="200"/>
        <w:spacing w:after="0" w:line="300" w:lineRule="auto"/>
        <w:rPr>
          <w:sz w:val="20"/>
          <w:szCs w:val="20"/>
          <w:color w:val="auto"/>
        </w:rPr>
      </w:pPr>
      <w:r>
        <w:rPr>
          <w:rFonts w:ascii="Arial" w:cs="Arial" w:eastAsia="Arial" w:hAnsi="Arial"/>
          <w:sz w:val="15"/>
          <w:szCs w:val="15"/>
          <w:color w:val="auto"/>
        </w:rPr>
        <w:t>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or decrease of 1,000,000 shares in the number of shares offered by us, as set forth on the cover page of this prospectus, would increase or decrease our net proceeds from this offering by</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approximately $ million, assuming no change in the assumed initial public offering price per share and after deducting estimated underwriting discounts and commissions and estimated offering expenses payable by us.</w:t>
      </w:r>
    </w:p>
    <w:p>
      <w:pPr>
        <w:spacing w:after="0" w:line="192"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of December 31, 2017, we had cash and cash equivalents of $ million. We currently estimate that we will use the net proceeds from this offering, together with our existing cash and cash equivalents, as follows:</w:t>
      </w:r>
    </w:p>
    <w:p>
      <w:pPr>
        <w:spacing w:after="0" w:line="199" w:lineRule="exact"/>
        <w:rPr>
          <w:sz w:val="20"/>
          <w:szCs w:val="20"/>
          <w:color w:val="auto"/>
        </w:rPr>
      </w:pPr>
    </w:p>
    <w:p>
      <w:pPr>
        <w:ind w:left="1080" w:right="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 million to fund our ongoing pivotal stage development through regulatory submission, and other clinical development and expansion into new indications of one of our lead product candidates, naxitamab;</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 million to fund our ongoing pivotal stage development through regulatory submission, and other clinical development and expansion into new indications of another of our lead product candidates, omburtamab;</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our ongoing clinical development of our omburtamab-DTPA product candidate;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our ongoing clinical development of our BsAb product candidates;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approximately $ million to fund the additional pre-clinical research and clinical development activity related to our other product candidates and programs; and</w:t>
      </w:r>
    </w:p>
    <w:p>
      <w:pPr>
        <w:spacing w:after="0" w:line="199" w:lineRule="exact"/>
        <w:rPr>
          <w:sz w:val="20"/>
          <w:szCs w:val="20"/>
          <w:color w:val="auto"/>
        </w:rPr>
      </w:pPr>
    </w:p>
    <w:p>
      <w:pPr>
        <w:sectPr>
          <w:pgSz w:w="11900" w:h="16838" w:orient="portrait"/>
          <w:cols w:equalWidth="0" w:num="2">
            <w:col w:w="600" w:space="480"/>
            <w:col w:w="10340"/>
          </w:cols>
          <w:pgMar w:left="240" w:top="131" w:right="239" w:bottom="1440" w:gutter="0" w:footer="0" w:header="0"/>
          <w:type w:val="continuous"/>
        </w:sectPr>
      </w:pPr>
    </w:p>
    <w:p>
      <w:pPr>
        <w:ind w:left="1080" w:right="4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 which may include funding for additional research, hiring additional personnel, capital and commercialization expenditures and the costs of operating as a public company.</w:t>
      </w:r>
    </w:p>
    <w:p>
      <w:pPr>
        <w:spacing w:after="0" w:line="186"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and commercialization efforts, the status of and results from clinical trials, any collaborations that we may enter into with third parties for our product candidates and any unforeseen cash needs. Moreover, our estimates of the costs to fund our clinical trials are based on the current designs of the trials. If we were to modify the design of any of these clinical trials, for instance, to increase the number of patients in the clinical trials, our costs to fund the clinical trials could increase.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 result, our management will retain broad discretion over the allocation of the net proceeds from this offering.</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Based on our current plans, we believe that our existing cash and cash equivalents, together with the net proceeds from this offering, will be sufficient to enable us to fund our operating expenses and capital expenditure requirements through February 2020. We have based this estimate on assumptions that may prove to be wrong, and we could use our available capital resources sooner than we currently expect. We expect that the net proceeds from this offering and our existing cash and cash equivalents will be sufficient to enable us to complete each of our ongoing pivotal stage clinical trials for our lead product candidates, naxitamab and omburtamab. However, we do not expect that the net proceeds from this offering and our existing cash and cash equivalents will be sufficient to enable us to conduct through completion any additional clinical trials of our lead product candidates for other indications or to otherwise conduct and complete the development of our other product candidates.</w:t>
      </w:r>
    </w:p>
    <w:p>
      <w:pPr>
        <w:spacing w:after="0" w:line="172"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have never declared nor paid cash dividends on our common stock. We currently intend to retain all available funds and all of our future earnings, if any, to finance the growth and development of our business. We do not intend to pay cash dividends in respect of our common stock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if any, and other agreements and other factors the board of directors deems relevant.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cash and capitalization as of December 31, 2017:</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an as adjusted basis to give further effect to (i) our issuance and sale of shares of common stock in this offering at an assumed initial public</w:t>
      </w:r>
    </w:p>
    <w:p>
      <w:pPr>
        <w:spacing w:after="0" w:line="38" w:lineRule="exact"/>
        <w:rPr>
          <w:rFonts w:ascii="Arial" w:cs="Arial" w:eastAsia="Arial" w:hAnsi="Arial"/>
          <w:sz w:val="16"/>
          <w:szCs w:val="16"/>
          <w:color w:val="auto"/>
        </w:rPr>
      </w:pPr>
    </w:p>
    <w:p>
      <w:pPr>
        <w:ind w:left="1080" w:right="100"/>
        <w:spacing w:after="0" w:line="302" w:lineRule="auto"/>
        <w:rPr>
          <w:rFonts w:ascii="Arial" w:cs="Arial" w:eastAsia="Arial" w:hAnsi="Arial"/>
          <w:sz w:val="16"/>
          <w:szCs w:val="16"/>
          <w:color w:val="auto"/>
        </w:rPr>
      </w:pPr>
      <w:r>
        <w:rPr>
          <w:rFonts w:ascii="Arial" w:cs="Arial" w:eastAsia="Arial" w:hAnsi="Arial"/>
          <w:sz w:val="16"/>
          <w:szCs w:val="16"/>
          <w:color w:val="auto"/>
        </w:rPr>
        <w:t>offering price of $ per share of common stock, which is the midpoint of the price range set forth on the cover page of this prospectus, after deducting the estimated underwriting discounts and commissions and estimated offering expenses payable by us and (ii) the filing and effectiveness of our amended and restated certificate of incorporation which will occur immediately prior to the completion of this offering.</w:t>
      </w:r>
    </w:p>
    <w:p>
      <w:pPr>
        <w:spacing w:after="0" w:line="163"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Our capitalization following the closing of this offering will be adjusted based on the actual initial public offering price and other terms of the offering determined at pricing. You should read this table together with our consolidated financial statements and the related notes appearing elsewhere in this prospectus and the "Selected Consolidated Financial Data" and "Management's Discussion and Analysis of Financial Condition and Results of Operations" sections of this prospectus.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592"/>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2"/>
                <w:szCs w:val="12"/>
                <w:color w:val="auto"/>
              </w:rPr>
            </w:pPr>
          </w:p>
        </w:tc>
        <w:tc>
          <w:tcPr>
            <w:tcW w:w="8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57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Common stock, $0.0001 par value per share, 50,000,000 shares authorized,</w:t>
            </w:r>
          </w:p>
        </w:tc>
        <w:tc>
          <w:tcPr>
            <w:tcW w:w="224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shares issued</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and outstanding, actual; 100,000,000 shares authorized,</w:t>
            </w:r>
          </w:p>
        </w:tc>
        <w:tc>
          <w:tcPr>
            <w:tcW w:w="344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w w:val="92"/>
              </w:rPr>
              <w:t>shares issued and outstanding, as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w:t>
            </w: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gridSpan w:val="4"/>
          </w:tcPr>
          <w:p>
            <w:pPr>
              <w:ind w:left="160"/>
              <w:spacing w:after="0"/>
              <w:rPr>
                <w:sz w:val="20"/>
                <w:szCs w:val="20"/>
                <w:color w:val="auto"/>
              </w:rPr>
            </w:pPr>
            <w:r>
              <w:rPr>
                <w:rFonts w:ascii="Arial" w:cs="Arial" w:eastAsia="Arial" w:hAnsi="Arial"/>
                <w:sz w:val="18"/>
                <w:szCs w:val="18"/>
                <w:color w:val="auto"/>
              </w:rPr>
              <w:t>Preferred stock, $0.0001 par value per share, 5,500,000 shares authorized, no shares issued or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4"/>
          </w:tcPr>
          <w:p>
            <w:pPr>
              <w:ind w:left="340"/>
              <w:spacing w:after="0"/>
              <w:rPr>
                <w:sz w:val="20"/>
                <w:szCs w:val="20"/>
                <w:color w:val="auto"/>
              </w:rPr>
            </w:pPr>
            <w:r>
              <w:rPr>
                <w:rFonts w:ascii="Arial" w:cs="Arial" w:eastAsia="Arial" w:hAnsi="Arial"/>
                <w:sz w:val="18"/>
                <w:szCs w:val="18"/>
                <w:color w:val="auto"/>
                <w:w w:val="99"/>
              </w:rPr>
              <w:t>outstanding, actual; 5,500,000 shares authorized, no shares issued or outstanding, as adjusted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Accumulated and other comprehensive income</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right"/>
              <w:ind w:right="512"/>
              <w:spacing w:after="0" w:line="198"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572"/>
              <w:spacing w:after="0" w:line="198"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The as adjusted information above is illustrative only, and our capitalization following the completion of this offering will be adjusted based on the actual initial public offering price and other terms of this offering determined at pricing. A $1.00 increase or decrease in the assumed initial public offering price of</w:t>
      </w:r>
    </w:p>
    <w:p>
      <w:pPr>
        <w:ind w:left="620" w:hanging="612"/>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per share of common stock, which is the midpoint of the price range set forth on the cover page of this prospectus, would increase or decrease the as</w:t>
      </w:r>
    </w:p>
    <w:p>
      <w:pPr>
        <w:spacing w:after="0" w:line="32"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adjusted amount of each of cash and cash equivalents, additional paid-in capital, total stockholders' equity and total capitalization by $ million, assuming that the number of shares of common stock offered by us, as set forth on the cover page of this prospectus, remains the same and after deducting estimated underwriting discounts and commissions and estimated offering expenses payable by us. An increase or decrease of 1,000,000 shares of common stock in the number of shares offered by us, as set forth on the cover page of this prospectus, would increase or decrease the as adjusted amount of each of cash and cash</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equivalents, common stock, par value $0.0001 per share, additional paid-in capital, total stockholders' equity and total capitalization by $ million, assuming no change in the assumed initial public offering price per share and after deducting estimated underwriting discounts and commissions and estimated offering expenses payable by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 above is based on the number of outstanding shares of our common stock as of December 31, 2017, and excludes:</w:t>
      </w:r>
    </w:p>
    <w:p>
      <w:pPr>
        <w:spacing w:after="0" w:line="239" w:lineRule="exact"/>
        <w:rPr>
          <w:sz w:val="20"/>
          <w:szCs w:val="20"/>
          <w:color w:val="auto"/>
        </w:rPr>
      </w:pPr>
    </w:p>
    <w:p>
      <w:pPr>
        <w:ind w:left="1800" w:hanging="1252"/>
        <w:spacing w:after="0"/>
        <w:tabs>
          <w:tab w:leader="none" w:pos="18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shares of our common stock issuable upon the exercise of stock options outstanding as of December 31, 2017, at a weighted average</w:t>
      </w:r>
    </w:p>
    <w:p>
      <w:pPr>
        <w:spacing w:after="0" w:line="50" w:lineRule="exact"/>
        <w:rPr>
          <w:sz w:val="20"/>
          <w:szCs w:val="20"/>
          <w:color w:val="auto"/>
        </w:rPr>
      </w:pPr>
    </w:p>
    <w:p>
      <w:pPr>
        <w:ind w:left="1080"/>
        <w:spacing w:after="0"/>
        <w:tabs>
          <w:tab w:leader="none" w:pos="288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5"/>
          <w:szCs w:val="15"/>
          <w:color w:val="auto"/>
        </w:rPr>
        <w:t>per share; and</w:t>
      </w:r>
    </w:p>
    <w:p>
      <w:pPr>
        <w:spacing w:after="0" w:line="246" w:lineRule="exact"/>
        <w:rPr>
          <w:sz w:val="20"/>
          <w:szCs w:val="20"/>
          <w:color w:val="auto"/>
        </w:rPr>
      </w:pPr>
    </w:p>
    <w:p>
      <w:pPr>
        <w:ind w:left="1080" w:right="140" w:hanging="532"/>
        <w:spacing w:after="0" w:line="268" w:lineRule="auto"/>
        <w:tabs>
          <w:tab w:leader="none" w:pos="16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our common stock remaining available for future issuance as of December 31, 2017 under our Amended and Restated 2015 Equity Incentive Plan, or the 2015 Plan.</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80" w:firstLine="615"/>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w:t>
      </w:r>
    </w:p>
    <w:p>
      <w:pPr>
        <w:spacing w:after="0" w:line="139" w:lineRule="exact"/>
        <w:rPr>
          <w:sz w:val="20"/>
          <w:szCs w:val="20"/>
          <w:color w:val="auto"/>
        </w:rPr>
      </w:pPr>
    </w:p>
    <w:p>
      <w:pPr>
        <w:ind w:right="120" w:firstLine="615"/>
        <w:spacing w:after="0" w:line="286" w:lineRule="auto"/>
        <w:rPr>
          <w:sz w:val="20"/>
          <w:szCs w:val="20"/>
          <w:color w:val="auto"/>
        </w:rPr>
      </w:pPr>
      <w:r>
        <w:rPr>
          <w:rFonts w:ascii="Arial" w:cs="Arial" w:eastAsia="Arial" w:hAnsi="Arial"/>
          <w:sz w:val="16"/>
          <w:szCs w:val="16"/>
          <w:color w:val="auto"/>
        </w:rPr>
        <w:t>Our historical net tangible book value (deficit) as of December 31, 2017 was $ million, or $ per share of our common stock. Our historical net tangible book value (deficit) is the amount of our total tangible assets less our total liabilities, which is not included within stockholders' equity (deficit).</w:t>
      </w:r>
    </w:p>
    <w:p>
      <w:pPr>
        <w:ind w:right="160"/>
        <w:spacing w:after="0" w:line="261" w:lineRule="auto"/>
        <w:rPr>
          <w:sz w:val="20"/>
          <w:szCs w:val="20"/>
          <w:color w:val="auto"/>
        </w:rPr>
      </w:pPr>
      <w:r>
        <w:rPr>
          <w:rFonts w:ascii="Arial" w:cs="Arial" w:eastAsia="Arial" w:hAnsi="Arial"/>
          <w:sz w:val="18"/>
          <w:szCs w:val="18"/>
          <w:color w:val="auto"/>
        </w:rPr>
        <w:t>Historical net tangible book value (deficit) per share represents our historical net tangible book value (deficit) divided by the shares of our common stock outstanding as of December 31, 2017.</w:t>
      </w:r>
    </w:p>
    <w:p>
      <w:pPr>
        <w:spacing w:after="0" w:line="192" w:lineRule="exact"/>
        <w:rPr>
          <w:sz w:val="20"/>
          <w:szCs w:val="20"/>
          <w:color w:val="auto"/>
        </w:rPr>
      </w:pPr>
    </w:p>
    <w:p>
      <w:pPr>
        <w:ind w:right="240" w:firstLine="605"/>
        <w:spacing w:after="0" w:line="286" w:lineRule="auto"/>
        <w:rPr>
          <w:sz w:val="20"/>
          <w:szCs w:val="20"/>
          <w:color w:val="auto"/>
        </w:rPr>
      </w:pPr>
      <w:r>
        <w:rPr>
          <w:rFonts w:ascii="Arial" w:cs="Arial" w:eastAsia="Arial" w:hAnsi="Arial"/>
          <w:sz w:val="16"/>
          <w:szCs w:val="16"/>
          <w:color w:val="auto"/>
        </w:rPr>
        <w:t>After giving effect to receipt of the net proceeds from our issuance and sale of shares of our common stock in this offering at an assumed initial public offering price of $ per share of common stock, which is the midpoint of the price range set forth on the cover page of this prospectus, and after</w:t>
      </w:r>
    </w:p>
    <w:p>
      <w:pPr>
        <w:spacing w:after="0"/>
        <w:rPr>
          <w:sz w:val="20"/>
          <w:szCs w:val="20"/>
          <w:color w:val="auto"/>
        </w:rPr>
      </w:pPr>
      <w:r>
        <w:rPr>
          <w:rFonts w:ascii="Arial" w:cs="Arial" w:eastAsia="Arial" w:hAnsi="Arial"/>
          <w:sz w:val="16"/>
          <w:szCs w:val="16"/>
          <w:color w:val="auto"/>
        </w:rPr>
        <w:t>deducting estimated underwriting discounts and commissions and estimated offering expenses payable by us, and the application of the net proceeds from this</w:t>
      </w:r>
    </w:p>
    <w:p>
      <w:pPr>
        <w:spacing w:after="0" w:line="3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offering as described in "Use of Proceeds," our as adjusted net tangible book value as of December 31, 2017 would have been $ million, or $ per share. This represents an immediate increase in as adjusted net tangible book value per share of $ to existing stockholders and immediate dilution of</w:t>
      </w:r>
    </w:p>
    <w:p>
      <w:pPr>
        <w:ind w:left="620" w:hanging="612"/>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as adjusted net tangible book value per share to new investors purchasing common stock in this offering.</w:t>
      </w:r>
    </w:p>
    <w:p>
      <w:pPr>
        <w:spacing w:after="0" w:line="219"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Dilution per share to new investors is determined by subtracting as adjusted net tangible book value per share after this offering from the assumed initial public offering price per share paid by new investors. The following table illustrates this dilution on a per share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280" w:type="dxa"/>
            <w:vAlign w:val="bottom"/>
            <w:gridSpan w:val="3"/>
          </w:tcPr>
          <w:p>
            <w:pPr>
              <w:ind w:left="160"/>
              <w:spacing w:after="0"/>
              <w:rPr>
                <w:sz w:val="20"/>
                <w:szCs w:val="20"/>
                <w:color w:val="auto"/>
              </w:rPr>
            </w:pPr>
            <w:r>
              <w:rPr>
                <w:rFonts w:ascii="Arial" w:cs="Arial" w:eastAsia="Arial" w:hAnsi="Arial"/>
                <w:sz w:val="18"/>
                <w:szCs w:val="18"/>
                <w:color w:val="auto"/>
                <w:w w:val="98"/>
              </w:rPr>
              <w:t>Historical net tangible book value (deficit) per share as of December 31, 2017</w:t>
            </w:r>
          </w:p>
        </w:tc>
        <w:tc>
          <w:tcPr>
            <w:tcW w:w="7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70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88"/>
              </w:rPr>
              <w:t>Increase in as adjusted net tangible book value per share attributable to new investors purchasing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 in this offering</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9"/>
        </w:trPr>
        <w:tc>
          <w:tcPr>
            <w:tcW w:w="6240" w:type="dxa"/>
            <w:vAlign w:val="bottom"/>
            <w:gridSpan w:val="3"/>
          </w:tcPr>
          <w:p>
            <w:pPr>
              <w:ind w:left="114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116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Dilution per share to new investors purchasing shares in this offering</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6240" w:type="dxa"/>
            <w:vAlign w:val="bottom"/>
            <w:gridSpan w:val="3"/>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04"/>
        </w:trPr>
        <w:tc>
          <w:tcPr>
            <w:tcW w:w="6240" w:type="dxa"/>
            <w:vAlign w:val="bottom"/>
            <w:gridSpan w:val="3"/>
          </w:tcPr>
          <w:p>
            <w:pPr>
              <w:ind w:left="620"/>
              <w:spacing w:after="0"/>
              <w:rPr>
                <w:sz w:val="20"/>
                <w:szCs w:val="20"/>
                <w:color w:val="auto"/>
              </w:rPr>
            </w:pPr>
            <w:r>
              <w:rPr>
                <w:rFonts w:ascii="Arial" w:cs="Arial" w:eastAsia="Arial" w:hAnsi="Arial"/>
                <w:sz w:val="18"/>
                <w:szCs w:val="18"/>
                <w:color w:val="auto"/>
                <w:w w:val="92"/>
              </w:rPr>
              <w:t>A $1.00 increase or decrease in the assumed initial public offering price of $</w:t>
            </w:r>
          </w:p>
        </w:tc>
        <w:tc>
          <w:tcPr>
            <w:tcW w:w="5060" w:type="dxa"/>
            <w:vAlign w:val="bottom"/>
            <w:gridSpan w:val="10"/>
          </w:tcPr>
          <w:p>
            <w:pPr>
              <w:ind w:left="260"/>
              <w:spacing w:after="0"/>
              <w:rPr>
                <w:sz w:val="20"/>
                <w:szCs w:val="20"/>
                <w:color w:val="auto"/>
              </w:rPr>
            </w:pPr>
            <w:r>
              <w:rPr>
                <w:rFonts w:ascii="Arial" w:cs="Arial" w:eastAsia="Arial" w:hAnsi="Arial"/>
                <w:sz w:val="18"/>
                <w:szCs w:val="18"/>
                <w:color w:val="auto"/>
                <w:w w:val="91"/>
              </w:rPr>
              <w:t>per share, which is the midpoint of the price range set forth on the</w:t>
            </w: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w w:val="90"/>
              </w:rPr>
              <w:t>cover page of this prospectus, would increase or decrease our as adjusted net tangible book value by $</w:t>
            </w:r>
          </w:p>
        </w:tc>
        <w:tc>
          <w:tcPr>
            <w:tcW w:w="3860" w:type="dxa"/>
            <w:vAlign w:val="bottom"/>
            <w:gridSpan w:val="9"/>
          </w:tcPr>
          <w:p>
            <w:pPr>
              <w:ind w:left="260"/>
              <w:spacing w:after="0"/>
              <w:rPr>
                <w:sz w:val="20"/>
                <w:szCs w:val="20"/>
                <w:color w:val="auto"/>
              </w:rPr>
            </w:pPr>
            <w:r>
              <w:rPr>
                <w:rFonts w:ascii="Arial" w:cs="Arial" w:eastAsia="Arial" w:hAnsi="Arial"/>
                <w:sz w:val="18"/>
                <w:szCs w:val="18"/>
                <w:color w:val="auto"/>
                <w:w w:val="88"/>
              </w:rPr>
              <w:t>million, our as adjusted net tangible book value per</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share after this offering by $</w:t>
            </w:r>
          </w:p>
        </w:tc>
        <w:tc>
          <w:tcPr>
            <w:tcW w:w="5940" w:type="dxa"/>
            <w:vAlign w:val="bottom"/>
            <w:gridSpan w:val="3"/>
          </w:tcPr>
          <w:p>
            <w:pPr>
              <w:ind w:left="280"/>
              <w:spacing w:after="0"/>
              <w:rPr>
                <w:sz w:val="20"/>
                <w:szCs w:val="20"/>
                <w:color w:val="auto"/>
              </w:rPr>
            </w:pPr>
            <w:r>
              <w:rPr>
                <w:rFonts w:ascii="Arial" w:cs="Arial" w:eastAsia="Arial" w:hAnsi="Arial"/>
                <w:sz w:val="18"/>
                <w:szCs w:val="18"/>
                <w:color w:val="auto"/>
                <w:w w:val="91"/>
              </w:rPr>
              <w:t>and dilution per share to new investors purchasing shares in this offering by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6"/>
          </w:tcPr>
          <w:p>
            <w:pPr>
              <w:ind w:left="60"/>
              <w:spacing w:after="0"/>
              <w:rPr>
                <w:sz w:val="20"/>
                <w:szCs w:val="20"/>
                <w:color w:val="auto"/>
              </w:rPr>
            </w:pPr>
            <w:r>
              <w:rPr>
                <w:rFonts w:ascii="Arial" w:cs="Arial" w:eastAsia="Arial" w:hAnsi="Arial"/>
                <w:sz w:val="18"/>
                <w:szCs w:val="18"/>
                <w:color w:val="auto"/>
                <w:w w:val="92"/>
              </w:rPr>
              <w:t>, assuming that the number of shares</w:t>
            </w:r>
          </w:p>
        </w:tc>
      </w:tr>
    </w:tbl>
    <w:p>
      <w:pPr>
        <w:ind w:right="420"/>
        <w:spacing w:after="0" w:line="445"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and estimated offering expenses payable by us. An increase of 1,000,000 shares in the number of shares offered by us, as set forth on the cover page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prospectus, would increase the as adjusted net tangible book value per share after this offering by $ and decrease the dilution per share to new investors participating in this offering by $ , assuming no change in the assumed initial public offering price and after deducting estimated underwriting discounts</w:t>
      </w:r>
    </w:p>
    <w:p>
      <w:pPr>
        <w:spacing w:after="0"/>
        <w:rPr>
          <w:sz w:val="20"/>
          <w:szCs w:val="20"/>
          <w:color w:val="auto"/>
        </w:rPr>
      </w:pPr>
      <w:r>
        <w:rPr>
          <w:rFonts w:ascii="Arial" w:cs="Arial" w:eastAsia="Arial" w:hAnsi="Arial"/>
          <w:sz w:val="15"/>
          <w:szCs w:val="15"/>
          <w:color w:val="auto"/>
        </w:rPr>
        <w:t>and commissions and estimated offering expenses payable by us. A decrease of 1,000,000 shares in the number of shares offered by us, as set forth on the cover</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w w:val="90"/>
              </w:rPr>
              <w:t>page of this prospectus, would decrease the as adjusted net tangible book value per share after this offering by $</w:t>
            </w:r>
          </w:p>
        </w:tc>
        <w:tc>
          <w:tcPr>
            <w:tcW w:w="3300" w:type="dxa"/>
            <w:vAlign w:val="bottom"/>
          </w:tcPr>
          <w:p>
            <w:pPr>
              <w:ind w:left="280"/>
              <w:spacing w:after="0"/>
              <w:rPr>
                <w:sz w:val="20"/>
                <w:szCs w:val="20"/>
                <w:color w:val="auto"/>
              </w:rPr>
            </w:pPr>
            <w:r>
              <w:rPr>
                <w:rFonts w:ascii="Arial" w:cs="Arial" w:eastAsia="Arial" w:hAnsi="Arial"/>
                <w:sz w:val="18"/>
                <w:szCs w:val="18"/>
                <w:color w:val="auto"/>
                <w:w w:val="89"/>
              </w:rPr>
              <w:t>and increase the dilution per share to new</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8"/>
              </w:rPr>
              <w:t>investors participating in this offering by $</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w w:val="91"/>
              </w:rPr>
              <w:t>, assuming no change in the assumed initial public offering price and after deducting estimated underwriting</w:t>
            </w: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discounts and commissions and estimated offering expenses payable by us.</w:t>
            </w:r>
          </w:p>
        </w:tc>
        <w:tc>
          <w:tcPr>
            <w:tcW w:w="3300" w:type="dxa"/>
            <w:vAlign w:val="bottom"/>
          </w:tcPr>
          <w:p>
            <w:pPr>
              <w:spacing w:after="0"/>
              <w:rPr>
                <w:sz w:val="19"/>
                <w:szCs w:val="19"/>
                <w:color w:val="auto"/>
              </w:rPr>
            </w:pPr>
          </w:p>
        </w:tc>
      </w:tr>
      <w:tr>
        <w:trPr>
          <w:trHeight w:val="432"/>
        </w:trPr>
        <w:tc>
          <w:tcPr>
            <w:tcW w:w="3280" w:type="dxa"/>
            <w:vAlign w:val="bottom"/>
          </w:tcPr>
          <w:p>
            <w:pPr>
              <w:spacing w:after="0"/>
              <w:rPr>
                <w:sz w:val="24"/>
                <w:szCs w:val="24"/>
                <w:color w:val="auto"/>
              </w:rPr>
            </w:pPr>
          </w:p>
        </w:tc>
        <w:tc>
          <w:tcPr>
            <w:tcW w:w="4840" w:type="dxa"/>
            <w:vAlign w:val="bottom"/>
          </w:tcPr>
          <w:p>
            <w:pPr>
              <w:jc w:val="right"/>
              <w:ind w:right="2232"/>
              <w:spacing w:after="0"/>
              <w:rPr>
                <w:sz w:val="20"/>
                <w:szCs w:val="20"/>
                <w:color w:val="auto"/>
              </w:rPr>
            </w:pPr>
            <w:r>
              <w:rPr>
                <w:rFonts w:ascii="Arial" w:cs="Arial" w:eastAsia="Arial" w:hAnsi="Arial"/>
                <w:sz w:val="18"/>
                <w:szCs w:val="18"/>
                <w:color w:val="auto"/>
              </w:rPr>
              <w:t>81</w:t>
            </w:r>
          </w:p>
        </w:tc>
        <w:tc>
          <w:tcPr>
            <w:tcW w:w="3300" w:type="dxa"/>
            <w:vAlign w:val="bottom"/>
          </w:tcPr>
          <w:p>
            <w:pPr>
              <w:spacing w:after="0"/>
              <w:rPr>
                <w:sz w:val="24"/>
                <w:szCs w:val="24"/>
                <w:color w:val="auto"/>
              </w:rPr>
            </w:pPr>
          </w:p>
        </w:tc>
      </w:tr>
      <w:tr>
        <w:trPr>
          <w:trHeight w:val="228"/>
        </w:trPr>
        <w:tc>
          <w:tcPr>
            <w:tcW w:w="328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If the underwriters exercise their option to purchase additional shares in full, our as adjusted net tangible book value per share after this offering would</w:t>
      </w:r>
    </w:p>
    <w:p>
      <w:pPr>
        <w:spacing w:after="0" w:line="38" w:lineRule="exact"/>
        <w:rPr>
          <w:sz w:val="20"/>
          <w:szCs w:val="20"/>
          <w:color w:val="auto"/>
        </w:rPr>
      </w:pPr>
    </w:p>
    <w:p>
      <w:pPr>
        <w:spacing w:after="0"/>
        <w:tabs>
          <w:tab w:leader="none" w:pos="820" w:val="left"/>
          <w:tab w:leader="none" w:pos="8240" w:val="left"/>
        </w:tabs>
        <w:rPr>
          <w:sz w:val="20"/>
          <w:szCs w:val="20"/>
          <w:color w:val="auto"/>
        </w:rPr>
      </w:pPr>
      <w:r>
        <w:rPr>
          <w:rFonts w:ascii="Arial" w:cs="Arial" w:eastAsia="Arial" w:hAnsi="Arial"/>
          <w:sz w:val="18"/>
          <w:szCs w:val="18"/>
          <w:color w:val="auto"/>
        </w:rPr>
        <w:t>be $</w:t>
      </w:r>
      <w:r>
        <w:rPr>
          <w:sz w:val="20"/>
          <w:szCs w:val="20"/>
          <w:color w:val="auto"/>
        </w:rPr>
        <w:tab/>
      </w:r>
      <w:r>
        <w:rPr>
          <w:rFonts w:ascii="Arial" w:cs="Arial" w:eastAsia="Arial" w:hAnsi="Arial"/>
          <w:sz w:val="18"/>
          <w:szCs w:val="18"/>
          <w:color w:val="auto"/>
        </w:rPr>
        <w:t>per share, representing an immediate increase in as adjusted net tangible book value per share of $</w:t>
      </w:r>
      <w:r>
        <w:rPr>
          <w:sz w:val="20"/>
          <w:szCs w:val="20"/>
          <w:color w:val="auto"/>
        </w:rPr>
        <w:tab/>
      </w:r>
      <w:r>
        <w:rPr>
          <w:rFonts w:ascii="Arial" w:cs="Arial" w:eastAsia="Arial" w:hAnsi="Arial"/>
          <w:sz w:val="15"/>
          <w:szCs w:val="15"/>
          <w:color w:val="auto"/>
        </w:rPr>
        <w:t>to existing stockholders and immediate</w:t>
      </w:r>
    </w:p>
    <w:p>
      <w:pPr>
        <w:spacing w:after="0" w:line="9"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dilution in as adjusted net tangible book value per share of $</w:t>
      </w:r>
      <w:r>
        <w:rPr>
          <w:sz w:val="20"/>
          <w:szCs w:val="20"/>
          <w:color w:val="auto"/>
        </w:rPr>
        <w:tab/>
      </w:r>
      <w:r>
        <w:rPr>
          <w:rFonts w:ascii="Arial" w:cs="Arial" w:eastAsia="Arial" w:hAnsi="Arial"/>
          <w:sz w:val="16"/>
          <w:szCs w:val="16"/>
          <w:color w:val="auto"/>
        </w:rPr>
        <w:t>to new investors purchasing common stock in this offering, assuming an initial public offering</w:t>
      </w:r>
    </w:p>
    <w:p>
      <w:pPr>
        <w:spacing w:after="0" w:line="9"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price of $ per share, which is the midpoint of the price range set forth on the cover page of this prospectus, and after deducting estimated underwriting discounts and commissions and estimated offering expenses payable by us. If any shares are issued upon exercise of outstanding options, you will experience further dilution.</w:t>
      </w:r>
    </w:p>
    <w:p>
      <w:pPr>
        <w:spacing w:after="0" w:line="198" w:lineRule="exact"/>
        <w:rPr>
          <w:sz w:val="20"/>
          <w:szCs w:val="20"/>
          <w:color w:val="auto"/>
        </w:rPr>
      </w:pPr>
    </w:p>
    <w:p>
      <w:pPr>
        <w:ind w:right="60" w:firstLine="611"/>
        <w:spacing w:after="0" w:line="305" w:lineRule="auto"/>
        <w:rPr>
          <w:sz w:val="20"/>
          <w:szCs w:val="20"/>
          <w:color w:val="auto"/>
        </w:rPr>
      </w:pPr>
      <w:r>
        <w:rPr>
          <w:rFonts w:ascii="Arial" w:cs="Arial" w:eastAsia="Arial" w:hAnsi="Arial"/>
          <w:sz w:val="15"/>
          <w:szCs w:val="15"/>
          <w:color w:val="auto"/>
        </w:rPr>
        <w:t>The following table summarizes as of December 31, 2017, on the as adjusted basis described above, the number of shares of common stock purchased from us, the total consideration paid to us and the average price per share paid by existing stockholders and by new investors purchasing shares of common stock</w:t>
      </w:r>
    </w:p>
    <w:p>
      <w:pPr>
        <w:ind w:right="80"/>
        <w:spacing w:after="0" w:line="323" w:lineRule="auto"/>
        <w:rPr>
          <w:sz w:val="20"/>
          <w:szCs w:val="20"/>
          <w:color w:val="auto"/>
        </w:rPr>
      </w:pPr>
      <w:r>
        <w:rPr>
          <w:rFonts w:ascii="Arial" w:cs="Arial" w:eastAsia="Arial" w:hAnsi="Arial"/>
          <w:sz w:val="16"/>
          <w:szCs w:val="16"/>
          <w:color w:val="auto"/>
        </w:rPr>
        <w:t>in this offering. The calculation below is based on an assumed initial public offering price of $ per share, which is the midpoint of the price range set forth on the cover page of this prospectus, before deducting estimated underwriting discounts and commissions and estimated offering expenses payable by 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w w:val="86"/>
              </w:rPr>
              <w:t>Shares Purchased</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2"/>
              <w:spacing w:after="0"/>
              <w:rPr>
                <w:sz w:val="20"/>
                <w:szCs w:val="20"/>
                <w:color w:val="auto"/>
              </w:rPr>
            </w:pPr>
            <w:r>
              <w:rPr>
                <w:rFonts w:ascii="Arial" w:cs="Arial" w:eastAsia="Arial" w:hAnsi="Arial"/>
                <w:sz w:val="14"/>
                <w:szCs w:val="14"/>
                <w:b w:val="1"/>
                <w:bCs w:val="1"/>
                <w:color w:val="auto"/>
                <w:w w:val="88"/>
              </w:rPr>
              <w:t>Total Consideration</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Number</w:t>
            </w:r>
          </w:p>
        </w:tc>
        <w:tc>
          <w:tcPr>
            <w:tcW w:w="1360" w:type="dxa"/>
            <w:vAlign w:val="bottom"/>
            <w:gridSpan w:val="4"/>
            <w:vMerge w:val="restart"/>
          </w:tcPr>
          <w:p>
            <w:pPr>
              <w:jc w:val="center"/>
              <w:ind w:right="12"/>
              <w:spacing w:after="0"/>
              <w:rPr>
                <w:sz w:val="20"/>
                <w:szCs w:val="20"/>
                <w:color w:val="auto"/>
              </w:rPr>
            </w:pPr>
            <w:r>
              <w:rPr>
                <w:rFonts w:ascii="Arial" w:cs="Arial" w:eastAsia="Arial" w:hAnsi="Arial"/>
                <w:sz w:val="14"/>
                <w:szCs w:val="14"/>
                <w:b w:val="1"/>
                <w:bCs w:val="1"/>
                <w:color w:val="auto"/>
                <w:w w:val="85"/>
              </w:rPr>
              <w:t>Percent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160" w:type="dxa"/>
            <w:vAlign w:val="bottom"/>
            <w:gridSpan w:val="3"/>
            <w:vMerge w:val="restart"/>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89"/>
              </w:rPr>
              <w:t>Percent</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New investors</w:t>
            </w:r>
          </w:p>
        </w:tc>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520" w:type="dxa"/>
            <w:vAlign w:val="bottom"/>
            <w:shd w:val="clear" w:color="auto" w:fill="CCEEFF"/>
          </w:tcPr>
          <w:p>
            <w:pPr>
              <w:spacing w:after="0"/>
              <w:rPr>
                <w:sz w:val="18"/>
                <w:szCs w:val="18"/>
                <w:color w:val="auto"/>
              </w:rPr>
            </w:pPr>
          </w:p>
        </w:tc>
        <w:tc>
          <w:tcPr>
            <w:tcW w:w="2000" w:type="dxa"/>
            <w:vAlign w:val="bottom"/>
            <w:gridSpan w:val="6"/>
            <w:shd w:val="clear" w:color="auto" w:fill="CCEEFF"/>
          </w:tcPr>
          <w:p>
            <w:pPr>
              <w:jc w:val="right"/>
              <w:ind w:right="812"/>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020" w:type="dxa"/>
            <w:vAlign w:val="bottom"/>
            <w:gridSpan w:val="5"/>
          </w:tcPr>
          <w:p>
            <w:pPr>
              <w:ind w:left="620"/>
              <w:spacing w:after="0"/>
              <w:rPr>
                <w:sz w:val="20"/>
                <w:szCs w:val="20"/>
                <w:color w:val="auto"/>
              </w:rPr>
            </w:pPr>
            <w:r>
              <w:rPr>
                <w:rFonts w:ascii="Arial" w:cs="Arial" w:eastAsia="Arial" w:hAnsi="Arial"/>
                <w:sz w:val="18"/>
                <w:szCs w:val="18"/>
                <w:color w:val="auto"/>
                <w:w w:val="89"/>
              </w:rPr>
              <w:t>A $1.00 increase or decrease in the assumed initial public offering price of $</w:t>
            </w:r>
          </w:p>
        </w:tc>
        <w:tc>
          <w:tcPr>
            <w:tcW w:w="5300" w:type="dxa"/>
            <w:vAlign w:val="bottom"/>
            <w:gridSpan w:val="14"/>
          </w:tcPr>
          <w:p>
            <w:pPr>
              <w:ind w:left="480"/>
              <w:spacing w:after="0"/>
              <w:rPr>
                <w:sz w:val="20"/>
                <w:szCs w:val="20"/>
                <w:color w:val="auto"/>
              </w:rPr>
            </w:pPr>
            <w:r>
              <w:rPr>
                <w:rFonts w:ascii="Arial" w:cs="Arial" w:eastAsia="Arial" w:hAnsi="Arial"/>
                <w:sz w:val="18"/>
                <w:szCs w:val="18"/>
                <w:color w:val="auto"/>
                <w:w w:val="91"/>
              </w:rPr>
              <w:t>per share, which is the midpoint of the price range set forth on the</w:t>
            </w:r>
          </w:p>
        </w:tc>
        <w:tc>
          <w:tcPr>
            <w:tcW w:w="0" w:type="dxa"/>
            <w:vAlign w:val="bottom"/>
          </w:tcPr>
          <w:p>
            <w:pPr>
              <w:spacing w:after="0"/>
              <w:rPr>
                <w:sz w:val="1"/>
                <w:szCs w:val="1"/>
                <w:color w:val="auto"/>
              </w:rPr>
            </w:pPr>
          </w:p>
        </w:tc>
      </w:tr>
      <w:tr>
        <w:trPr>
          <w:trHeight w:val="216"/>
        </w:trPr>
        <w:tc>
          <w:tcPr>
            <w:tcW w:w="7600" w:type="dxa"/>
            <w:vAlign w:val="bottom"/>
            <w:gridSpan w:val="10"/>
          </w:tcPr>
          <w:p>
            <w:pPr>
              <w:spacing w:after="0"/>
              <w:rPr>
                <w:sz w:val="20"/>
                <w:szCs w:val="20"/>
                <w:color w:val="auto"/>
              </w:rPr>
            </w:pPr>
            <w:r>
              <w:rPr>
                <w:rFonts w:ascii="Arial" w:cs="Arial" w:eastAsia="Arial" w:hAnsi="Arial"/>
                <w:sz w:val="18"/>
                <w:szCs w:val="18"/>
                <w:color w:val="auto"/>
                <w:w w:val="87"/>
              </w:rPr>
              <w:t>cover page of this prospectus, would increase or decrease the total consideration paid by new investors by $</w:t>
            </w:r>
          </w:p>
        </w:tc>
        <w:tc>
          <w:tcPr>
            <w:tcW w:w="520" w:type="dxa"/>
            <w:vAlign w:val="bottom"/>
          </w:tcPr>
          <w:p>
            <w:pPr>
              <w:spacing w:after="0"/>
              <w:rPr>
                <w:sz w:val="18"/>
                <w:szCs w:val="18"/>
                <w:color w:val="auto"/>
              </w:rPr>
            </w:pPr>
          </w:p>
        </w:tc>
        <w:tc>
          <w:tcPr>
            <w:tcW w:w="3200" w:type="dxa"/>
            <w:vAlign w:val="bottom"/>
            <w:gridSpan w:val="8"/>
          </w:tcPr>
          <w:p>
            <w:pPr>
              <w:ind w:left="20"/>
              <w:spacing w:after="0"/>
              <w:rPr>
                <w:sz w:val="20"/>
                <w:szCs w:val="20"/>
                <w:color w:val="auto"/>
              </w:rPr>
            </w:pPr>
            <w:r>
              <w:rPr>
                <w:rFonts w:ascii="Arial" w:cs="Arial" w:eastAsia="Arial" w:hAnsi="Arial"/>
                <w:sz w:val="18"/>
                <w:szCs w:val="18"/>
                <w:color w:val="auto"/>
                <w:w w:val="88"/>
              </w:rPr>
              <w:t>million and, in the case of an increase, would</w:t>
            </w: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w w:val="91"/>
              </w:rPr>
              <w:t>increase the percentage of total consideration paid by new investors by</w:t>
            </w:r>
          </w:p>
        </w:tc>
        <w:tc>
          <w:tcPr>
            <w:tcW w:w="6120" w:type="dxa"/>
            <w:vAlign w:val="bottom"/>
            <w:gridSpan w:val="16"/>
          </w:tcPr>
          <w:p>
            <w:pPr>
              <w:ind w:left="220"/>
              <w:spacing w:after="0"/>
              <w:rPr>
                <w:sz w:val="20"/>
                <w:szCs w:val="20"/>
                <w:color w:val="auto"/>
              </w:rPr>
            </w:pPr>
            <w:r>
              <w:rPr>
                <w:rFonts w:ascii="Arial" w:cs="Arial" w:eastAsia="Arial" w:hAnsi="Arial"/>
                <w:sz w:val="18"/>
                <w:szCs w:val="18"/>
                <w:color w:val="auto"/>
                <w:w w:val="87"/>
              </w:rPr>
              <w:t>percentage points and, in the case of a decrease, would decrease the percentage of</w:t>
            </w: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w w:val="94"/>
              </w:rPr>
              <w:t>total consideration paid by new investors by</w:t>
            </w:r>
          </w:p>
        </w:tc>
        <w:tc>
          <w:tcPr>
            <w:tcW w:w="8020" w:type="dxa"/>
            <w:vAlign w:val="bottom"/>
            <w:gridSpan w:val="17"/>
          </w:tcPr>
          <w:p>
            <w:pPr>
              <w:ind w:left="200"/>
              <w:spacing w:after="0"/>
              <w:rPr>
                <w:sz w:val="20"/>
                <w:szCs w:val="20"/>
                <w:color w:val="auto"/>
              </w:rPr>
            </w:pPr>
            <w:r>
              <w:rPr>
                <w:rFonts w:ascii="Arial" w:cs="Arial" w:eastAsia="Arial" w:hAnsi="Arial"/>
                <w:sz w:val="18"/>
                <w:szCs w:val="18"/>
                <w:color w:val="auto"/>
                <w:w w:val="91"/>
              </w:rPr>
              <w:t>percentage points, assuming that the number of shares offered by us, as set forth on the cover page of this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prospectus, remains the same. An increase or decrease of 1,000,000 shares in the number of shares offered by us, as set forth on the cover page of this prospectus,</w:t>
      </w:r>
    </w:p>
    <w:p>
      <w:pPr>
        <w:spacing w:after="0" w:line="3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would increase or decrease the total consideration paid by new investors by $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w:t>
      </w:r>
    </w:p>
    <w:p>
      <w:pPr>
        <w:spacing w:after="0" w:line="194" w:lineRule="exact"/>
        <w:rPr>
          <w:sz w:val="20"/>
          <w:szCs w:val="20"/>
          <w:color w:val="auto"/>
        </w:rPr>
      </w:pPr>
    </w:p>
    <w:p>
      <w:pPr>
        <w:ind w:right="140" w:firstLine="611"/>
        <w:spacing w:after="0" w:line="286" w:lineRule="auto"/>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w:t>
      </w:r>
    </w:p>
    <w:p>
      <w:pPr>
        <w:ind w:right="120"/>
        <w:spacing w:after="0" w:line="261" w:lineRule="auto"/>
        <w:rPr>
          <w:sz w:val="20"/>
          <w:szCs w:val="20"/>
          <w:color w:val="auto"/>
        </w:rPr>
      </w:pPr>
      <w:r>
        <w:rPr>
          <w:rFonts w:ascii="Arial" w:cs="Arial" w:eastAsia="Arial" w:hAnsi="Arial"/>
          <w:sz w:val="18"/>
          <w:szCs w:val="18"/>
          <w:color w:val="auto"/>
        </w:rPr>
        <w:t>shares of our common stock outstanding after this offering, and the number of shares of common stock held by new investors participating in the offering would be increased to % of the total number of shares of our common stock outstanding after this offering.</w:t>
      </w:r>
    </w:p>
    <w:p>
      <w:pPr>
        <w:sectPr>
          <w:pgSz w:w="11900" w:h="16838" w:orient="portrait"/>
          <w:cols w:equalWidth="0" w:num="1">
            <w:col w:w="11400"/>
          </w:cols>
          <w:pgMar w:left="240" w:top="131" w:right="259" w:bottom="1440" w:gutter="0" w:footer="0" w:header="0"/>
        </w:sectPr>
      </w:pPr>
    </w:p>
    <w:p>
      <w:pPr>
        <w:spacing w:after="0" w:line="192"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number of shares purchased from us by existing stockholders is based on and excludes: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outstanding as of December 31, 2017,</w:t>
      </w:r>
    </w:p>
    <w:p>
      <w:pPr>
        <w:spacing w:after="0" w:line="488" w:lineRule="exact"/>
        <w:rPr>
          <w:sz w:val="20"/>
          <w:szCs w:val="20"/>
          <w:color w:val="auto"/>
        </w:rPr>
      </w:pPr>
    </w:p>
    <w:p>
      <w:pPr>
        <w:sectPr>
          <w:pgSz w:w="11900" w:h="16838" w:orient="portrait"/>
          <w:cols w:equalWidth="0" w:num="2">
            <w:col w:w="6060" w:space="520"/>
            <w:col w:w="4820"/>
          </w:cols>
          <w:pgMar w:left="240" w:top="131" w:right="259" w:bottom="1440" w:gutter="0" w:footer="0" w:header="0"/>
          <w:type w:val="continuous"/>
        </w:sectPr>
      </w:pPr>
    </w:p>
    <w:p>
      <w:pPr>
        <w:ind w:left="1620" w:hanging="1072"/>
        <w:spacing w:after="0"/>
        <w:tabs>
          <w:tab w:leader="none" w:pos="16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shares of our common stock issuable upon the exercise of stock options outstanding as of December 31, 2017, at a weighted average</w:t>
      </w:r>
    </w:p>
    <w:p>
      <w:pPr>
        <w:spacing w:after="0" w:line="50" w:lineRule="exact"/>
        <w:rPr>
          <w:sz w:val="20"/>
          <w:szCs w:val="20"/>
          <w:color w:val="auto"/>
        </w:rPr>
      </w:pPr>
    </w:p>
    <w:p>
      <w:pPr>
        <w:ind w:left="1080"/>
        <w:spacing w:after="0"/>
        <w:tabs>
          <w:tab w:leader="none" w:pos="288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5"/>
          <w:szCs w:val="15"/>
          <w:color w:val="auto"/>
        </w:rPr>
        <w:t>per share; and</w:t>
      </w:r>
    </w:p>
    <w:p>
      <w:pPr>
        <w:spacing w:after="0" w:line="246" w:lineRule="exact"/>
        <w:rPr>
          <w:sz w:val="20"/>
          <w:szCs w:val="20"/>
          <w:color w:val="auto"/>
        </w:rPr>
      </w:pPr>
    </w:p>
    <w:p>
      <w:pPr>
        <w:ind w:left="5620" w:right="960" w:hanging="5072"/>
        <w:spacing w:after="0" w:line="519" w:lineRule="auto"/>
        <w:tabs>
          <w:tab w:leader="none" w:pos="16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additional shares of our common stock remaining available for future issuance as of December 31, 2017 under our 2015 Plan.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or convertible debt securities in the future. See the section herein entitled "Risk Factors—If you purchase shares of common stock in this offering, you will suffer immediate dilution of your investment."</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The following tables set forth our selected consolidated financial data for the period indicated. We have derived the consolidated statements of operations data for the years ended December 31, 2016 and 2017 and the consolidated balance sheet data as of December 31, 2016 and December 31, 2017 from our audited consolidated financial statements included elsewhere in this prospectus. Our historical results are not necessarily indicative of the results that should be expected for any future period. You should read the following selected consolidated financial data together with the more detailed information contained in "Management's Discussion and Analysis of Financial Condition and Results of Operations" and our consolidated financial statements and the related notes included elsewhere in this prospectus.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6"/>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 thousands, except per 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left="537"/>
              <w:spacing w:after="0"/>
              <w:rPr>
                <w:sz w:val="20"/>
                <w:szCs w:val="20"/>
                <w:color w:val="auto"/>
              </w:rPr>
            </w:pPr>
            <w:r>
              <w:rPr>
                <w:rFonts w:ascii="Arial" w:cs="Arial" w:eastAsia="Arial" w:hAnsi="Arial"/>
                <w:sz w:val="14"/>
                <w:szCs w:val="14"/>
                <w:b w:val="1"/>
                <w:bCs w:val="1"/>
                <w:color w:val="auto"/>
                <w:w w:val="89"/>
              </w:rPr>
              <w:t>data)</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8"/>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(17,039)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(17,057)</w:t>
            </w:r>
          </w:p>
        </w:tc>
        <w:tc>
          <w:tcPr>
            <w:tcW w:w="7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Net loss per share attributable to common stockholders—basic and diluted</w:t>
            </w:r>
            <w:r>
              <w:rPr>
                <w:rFonts w:ascii="Arial" w:cs="Arial" w:eastAsia="Arial" w:hAnsi="Arial"/>
                <w:sz w:val="27"/>
                <w:szCs w:val="27"/>
                <w:color w:val="auto"/>
                <w:vertAlign w:val="superscript"/>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7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88"/>
              </w:rPr>
              <w:t>Weighted-average common shares outstanding used in computing net loss per share attributable</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6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to common stockholders—basic and diluted</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14,087,456</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 adjusted net loss per share—basic and diluted (unaudited)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8"/>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88"/>
              </w:rPr>
              <w:t>As adjusted weighted average common shares outstanding used in computing net loss per share</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—basic and diluted (unaudited)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60" w:hanging="531"/>
        <w:spacing w:after="0" w:line="239" w:lineRule="auto"/>
        <w:tabs>
          <w:tab w:leader="none" w:pos="16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See Note 4 to our to consolidated financial statements included elsewhere in this prospectus for an explanation of the method used to calculate the historical basic and diluted net loss per common share and the weighted average number of shares used in the computation of the per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0" w:type="dxa"/>
            <w:vAlign w:val="bottom"/>
            <w:gridSpan w:val="6"/>
          </w:tcPr>
          <w:p>
            <w:pPr>
              <w:jc w:val="center"/>
              <w:ind w:right="1320"/>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0" w:type="dxa"/>
            <w:vAlign w:val="bottom"/>
            <w:gridSpan w:val="6"/>
          </w:tcPr>
          <w:p>
            <w:pPr>
              <w:jc w:val="center"/>
              <w:ind w:right="1320"/>
              <w:spacing w:after="0" w:line="142" w:lineRule="exact"/>
              <w:rPr>
                <w:sz w:val="20"/>
                <w:szCs w:val="20"/>
                <w:color w:val="auto"/>
              </w:rPr>
            </w:pPr>
            <w:r>
              <w:rPr>
                <w:rFonts w:ascii="Arial" w:cs="Arial" w:eastAsia="Arial" w:hAnsi="Arial"/>
                <w:sz w:val="14"/>
                <w:szCs w:val="14"/>
                <w:b w:val="1"/>
                <w:bCs w:val="1"/>
                <w:color w:val="auto"/>
                <w:w w:val="87"/>
              </w:rPr>
              <w:t>(in thousands)</w:t>
            </w: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3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  16,875</w:t>
            </w:r>
          </w:p>
        </w:tc>
        <w:tc>
          <w:tcPr>
            <w:tcW w:w="100" w:type="dxa"/>
            <w:vAlign w:val="bottom"/>
          </w:tcPr>
          <w:p>
            <w:pPr>
              <w:spacing w:after="0"/>
              <w:rPr>
                <w:sz w:val="18"/>
                <w:szCs w:val="18"/>
                <w:color w:val="auto"/>
              </w:rPr>
            </w:pPr>
          </w:p>
        </w:tc>
        <w:tc>
          <w:tcPr>
            <w:tcW w:w="64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42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4040" w:type="dxa"/>
            <w:vAlign w:val="bottom"/>
            <w:gridSpan w:val="3"/>
          </w:tcPr>
          <w:p>
            <w:pPr>
              <w:jc w:val="right"/>
              <w:ind w:right="40"/>
              <w:spacing w:after="0"/>
              <w:rPr>
                <w:sz w:val="20"/>
                <w:szCs w:val="20"/>
                <w:color w:val="auto"/>
              </w:rPr>
            </w:pPr>
            <w:r>
              <w:rPr>
                <w:rFonts w:ascii="Arial" w:cs="Arial" w:eastAsia="Arial" w:hAnsi="Arial"/>
                <w:sz w:val="18"/>
                <w:szCs w:val="18"/>
                <w:color w:val="auto"/>
              </w:rPr>
              <w:t>(22,400)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371"/>
        </w:trPr>
        <w:tc>
          <w:tcPr>
            <w:tcW w:w="1500" w:type="dxa"/>
            <w:vAlign w:val="bottom"/>
            <w:gridSpan w:val="2"/>
          </w:tcPr>
          <w:p>
            <w:pPr>
              <w:ind w:left="1140"/>
              <w:spacing w:after="0"/>
              <w:rPr>
                <w:sz w:val="20"/>
                <w:szCs w:val="20"/>
                <w:color w:val="auto"/>
              </w:rPr>
            </w:pPr>
            <w:r>
              <w:rPr>
                <w:rFonts w:ascii="Arial" w:cs="Arial" w:eastAsia="Arial" w:hAnsi="Arial"/>
                <w:sz w:val="14"/>
                <w:szCs w:val="14"/>
                <w:color w:val="auto"/>
              </w:rPr>
              <w:t>(1)</w:t>
            </w:r>
          </w:p>
        </w:tc>
        <w:tc>
          <w:tcPr>
            <w:tcW w:w="3940" w:type="dxa"/>
            <w:vAlign w:val="bottom"/>
            <w:gridSpan w:val="2"/>
          </w:tcPr>
          <w:p>
            <w:pPr>
              <w:ind w:left="180"/>
              <w:spacing w:after="0"/>
              <w:rPr>
                <w:sz w:val="20"/>
                <w:szCs w:val="20"/>
                <w:color w:val="auto"/>
              </w:rPr>
            </w:pPr>
            <w:r>
              <w:rPr>
                <w:rFonts w:ascii="Arial" w:cs="Arial" w:eastAsia="Arial" w:hAnsi="Arial"/>
                <w:sz w:val="14"/>
                <w:szCs w:val="14"/>
                <w:color w:val="auto"/>
                <w:w w:val="91"/>
              </w:rPr>
              <w:t>We define working capital as current assets less current liabilities.</w:t>
            </w:r>
          </w:p>
        </w:tc>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180" w:type="dxa"/>
            <w:vAlign w:val="bottom"/>
          </w:tcPr>
          <w:p>
            <w:pPr>
              <w:jc w:val="right"/>
              <w:ind w:right="2732"/>
              <w:spacing w:after="0"/>
              <w:rPr>
                <w:sz w:val="20"/>
                <w:szCs w:val="20"/>
                <w:color w:val="auto"/>
              </w:rPr>
            </w:pPr>
            <w:r>
              <w:rPr>
                <w:rFonts w:ascii="Arial" w:cs="Arial" w:eastAsia="Arial" w:hAnsi="Arial"/>
                <w:sz w:val="18"/>
                <w:szCs w:val="18"/>
                <w:color w:val="auto"/>
              </w:rPr>
              <w:t>84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9" w:lineRule="exact"/>
        <w:rPr>
          <w:sz w:val="20"/>
          <w:szCs w:val="20"/>
          <w:color w:val="auto"/>
        </w:rPr>
      </w:pPr>
    </w:p>
    <w:p>
      <w:pPr>
        <w:ind w:right="180" w:firstLine="615"/>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accompanying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For convenience of presentation some of the numbers have been rounded in the text below.</w:t>
      </w:r>
    </w:p>
    <w:p>
      <w:pPr>
        <w:spacing w:after="0" w:line="16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R/R high-risk NB, and radiolabeled omburtamab for the treatment of pediatric patients with CNS/LM,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4"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We expect to submit a BLA for each of our two lead product candidates in 2018, with a goal of receiving approval by the FDA in 2019. We plan to commercialize both of our lead product candidates in the United States as soon as possible after obtaining FDA approval, if such approval occurs. Additionally, we have two omburtamab follow-on product candidates in pre-clinical development, omburtamab-DTPA and hu-omburtamab, a humanized version of omburtamab, each targeting indications with large adult patient populations. We are also advancing an early-stage, novel pipeline of BsAbs. We believe our BsAbs have the potential to result in improved tumor-binding, longer serum half-life, lower immunogenicity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2"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Since our inception in April 2015, we have devoted substantially all of our resources to organizing and staffing our company, business planning, identifying potential product candidates, conducting pre-clinical studies of our product candidates and clinical trials of our lead product candidates, raising capital, and acquiring and developing our technology platform among other matters. We do not have any products approved for sale and have not generated any revenues from product sales. To date, we have financed our operations primarily through private placements of our securities. We have received aggregate gross proceeds of $119.6 million through December 31, 2017 from the sale and issuance of our common stock.</w:t>
      </w:r>
    </w:p>
    <w:p>
      <w:pPr>
        <w:spacing w:after="0" w:line="170" w:lineRule="exact"/>
        <w:rPr>
          <w:sz w:val="20"/>
          <w:szCs w:val="20"/>
          <w:color w:val="auto"/>
        </w:rPr>
      </w:pPr>
    </w:p>
    <w:p>
      <w:pPr>
        <w:ind w:right="300" w:firstLine="605"/>
        <w:spacing w:after="0" w:line="259" w:lineRule="auto"/>
        <w:rPr>
          <w:sz w:val="20"/>
          <w:szCs w:val="20"/>
          <w:color w:val="auto"/>
        </w:rPr>
      </w:pPr>
      <w:r>
        <w:rPr>
          <w:rFonts w:ascii="Arial" w:cs="Arial" w:eastAsia="Arial" w:hAnsi="Arial"/>
          <w:sz w:val="18"/>
          <w:szCs w:val="18"/>
          <w:color w:val="auto"/>
        </w:rPr>
        <w:t>As of December 31, 2017, we had an accumulated deficit of $ million. Our net losses were $17.1 million and $ for the years ended December 31, 2016 and 2017, respectively. We have incurred significant net operating losses in every year since our inception and expect to continue to incur increasing net operating losses and significant expenses for the foreseeable future. Our net losses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fluctuate significantly from quarter to quarter and year to year. We anticipate that our expenses will increase significantly as we:</w:t>
      </w:r>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to advance our lead product candidates through pivotal stage development towards registration;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pre-clinical and clinical development;</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we identify;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incur additional costs associated with operating as a public company, including expanding our operational, finance and management teams.</w:t>
      </w:r>
    </w:p>
    <w:p>
      <w:pPr>
        <w:spacing w:after="0" w:line="248"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believe that our cash on hand together with the net proceeds from this offering will be sufficient to fund our operations through February 2020. We do not expect to generate revenues from product sales unless and until we successfully complete development and obtain regulatory approval for a product candidate, which is subject to significant uncertainty and may never occur. Although no assurance can be given, our goal is to complete the development of our lead product candidates, naxitamab for the treatment of pediatric R/R high-risk NB, and omburtamab for the treatment of CNS/LM from NB, by the end of 2019. Additionally, we currently use CROs, and contract manufacturing organizations, or CMOs, to carry out our pre-clinical and clinical development activities and we do not yet have a sales organization.</w:t>
      </w:r>
    </w:p>
    <w:p>
      <w:pPr>
        <w:spacing w:after="0" w:line="198" w:lineRule="exact"/>
        <w:rPr>
          <w:sz w:val="20"/>
          <w:szCs w:val="20"/>
          <w:color w:val="auto"/>
        </w:rPr>
      </w:pPr>
    </w:p>
    <w:p>
      <w:pPr>
        <w:ind w:right="120" w:firstLine="615"/>
        <w:spacing w:after="0" w:line="289" w:lineRule="auto"/>
        <w:rPr>
          <w:sz w:val="20"/>
          <w:szCs w:val="20"/>
          <w:color w:val="auto"/>
        </w:rPr>
      </w:pPr>
      <w:r>
        <w:rPr>
          <w:rFonts w:ascii="Arial" w:cs="Arial" w:eastAsia="Arial" w:hAnsi="Arial"/>
          <w:sz w:val="16"/>
          <w:szCs w:val="16"/>
          <w:color w:val="auto"/>
        </w:rPr>
        <w:t>Moreover, pursuant to the MSK License, we have obtained exclusive rights to MSK's rights in our current product candidates. Under the MSK License, we have committed to funding scientific research and conducting certain clinical trial actitivities at MSK through 2020.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MDSA, and two separate CFSAs. Also under our MCTA with MSK, we will provide drug product and funding for certain clinical trials at MSK. These MSK agreements are important to our business. For a more detailed discussion of the terms and conditions of these agreements, see the section herein entitled "Business—Intellectual Property—MSK Agreements."</w:t>
      </w:r>
    </w:p>
    <w:p>
      <w:pPr>
        <w:spacing w:after="0" w:line="172"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If we obtain regulatory approval for our product candidates, we expect to incur significant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 associated with the development of our existing product candidates and any future product candidates, our platform and technology and because the extent to which we may enter into collaborations with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third parties for development of any of our product candidates is unknown,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To date, we have not generated any revenue from product sales and do not expect to do so in the near future. We expect that we will experience increasing losses as we continue our development of, and seek regulatory approvals for, our product candidates and begin to commercialize any approved products. Our ability to generate revenue for each product candidate for which we receive regulatory approval, if any, will depend on numerous factors, including reimbursement, coverage, competition, commercial manufacturing capability and market acceptance of such approved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Research and development expenses consist of expenses incurred in connection with the discovery and development of our product candidates. We expense research and development costs as incurred. These expenses include:</w:t>
      </w:r>
    </w:p>
    <w:p>
      <w:pPr>
        <w:spacing w:after="0" w:line="199" w:lineRule="exact"/>
        <w:rPr>
          <w:sz w:val="20"/>
          <w:szCs w:val="20"/>
          <w:color w:val="auto"/>
        </w:rPr>
      </w:pPr>
    </w:p>
    <w:p>
      <w:pPr>
        <w:ind w:left="1080" w:right="5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sponsored research, laboratory facility services, clinical trial and data service at MSK under our SRA, our two CFSAs, our MCTA, and our MDSA, with MSK;</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non-clinical studies and pre-clinical and clinical trials;</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incurred under agreement with CMOs, including manufacturing scale-up expenses and the cost of acquiring and manufacturing pre-clinical and clinical trial materials, including manufacturing validation batches;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upfront and milestone and other payments due under our third-party licensing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travel and 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 including rent, insurance, supplies and maintenance expenses, and other operating costs.</w:t>
      </w:r>
    </w:p>
    <w:p>
      <w:pPr>
        <w:spacing w:after="0" w:line="186"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naxitamab and omburtamab or any future product candidates we may develop. This uncertainty is due to the numerous risks and uncertainties associated with the duration and cost of clinical trials, which vary significantly over the life of a project as a result of many factors, including:</w:t>
      </w:r>
    </w:p>
    <w:p>
      <w:pPr>
        <w:spacing w:after="0" w:line="180"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availability and length of time required to enroll a sufficient number of suitable patients in our clinical trials;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non-U.S. regulatory authority;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pacing w:after="0" w:line="225"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Our expenditures are subject to additional uncertainties, including the terms and timing of regulatory approvals. We may never succeed in achieving regulatory approval for naxitamab, omburtamab or any other product candidates we may develop.</w:t>
      </w:r>
    </w:p>
    <w:p>
      <w:pPr>
        <w:spacing w:after="0" w:line="186" w:lineRule="exact"/>
        <w:rPr>
          <w:sz w:val="20"/>
          <w:szCs w:val="20"/>
          <w:color w:val="auto"/>
        </w:rPr>
      </w:pPr>
    </w:p>
    <w:p>
      <w:pPr>
        <w:ind w:right="100" w:firstLine="605"/>
        <w:spacing w:after="0" w:line="255"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97"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like naxitamab and omburtamab,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clinical trials and potentially prepare regulatory filings for naxitamab and omburtamab.</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General and administrative expenses consist primarily of employee related expenses, including salaries, bonus, benefits, and stock-based compensation expenses for personnel in executive, finance and administrative functions. Other significant costs include facility costs not otherwise included in research and development expenses, legal fees relating to corporate matters, and fees for patent, accounting, tax, and consulting services.</w:t>
      </w:r>
    </w:p>
    <w:p>
      <w:pPr>
        <w:spacing w:after="0" w:line="161"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potential commercialization of our product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candidates and increased costs associated with operating as a public company, including expenses related to services associated with maintaining compliance with exchange listing and the SEC requirements, regulatory expenses, director and officer insurance costs and investor and public relations costs. These increases will likely include increased costs related to the hiring of additional personnel and fees to outside consultants, lawyers and accountants, among other expenses.</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1"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80" w:firstLine="611"/>
        <w:spacing w:after="0" w:line="33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to be most critical to the judgments and estimates used in the preparation of our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0" w:firstLine="611"/>
        <w:spacing w:after="0" w:line="29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Estimates are periodically reviewed in light of changes in circumstances, facts and experience. Changes in estimates are recorded in the period in which they become known. Actual results could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0"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We prepare and file tax returns based on its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policy is to recognize, when applicable, interest and penalties on uncertain tax positions as part of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60" w:firstLine="611"/>
        <w:spacing w:after="0" w:line="335" w:lineRule="auto"/>
        <w:rPr>
          <w:sz w:val="20"/>
          <w:szCs w:val="20"/>
          <w:color w:val="auto"/>
        </w:rPr>
      </w:pPr>
      <w:r>
        <w:rPr>
          <w:rFonts w:ascii="Arial" w:cs="Arial" w:eastAsia="Arial" w:hAnsi="Arial"/>
          <w:sz w:val="15"/>
          <w:szCs w:val="15"/>
          <w:color w:val="auto"/>
        </w:rPr>
        <w:t>We measure stock options granted to employees and directors based on the fair value on the date of the grant and recognize compensation expense of those awards, over the requisite service period, which is the vesting period of the respective award. Forfeitures are accounted for as they occur. We issue stock options with only service-based vesting conditions and record the expense for these awards using the straight-line method over the requisite service period.</w:t>
      </w:r>
    </w:p>
    <w:p>
      <w:pPr>
        <w:spacing w:after="0" w:line="142" w:lineRule="exact"/>
        <w:rPr>
          <w:sz w:val="20"/>
          <w:szCs w:val="20"/>
          <w:color w:val="auto"/>
        </w:rPr>
      </w:pPr>
    </w:p>
    <w:p>
      <w:pPr>
        <w:jc w:val="both"/>
        <w:ind w:right="20" w:firstLine="615"/>
        <w:spacing w:after="0" w:line="306" w:lineRule="auto"/>
        <w:rPr>
          <w:sz w:val="20"/>
          <w:szCs w:val="20"/>
          <w:color w:val="auto"/>
        </w:rPr>
      </w:pPr>
      <w:r>
        <w:rPr>
          <w:rFonts w:ascii="Arial" w:cs="Arial" w:eastAsia="Arial" w:hAnsi="Arial"/>
          <w:sz w:val="16"/>
          <w:szCs w:val="16"/>
          <w:color w:val="auto"/>
        </w:rPr>
        <w:t>For share-based awards granted to non-employees, compensation expense is recognized over the period during which services are rendered by such non-employees until completed. At the end of each financial reporting period prior to completion of the service, the fair value of these awards is remeasured using the then-current fair value of our shares of common stock and updated assumption inputs in the Black-Scholes option-pricing model.</w:t>
      </w:r>
    </w:p>
    <w:p>
      <w:pPr>
        <w:spacing w:after="0" w:line="161"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the historical volatility of a group of publicly-traded peer companies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Common Stock</w:t>
      </w:r>
    </w:p>
    <w:p>
      <w:pPr>
        <w:spacing w:after="0" w:line="225"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there has been no public market for our common stock to date, the estimated fair value of our common stock has been determined by our board of directors as of the date of each award grant, with input from management, considering our most recently completed or ongoing private placement activities, which resulted in estimated fair value of our common stock of $0.20 per share as of June 6, 2015; $4.38 per share as of May 20, 2016; $4.38 per share as of October 21, 2016; $4.38 per share as of August 22, 2016; $8.50 per share as of December 14, 2016; $9.35 per share as of September 13, 2017; and $9.35 per share as of December 5, 2017. In addition to considering the results of such recently completed or ongoing private placements, our board of directors considered various objective and subjective factors to determine the fair value of our common stock as of each grant date including:</w:t>
      </w:r>
    </w:p>
    <w:p>
      <w:pPr>
        <w:spacing w:after="0" w:line="188"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progress of our research and development programs, including the status of pre-clinical studies and clinical trials for our product candidates;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material risks related to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analysis of IPOs and the market performance of similar companies in the biopharmaceutical industry.</w:t>
      </w:r>
    </w:p>
    <w:p>
      <w:pPr>
        <w:spacing w:after="0" w:line="225" w:lineRule="exact"/>
        <w:rPr>
          <w:sz w:val="20"/>
          <w:szCs w:val="20"/>
          <w:color w:val="auto"/>
        </w:rPr>
      </w:pPr>
    </w:p>
    <w:p>
      <w:pPr>
        <w:jc w:val="both"/>
        <w:ind w:right="680" w:firstLine="611"/>
        <w:spacing w:after="0" w:line="259"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Following the completion of this offering, the fair value of our common stock will be determined based on the quoted market price of our common stock.</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Stock Options Granted</w:t>
      </w:r>
    </w:p>
    <w:p>
      <w:pPr>
        <w:spacing w:after="0" w:line="225" w:lineRule="exact"/>
        <w:rPr>
          <w:sz w:val="20"/>
          <w:szCs w:val="20"/>
          <w:color w:val="auto"/>
        </w:rPr>
      </w:pPr>
    </w:p>
    <w:p>
      <w:pPr>
        <w:ind w:right="120" w:firstLine="611"/>
        <w:spacing w:after="0" w:line="332" w:lineRule="auto"/>
        <w:rPr>
          <w:sz w:val="20"/>
          <w:szCs w:val="20"/>
          <w:color w:val="auto"/>
        </w:rPr>
      </w:pPr>
      <w:r>
        <w:rPr>
          <w:rFonts w:ascii="Arial" w:cs="Arial" w:eastAsia="Arial" w:hAnsi="Arial"/>
          <w:sz w:val="16"/>
          <w:szCs w:val="16"/>
          <w:color w:val="auto"/>
        </w:rPr>
        <w:t>The following table sets forth by grant date the number of shares of common stock subject to options granted in 2016, the per share exercise price of the options, the fair value per share of common stock on each grant date, and the per share estimated fair value of the options: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6"/>
              </w:rPr>
              <w:t>Type of</w:t>
            </w:r>
          </w:p>
        </w:tc>
        <w:tc>
          <w:tcPr>
            <w:tcW w:w="1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5"/>
              </w:rPr>
              <w:t>Per Share on</w:t>
            </w:r>
          </w:p>
        </w:tc>
        <w:tc>
          <w:tcPr>
            <w:tcW w:w="0" w:type="dxa"/>
            <w:vAlign w:val="bottom"/>
          </w:tcPr>
          <w:p>
            <w:pPr>
              <w:spacing w:after="0"/>
              <w:rPr>
                <w:sz w:val="1"/>
                <w:szCs w:val="1"/>
                <w:color w:val="auto"/>
              </w:rPr>
            </w:pPr>
          </w:p>
        </w:tc>
      </w:tr>
      <w:tr>
        <w:trPr>
          <w:trHeight w:val="161"/>
        </w:trPr>
        <w:tc>
          <w:tcPr>
            <w:tcW w:w="4080" w:type="dxa"/>
            <w:vAlign w:val="bottom"/>
            <w:gridSpan w:val="3"/>
          </w:tcPr>
          <w:p>
            <w:pPr>
              <w:ind w:left="1140"/>
              <w:spacing w:after="0"/>
              <w:rPr>
                <w:sz w:val="20"/>
                <w:szCs w:val="20"/>
                <w:color w:val="auto"/>
              </w:rPr>
            </w:pPr>
            <w:r>
              <w:rPr>
                <w:rFonts w:ascii="Arial" w:cs="Arial" w:eastAsia="Arial" w:hAnsi="Arial"/>
                <w:sz w:val="14"/>
                <w:szCs w:val="14"/>
                <w:b w:val="1"/>
                <w:bCs w:val="1"/>
                <w:color w:val="auto"/>
              </w:rPr>
              <w:t>Grant Date</w:t>
            </w:r>
          </w:p>
        </w:tc>
        <w:tc>
          <w:tcPr>
            <w:tcW w:w="226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Award</w:t>
            </w:r>
          </w:p>
        </w:tc>
        <w:tc>
          <w:tcPr>
            <w:tcW w:w="18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 2016</w:t>
            </w:r>
          </w:p>
        </w:tc>
        <w:tc>
          <w:tcPr>
            <w:tcW w:w="282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Option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August 22, 2016</w:t>
            </w: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Option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21, 2016</w:t>
            </w:r>
          </w:p>
        </w:tc>
        <w:tc>
          <w:tcPr>
            <w:tcW w:w="282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Option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December 14, 2016</w:t>
            </w: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Option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60" w:type="dxa"/>
            <w:vAlign w:val="bottom"/>
          </w:tcPr>
          <w:p>
            <w:pPr>
              <w:ind w:left="1540"/>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right="160" w:firstLine="611"/>
        <w:spacing w:after="0" w:line="268"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and the following assumptions, presented on a weighted average basis: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4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560" w:type="dxa"/>
            <w:vAlign w:val="bottom"/>
          </w:tcPr>
          <w:p>
            <w:pPr>
              <w:spacing w:after="0"/>
              <w:rPr>
                <w:sz w:val="14"/>
                <w:szCs w:val="14"/>
                <w:color w:val="auto"/>
              </w:rPr>
            </w:pPr>
          </w:p>
        </w:tc>
        <w:tc>
          <w:tcPr>
            <w:tcW w:w="14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1080" w:right="4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assumption is based on the U.S. Treasury instruments whose terms were consistent with the expected option term of our stock options.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99" w:lineRule="exact"/>
        <w:rPr>
          <w:rFonts w:ascii="Arial" w:cs="Arial" w:eastAsia="Arial" w:hAnsi="Arial"/>
          <w:sz w:val="18"/>
          <w:szCs w:val="18"/>
          <w:color w:val="auto"/>
        </w:rPr>
      </w:pPr>
    </w:p>
    <w:p>
      <w:pPr>
        <w:jc w:val="both"/>
        <w:ind w:left="1080" w:right="14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Expected Volatility: The expected stock price volatility is estimated by taking the average historic price volatility of industry peers and adjusting for differences in our life cycle and financing leverage. Our industry peers consist of several public companies in the biopharmaceutical industry.</w:t>
      </w:r>
    </w:p>
    <w:p>
      <w:pPr>
        <w:spacing w:after="0" w:line="152" w:lineRule="exact"/>
        <w:rPr>
          <w:rFonts w:ascii="Arial" w:cs="Arial" w:eastAsia="Arial" w:hAnsi="Arial"/>
          <w:sz w:val="16"/>
          <w:szCs w:val="16"/>
          <w:color w:val="auto"/>
        </w:rPr>
      </w:pPr>
    </w:p>
    <w:p>
      <w:pPr>
        <w:ind w:left="1080" w:right="60" w:hanging="532"/>
        <w:spacing w:after="0" w:line="306"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Expected life: We determine the average expected life of stock options based on the simplified method in accordance with SEC Staff Accounting Bulletin Nos. 107 and 110, as our common stock to date has not been publicly traded. We expect to continue to use the simplified method until we have sufficient historical exercise data to provide a reasonable basis upon which to estimate expected term.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2017:</w:t>
      </w:r>
    </w:p>
    <w:p>
      <w:pPr>
        <w:spacing w:after="0" w:line="221" w:lineRule="exact"/>
        <w:rPr>
          <w:sz w:val="20"/>
          <w:szCs w:val="20"/>
          <w:color w:val="auto"/>
        </w:rPr>
      </w:pPr>
    </w:p>
    <w:p>
      <w:pPr>
        <w:jc w:val="center"/>
        <w:ind w:left="4560"/>
        <w:spacing w:after="0"/>
        <w:rPr>
          <w:sz w:val="20"/>
          <w:szCs w:val="20"/>
          <w:color w:val="auto"/>
        </w:rPr>
      </w:pPr>
      <w:r>
        <w:rPr>
          <w:rFonts w:ascii="Arial" w:cs="Arial" w:eastAsia="Arial" w:hAnsi="Arial"/>
          <w:sz w:val="14"/>
          <w:szCs w:val="14"/>
          <w:b w:val="1"/>
          <w:bCs w:val="1"/>
          <w:color w:val="auto"/>
        </w:rPr>
        <w:t>Year Ended</w:t>
      </w:r>
    </w:p>
    <w:p>
      <w:pPr>
        <w:jc w:val="center"/>
        <w:ind w:left="4560"/>
        <w:spacing w:after="0" w:line="22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Change</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jc w:val="right"/>
              <w:ind w:right="312"/>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13,855</w:t>
            </w:r>
          </w:p>
        </w:tc>
        <w:tc>
          <w:tcPr>
            <w:tcW w:w="120" w:type="dxa"/>
            <w:vAlign w:val="bottom"/>
          </w:tcPr>
          <w:p>
            <w:pPr>
              <w:spacing w:after="0"/>
              <w:rPr>
                <w:sz w:val="18"/>
                <w:szCs w:val="18"/>
                <w:color w:val="auto"/>
              </w:rPr>
            </w:pPr>
          </w:p>
        </w:tc>
        <w:tc>
          <w:tcPr>
            <w:tcW w:w="70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(17,039)</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(17,057)</w:t>
            </w:r>
          </w:p>
        </w:tc>
        <w:tc>
          <w:tcPr>
            <w:tcW w:w="7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60" w:type="dxa"/>
            <w:vAlign w:val="bottom"/>
            <w:vMerge w:val="restart"/>
          </w:tcPr>
          <w:p>
            <w:pPr>
              <w:jc w:val="right"/>
              <w:ind w:right="1312"/>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51"/>
        </w:trPr>
        <w:tc>
          <w:tcPr>
            <w:tcW w:w="29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9"/>
              </w:rPr>
              <w:t>Research and Development Expenses</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26"/>
        </w:trPr>
        <w:tc>
          <w:tcPr>
            <w:tcW w:w="360" w:type="dxa"/>
            <w:vAlign w:val="bottom"/>
          </w:tcPr>
          <w:p>
            <w:pPr>
              <w:spacing w:after="0"/>
              <w:rPr>
                <w:sz w:val="24"/>
                <w:szCs w:val="24"/>
                <w:color w:val="auto"/>
              </w:rPr>
            </w:pPr>
          </w:p>
        </w:tc>
        <w:tc>
          <w:tcPr>
            <w:tcW w:w="3140" w:type="dxa"/>
            <w:vAlign w:val="bottom"/>
            <w:gridSpan w:val="4"/>
          </w:tcPr>
          <w:p>
            <w:pPr>
              <w:ind w:left="260"/>
              <w:spacing w:after="0"/>
              <w:rPr>
                <w:sz w:val="20"/>
                <w:szCs w:val="20"/>
                <w:color w:val="auto"/>
              </w:rPr>
            </w:pPr>
            <w:r>
              <w:rPr>
                <w:rFonts w:ascii="Arial" w:cs="Arial" w:eastAsia="Arial" w:hAnsi="Arial"/>
                <w:sz w:val="18"/>
                <w:szCs w:val="18"/>
                <w:color w:val="auto"/>
                <w:w w:val="94"/>
              </w:rPr>
              <w:t>Research and development expenses</w:t>
            </w:r>
          </w:p>
        </w:tc>
        <w:tc>
          <w:tcPr>
            <w:tcW w:w="1080" w:type="dxa"/>
            <w:vAlign w:val="bottom"/>
          </w:tcPr>
          <w:p>
            <w:pPr>
              <w:ind w:left="220"/>
              <w:spacing w:after="0"/>
              <w:rPr>
                <w:sz w:val="20"/>
                <w:szCs w:val="20"/>
                <w:color w:val="auto"/>
              </w:rPr>
            </w:pPr>
            <w:r>
              <w:rPr>
                <w:rFonts w:ascii="Arial" w:cs="Arial" w:eastAsia="Arial" w:hAnsi="Arial"/>
                <w:sz w:val="18"/>
                <w:szCs w:val="18"/>
                <w:color w:val="auto"/>
              </w:rPr>
              <w:t>by $</w:t>
            </w:r>
          </w:p>
        </w:tc>
        <w:tc>
          <w:tcPr>
            <w:tcW w:w="5080" w:type="dxa"/>
            <w:vAlign w:val="bottom"/>
            <w:gridSpan w:val="7"/>
          </w:tcPr>
          <w:p>
            <w:pPr>
              <w:ind w:left="20"/>
              <w:spacing w:after="0"/>
              <w:rPr>
                <w:sz w:val="20"/>
                <w:szCs w:val="20"/>
                <w:color w:val="auto"/>
              </w:rPr>
            </w:pPr>
            <w:r>
              <w:rPr>
                <w:rFonts w:ascii="Arial" w:cs="Arial" w:eastAsia="Arial" w:hAnsi="Arial"/>
                <w:sz w:val="18"/>
                <w:szCs w:val="18"/>
                <w:color w:val="auto"/>
                <w:w w:val="90"/>
              </w:rPr>
              <w:t>million, from $13.9 million for the year ended December 31, 2016, to $</w:t>
            </w:r>
          </w:p>
        </w:tc>
        <w:tc>
          <w:tcPr>
            <w:tcW w:w="140" w:type="dxa"/>
            <w:vAlign w:val="bottom"/>
          </w:tcPr>
          <w:p>
            <w:pPr>
              <w:spacing w:after="0"/>
              <w:rPr>
                <w:sz w:val="24"/>
                <w:szCs w:val="24"/>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million for the</w:t>
            </w:r>
          </w:p>
        </w:tc>
      </w:tr>
      <w:tr>
        <w:trPr>
          <w:trHeight w:val="216"/>
        </w:trPr>
        <w:tc>
          <w:tcPr>
            <w:tcW w:w="2920" w:type="dxa"/>
            <w:vAlign w:val="bottom"/>
            <w:gridSpan w:val="4"/>
          </w:tcPr>
          <w:p>
            <w:pPr>
              <w:spacing w:after="0"/>
              <w:rPr>
                <w:sz w:val="20"/>
                <w:szCs w:val="20"/>
                <w:color w:val="auto"/>
              </w:rPr>
            </w:pPr>
            <w:r>
              <w:rPr>
                <w:rFonts w:ascii="Arial" w:cs="Arial" w:eastAsia="Arial" w:hAnsi="Arial"/>
                <w:sz w:val="18"/>
                <w:szCs w:val="18"/>
                <w:color w:val="auto"/>
                <w:w w:val="97"/>
              </w:rPr>
              <w:t>year ended December 31, 2017. This</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89"/>
              </w:rPr>
              <w:t>was primarily due to</w:t>
            </w:r>
          </w:p>
        </w:tc>
        <w:tc>
          <w:tcPr>
            <w:tcW w:w="340" w:type="dxa"/>
            <w:vAlign w:val="bottom"/>
          </w:tcPr>
          <w:p>
            <w:pPr>
              <w:spacing w:after="0"/>
              <w:rPr>
                <w:sz w:val="18"/>
                <w:szCs w:val="18"/>
                <w:color w:val="auto"/>
              </w:rPr>
            </w:pPr>
          </w:p>
        </w:tc>
        <w:tc>
          <w:tcPr>
            <w:tcW w:w="3140" w:type="dxa"/>
            <w:vAlign w:val="bottom"/>
            <w:gridSpan w:val="4"/>
          </w:tcPr>
          <w:p>
            <w:pPr>
              <w:ind w:left="180"/>
              <w:spacing w:after="0"/>
              <w:rPr>
                <w:sz w:val="20"/>
                <w:szCs w:val="20"/>
                <w:color w:val="auto"/>
              </w:rPr>
            </w:pPr>
            <w:r>
              <w:rPr>
                <w:rFonts w:ascii="Arial" w:cs="Arial" w:eastAsia="Arial" w:hAnsi="Arial"/>
                <w:sz w:val="18"/>
                <w:szCs w:val="18"/>
                <w:color w:val="auto"/>
                <w:w w:val="90"/>
              </w:rPr>
              <w:t>clinical and manufacturing activities. The</w:t>
            </w:r>
          </w:p>
        </w:tc>
        <w:tc>
          <w:tcPr>
            <w:tcW w:w="380" w:type="dxa"/>
            <w:vAlign w:val="bottom"/>
          </w:tcPr>
          <w:p>
            <w:pPr>
              <w:spacing w:after="0"/>
              <w:rPr>
                <w:sz w:val="18"/>
                <w:szCs w:val="18"/>
                <w:color w:val="auto"/>
              </w:rPr>
            </w:pPr>
          </w:p>
        </w:tc>
        <w:tc>
          <w:tcPr>
            <w:tcW w:w="2940" w:type="dxa"/>
            <w:vAlign w:val="bottom"/>
            <w:gridSpan w:val="3"/>
          </w:tcPr>
          <w:p>
            <w:pPr>
              <w:jc w:val="right"/>
              <w:ind w:right="1012"/>
              <w:spacing w:after="0"/>
              <w:rPr>
                <w:sz w:val="20"/>
                <w:szCs w:val="20"/>
                <w:color w:val="auto"/>
              </w:rPr>
            </w:pPr>
            <w:r>
              <w:rPr>
                <w:rFonts w:ascii="Arial" w:cs="Arial" w:eastAsia="Arial" w:hAnsi="Arial"/>
                <w:sz w:val="18"/>
                <w:szCs w:val="18"/>
                <w:color w:val="auto"/>
                <w:w w:val="90"/>
              </w:rPr>
              <w:t>expenses resulted from a</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300"/>
              <w:spacing w:after="0"/>
              <w:rPr>
                <w:sz w:val="20"/>
                <w:szCs w:val="20"/>
                <w:color w:val="auto"/>
              </w:rPr>
            </w:pPr>
            <w:r>
              <w:rPr>
                <w:rFonts w:ascii="Arial" w:cs="Arial" w:eastAsia="Arial" w:hAnsi="Arial"/>
                <w:sz w:val="18"/>
                <w:szCs w:val="18"/>
                <w:color w:val="auto"/>
              </w:rPr>
              <w:t>million</w:t>
            </w:r>
          </w:p>
        </w:tc>
        <w:tc>
          <w:tcPr>
            <w:tcW w:w="7180" w:type="dxa"/>
            <w:vAlign w:val="bottom"/>
            <w:gridSpan w:val="10"/>
          </w:tcPr>
          <w:p>
            <w:pPr>
              <w:ind w:left="440"/>
              <w:spacing w:after="0"/>
              <w:rPr>
                <w:sz w:val="20"/>
                <w:szCs w:val="20"/>
                <w:color w:val="auto"/>
              </w:rPr>
            </w:pPr>
            <w:r>
              <w:rPr>
                <w:rFonts w:ascii="Arial" w:cs="Arial" w:eastAsia="Arial" w:hAnsi="Arial"/>
                <w:sz w:val="18"/>
                <w:szCs w:val="18"/>
                <w:color w:val="auto"/>
                <w:w w:val="88"/>
              </w:rPr>
              <w:t>in CMO expenses for our lead product candidates, naxitamab and omburtamab. CRO expenses</w:t>
            </w:r>
          </w:p>
        </w:tc>
        <w:tc>
          <w:tcPr>
            <w:tcW w:w="1220" w:type="dxa"/>
            <w:vAlign w:val="bottom"/>
          </w:tcPr>
          <w:p>
            <w:pPr>
              <w:ind w:left="500"/>
              <w:spacing w:after="0"/>
              <w:rPr>
                <w:sz w:val="20"/>
                <w:szCs w:val="20"/>
                <w:color w:val="auto"/>
              </w:rPr>
            </w:pPr>
            <w:r>
              <w:rPr>
                <w:rFonts w:ascii="Arial" w:cs="Arial" w:eastAsia="Arial" w:hAnsi="Arial"/>
                <w:sz w:val="18"/>
                <w:szCs w:val="18"/>
                <w:color w:val="auto"/>
              </w:rPr>
              <w:t>by $</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w w:val="88"/>
              </w:rPr>
              <w:t>million and expenses</w:t>
            </w:r>
          </w:p>
        </w:tc>
      </w:tr>
      <w:tr>
        <w:trPr>
          <w:trHeight w:val="216"/>
        </w:trPr>
        <w:tc>
          <w:tcPr>
            <w:tcW w:w="4920" w:type="dxa"/>
            <w:vAlign w:val="bottom"/>
            <w:gridSpan w:val="7"/>
          </w:tcPr>
          <w:p>
            <w:pPr>
              <w:spacing w:after="0"/>
              <w:rPr>
                <w:sz w:val="20"/>
                <w:szCs w:val="20"/>
                <w:color w:val="auto"/>
              </w:rPr>
            </w:pPr>
            <w:r>
              <w:rPr>
                <w:rFonts w:ascii="Arial" w:cs="Arial" w:eastAsia="Arial" w:hAnsi="Arial"/>
                <w:sz w:val="18"/>
                <w:szCs w:val="18"/>
                <w:color w:val="auto"/>
                <w:w w:val="94"/>
              </w:rPr>
              <w:t>to MSK incurred under our SRAs, CFSAs, MCTA and MDSA by $</w:t>
            </w:r>
          </w:p>
        </w:tc>
        <w:tc>
          <w:tcPr>
            <w:tcW w:w="3520" w:type="dxa"/>
            <w:vAlign w:val="bottom"/>
            <w:gridSpan w:val="5"/>
          </w:tcPr>
          <w:p>
            <w:pPr>
              <w:ind w:left="360"/>
              <w:spacing w:after="0"/>
              <w:rPr>
                <w:sz w:val="20"/>
                <w:szCs w:val="20"/>
                <w:color w:val="auto"/>
              </w:rPr>
            </w:pPr>
            <w:r>
              <w:rPr>
                <w:rFonts w:ascii="Arial" w:cs="Arial" w:eastAsia="Arial" w:hAnsi="Arial"/>
                <w:sz w:val="18"/>
                <w:szCs w:val="18"/>
                <w:color w:val="auto"/>
                <w:w w:val="96"/>
              </w:rPr>
              <w:t>million. Employee-related costs including</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w w:val="98"/>
              </w:rPr>
              <w:t>salary, benefits and non-cash stock-</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based compensation for</w:t>
            </w:r>
          </w:p>
        </w:tc>
        <w:tc>
          <w:tcPr>
            <w:tcW w:w="3480" w:type="dxa"/>
            <w:vAlign w:val="bottom"/>
            <w:gridSpan w:val="5"/>
          </w:tcPr>
          <w:p>
            <w:pPr>
              <w:ind w:left="120"/>
              <w:spacing w:after="0"/>
              <w:rPr>
                <w:sz w:val="20"/>
                <w:szCs w:val="20"/>
                <w:color w:val="auto"/>
              </w:rPr>
            </w:pPr>
            <w:r>
              <w:rPr>
                <w:rFonts w:ascii="Arial" w:cs="Arial" w:eastAsia="Arial" w:hAnsi="Arial"/>
                <w:sz w:val="18"/>
                <w:szCs w:val="18"/>
                <w:color w:val="auto"/>
                <w:w w:val="96"/>
              </w:rPr>
              <w:t>personnel related to our business activities,</w:t>
            </w:r>
          </w:p>
        </w:tc>
        <w:tc>
          <w:tcPr>
            <w:tcW w:w="760" w:type="dxa"/>
            <w:vAlign w:val="bottom"/>
          </w:tcPr>
          <w:p>
            <w:pPr>
              <w:ind w:left="200"/>
              <w:spacing w:after="0"/>
              <w:rPr>
                <w:sz w:val="20"/>
                <w:szCs w:val="20"/>
                <w:color w:val="auto"/>
              </w:rPr>
            </w:pPr>
            <w:r>
              <w:rPr>
                <w:rFonts w:ascii="Arial" w:cs="Arial" w:eastAsia="Arial" w:hAnsi="Arial"/>
                <w:sz w:val="18"/>
                <w:szCs w:val="18"/>
                <w:color w:val="auto"/>
              </w:rPr>
              <w:t>by $</w:t>
            </w:r>
          </w:p>
        </w:tc>
        <w:tc>
          <w:tcPr>
            <w:tcW w:w="3480" w:type="dxa"/>
            <w:vAlign w:val="bottom"/>
            <w:gridSpan w:val="5"/>
          </w:tcPr>
          <w:p>
            <w:pPr>
              <w:ind w:left="260"/>
              <w:spacing w:after="0"/>
              <w:rPr>
                <w:sz w:val="20"/>
                <w:szCs w:val="20"/>
                <w:color w:val="auto"/>
              </w:rPr>
            </w:pPr>
            <w:r>
              <w:rPr>
                <w:rFonts w:ascii="Arial" w:cs="Arial" w:eastAsia="Arial" w:hAnsi="Arial"/>
                <w:sz w:val="18"/>
                <w:szCs w:val="18"/>
                <w:color w:val="auto"/>
                <w:w w:val="86"/>
              </w:rPr>
              <w:t>for the year ended December 31, 2017. These</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were partly</w:t>
            </w:r>
          </w:p>
        </w:tc>
      </w:tr>
      <w:tr>
        <w:trPr>
          <w:trHeight w:val="222"/>
        </w:trPr>
        <w:tc>
          <w:tcPr>
            <w:tcW w:w="1260" w:type="dxa"/>
            <w:vAlign w:val="bottom"/>
            <w:gridSpan w:val="2"/>
          </w:tcPr>
          <w:p>
            <w:pPr>
              <w:spacing w:after="0"/>
              <w:rPr>
                <w:sz w:val="20"/>
                <w:szCs w:val="20"/>
                <w:color w:val="auto"/>
              </w:rPr>
            </w:pPr>
            <w:r>
              <w:rPr>
                <w:rFonts w:ascii="Arial" w:cs="Arial" w:eastAsia="Arial" w:hAnsi="Arial"/>
                <w:sz w:val="18"/>
                <w:szCs w:val="18"/>
                <w:color w:val="auto"/>
              </w:rPr>
              <w:t>offset by a $</w:t>
            </w:r>
          </w:p>
        </w:tc>
        <w:tc>
          <w:tcPr>
            <w:tcW w:w="820" w:type="dxa"/>
            <w:vAlign w:val="bottom"/>
          </w:tcPr>
          <w:p>
            <w:pPr>
              <w:ind w:left="180"/>
              <w:spacing w:after="0"/>
              <w:rPr>
                <w:sz w:val="20"/>
                <w:szCs w:val="20"/>
                <w:color w:val="auto"/>
              </w:rPr>
            </w:pPr>
            <w:r>
              <w:rPr>
                <w:rFonts w:ascii="Arial" w:cs="Arial" w:eastAsia="Arial" w:hAnsi="Arial"/>
                <w:sz w:val="18"/>
                <w:szCs w:val="18"/>
                <w:color w:val="auto"/>
              </w:rPr>
              <w:t>million</w:t>
            </w:r>
          </w:p>
        </w:tc>
        <w:tc>
          <w:tcPr>
            <w:tcW w:w="3480" w:type="dxa"/>
            <w:vAlign w:val="bottom"/>
            <w:gridSpan w:val="5"/>
          </w:tcPr>
          <w:p>
            <w:pPr>
              <w:ind w:left="400"/>
              <w:spacing w:after="0"/>
              <w:rPr>
                <w:sz w:val="20"/>
                <w:szCs w:val="20"/>
                <w:color w:val="auto"/>
              </w:rPr>
            </w:pPr>
            <w:r>
              <w:rPr>
                <w:rFonts w:ascii="Arial" w:cs="Arial" w:eastAsia="Arial" w:hAnsi="Arial"/>
                <w:sz w:val="18"/>
                <w:szCs w:val="18"/>
                <w:color w:val="auto"/>
                <w:w w:val="92"/>
              </w:rPr>
              <w:t>in patent expenses, primarily caused by a</w:t>
            </w:r>
          </w:p>
        </w:tc>
        <w:tc>
          <w:tcPr>
            <w:tcW w:w="2880" w:type="dxa"/>
            <w:vAlign w:val="bottom"/>
            <w:gridSpan w:val="4"/>
          </w:tcPr>
          <w:p>
            <w:pPr>
              <w:ind w:left="340"/>
              <w:spacing w:after="0"/>
              <w:rPr>
                <w:sz w:val="20"/>
                <w:szCs w:val="20"/>
                <w:color w:val="auto"/>
              </w:rPr>
            </w:pPr>
            <w:r>
              <w:rPr>
                <w:rFonts w:ascii="Arial" w:cs="Arial" w:eastAsia="Arial" w:hAnsi="Arial"/>
                <w:sz w:val="18"/>
                <w:szCs w:val="18"/>
                <w:color w:val="auto"/>
                <w:w w:val="88"/>
              </w:rPr>
              <w:t>of historic patent expenses to MSK.</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2"/>
        </w:trPr>
        <w:tc>
          <w:tcPr>
            <w:tcW w:w="29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9"/>
              </w:rPr>
              <w:t>General and Administrative Expenses</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26"/>
        </w:trPr>
        <w:tc>
          <w:tcPr>
            <w:tcW w:w="360" w:type="dxa"/>
            <w:vAlign w:val="bottom"/>
          </w:tcPr>
          <w:p>
            <w:pPr>
              <w:spacing w:after="0"/>
              <w:rPr>
                <w:sz w:val="24"/>
                <w:szCs w:val="24"/>
                <w:color w:val="auto"/>
              </w:rPr>
            </w:pPr>
          </w:p>
        </w:tc>
        <w:tc>
          <w:tcPr>
            <w:tcW w:w="3140" w:type="dxa"/>
            <w:vAlign w:val="bottom"/>
            <w:gridSpan w:val="4"/>
          </w:tcPr>
          <w:p>
            <w:pPr>
              <w:ind w:left="260"/>
              <w:spacing w:after="0"/>
              <w:rPr>
                <w:sz w:val="20"/>
                <w:szCs w:val="20"/>
                <w:color w:val="auto"/>
              </w:rPr>
            </w:pPr>
            <w:r>
              <w:rPr>
                <w:rFonts w:ascii="Arial" w:cs="Arial" w:eastAsia="Arial" w:hAnsi="Arial"/>
                <w:sz w:val="18"/>
                <w:szCs w:val="18"/>
                <w:color w:val="auto"/>
                <w:w w:val="96"/>
              </w:rPr>
              <w:t>General and administrative expenses</w:t>
            </w:r>
          </w:p>
        </w:tc>
        <w:tc>
          <w:tcPr>
            <w:tcW w:w="1080" w:type="dxa"/>
            <w:vAlign w:val="bottom"/>
          </w:tcPr>
          <w:p>
            <w:pPr>
              <w:ind w:left="220"/>
              <w:spacing w:after="0"/>
              <w:rPr>
                <w:sz w:val="20"/>
                <w:szCs w:val="20"/>
                <w:color w:val="auto"/>
              </w:rPr>
            </w:pPr>
            <w:r>
              <w:rPr>
                <w:rFonts w:ascii="Arial" w:cs="Arial" w:eastAsia="Arial" w:hAnsi="Arial"/>
                <w:sz w:val="18"/>
                <w:szCs w:val="18"/>
                <w:color w:val="auto"/>
              </w:rPr>
              <w:t>by $</w:t>
            </w:r>
          </w:p>
        </w:tc>
        <w:tc>
          <w:tcPr>
            <w:tcW w:w="5080" w:type="dxa"/>
            <w:vAlign w:val="bottom"/>
            <w:gridSpan w:val="7"/>
          </w:tcPr>
          <w:p>
            <w:pPr>
              <w:ind w:left="20"/>
              <w:spacing w:after="0"/>
              <w:rPr>
                <w:sz w:val="20"/>
                <w:szCs w:val="20"/>
                <w:color w:val="auto"/>
              </w:rPr>
            </w:pPr>
            <w:r>
              <w:rPr>
                <w:rFonts w:ascii="Arial" w:cs="Arial" w:eastAsia="Arial" w:hAnsi="Arial"/>
                <w:sz w:val="18"/>
                <w:szCs w:val="18"/>
                <w:color w:val="auto"/>
                <w:w w:val="92"/>
              </w:rPr>
              <w:t>million, from $3.2 million for the year ended December 31, 2016, to $</w:t>
            </w:r>
          </w:p>
        </w:tc>
        <w:tc>
          <w:tcPr>
            <w:tcW w:w="14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million for the</w:t>
            </w:r>
          </w:p>
        </w:tc>
      </w:tr>
      <w:tr>
        <w:trPr>
          <w:trHeight w:val="216"/>
        </w:trPr>
        <w:tc>
          <w:tcPr>
            <w:tcW w:w="2920" w:type="dxa"/>
            <w:vAlign w:val="bottom"/>
            <w:gridSpan w:val="4"/>
          </w:tcPr>
          <w:p>
            <w:pPr>
              <w:spacing w:after="0"/>
              <w:rPr>
                <w:sz w:val="20"/>
                <w:szCs w:val="20"/>
                <w:color w:val="auto"/>
              </w:rPr>
            </w:pPr>
            <w:r>
              <w:rPr>
                <w:rFonts w:ascii="Arial" w:cs="Arial" w:eastAsia="Arial" w:hAnsi="Arial"/>
                <w:sz w:val="18"/>
                <w:szCs w:val="18"/>
                <w:color w:val="auto"/>
                <w:w w:val="98"/>
              </w:rPr>
              <w:t>year ended December 31, 2017. The</w:t>
            </w:r>
          </w:p>
        </w:tc>
        <w:tc>
          <w:tcPr>
            <w:tcW w:w="5520" w:type="dxa"/>
            <w:vAlign w:val="bottom"/>
            <w:gridSpan w:val="8"/>
          </w:tcPr>
          <w:p>
            <w:pPr>
              <w:ind w:left="160"/>
              <w:spacing w:after="0"/>
              <w:rPr>
                <w:sz w:val="20"/>
                <w:szCs w:val="20"/>
                <w:color w:val="auto"/>
              </w:rPr>
            </w:pPr>
            <w:r>
              <w:rPr>
                <w:rFonts w:ascii="Arial" w:cs="Arial" w:eastAsia="Arial" w:hAnsi="Arial"/>
                <w:sz w:val="18"/>
                <w:szCs w:val="18"/>
                <w:color w:val="auto"/>
                <w:w w:val="94"/>
              </w:rPr>
              <w:t>in general and administrative expenses was primarily attributable to a $</w:t>
            </w:r>
          </w:p>
        </w:tc>
        <w:tc>
          <w:tcPr>
            <w:tcW w:w="1220" w:type="dxa"/>
            <w:vAlign w:val="bottom"/>
          </w:tcPr>
          <w:p>
            <w:pPr>
              <w:ind w:left="220"/>
              <w:spacing w:after="0"/>
              <w:rPr>
                <w:sz w:val="20"/>
                <w:szCs w:val="20"/>
                <w:color w:val="auto"/>
              </w:rPr>
            </w:pPr>
            <w:r>
              <w:rPr>
                <w:rFonts w:ascii="Arial" w:cs="Arial" w:eastAsia="Arial" w:hAnsi="Arial"/>
                <w:sz w:val="18"/>
                <w:szCs w:val="18"/>
                <w:color w:val="auto"/>
              </w:rPr>
              <w:t>million</w:t>
            </w:r>
          </w:p>
        </w:tc>
        <w:tc>
          <w:tcPr>
            <w:tcW w:w="1720" w:type="dxa"/>
            <w:vAlign w:val="bottom"/>
            <w:gridSpan w:val="2"/>
          </w:tcPr>
          <w:p>
            <w:pPr>
              <w:jc w:val="right"/>
              <w:ind w:right="192"/>
              <w:spacing w:after="0"/>
              <w:rPr>
                <w:sz w:val="20"/>
                <w:szCs w:val="20"/>
                <w:color w:val="auto"/>
              </w:rPr>
            </w:pPr>
            <w:r>
              <w:rPr>
                <w:rFonts w:ascii="Arial" w:cs="Arial" w:eastAsia="Arial" w:hAnsi="Arial"/>
                <w:sz w:val="18"/>
                <w:szCs w:val="18"/>
                <w:color w:val="auto"/>
                <w:w w:val="89"/>
              </w:rPr>
              <w:t>in employee-related</w:t>
            </w:r>
          </w:p>
        </w:tc>
      </w:tr>
      <w:tr>
        <w:trPr>
          <w:trHeight w:val="216"/>
        </w:trPr>
        <w:tc>
          <w:tcPr>
            <w:tcW w:w="5560" w:type="dxa"/>
            <w:vAlign w:val="bottom"/>
            <w:gridSpan w:val="8"/>
          </w:tcPr>
          <w:p>
            <w:pPr>
              <w:spacing w:after="0"/>
              <w:rPr>
                <w:sz w:val="20"/>
                <w:szCs w:val="20"/>
                <w:color w:val="auto"/>
              </w:rPr>
            </w:pPr>
            <w:r>
              <w:rPr>
                <w:rFonts w:ascii="Arial" w:cs="Arial" w:eastAsia="Arial" w:hAnsi="Arial"/>
                <w:sz w:val="18"/>
                <w:szCs w:val="18"/>
                <w:color w:val="auto"/>
                <w:w w:val="91"/>
              </w:rPr>
              <w:t>costs, including salary, benefits and non-cash stock-based compensation for</w:t>
            </w:r>
          </w:p>
        </w:tc>
        <w:tc>
          <w:tcPr>
            <w:tcW w:w="2500" w:type="dxa"/>
            <w:vAlign w:val="bottom"/>
            <w:gridSpan w:val="3"/>
          </w:tcPr>
          <w:p>
            <w:pPr>
              <w:ind w:left="280"/>
              <w:spacing w:after="0"/>
              <w:rPr>
                <w:sz w:val="20"/>
                <w:szCs w:val="20"/>
                <w:color w:val="auto"/>
              </w:rPr>
            </w:pPr>
            <w:r>
              <w:rPr>
                <w:rFonts w:ascii="Arial" w:cs="Arial" w:eastAsia="Arial" w:hAnsi="Arial"/>
                <w:sz w:val="18"/>
                <w:szCs w:val="18"/>
                <w:color w:val="auto"/>
              </w:rPr>
              <w:t>personnel related to our</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w w:val="87"/>
              </w:rPr>
              <w:t>business activities. Travel expenses and rent of</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w w:val="96"/>
              </w:rPr>
              <w:t>premises expenses were $</w:t>
            </w:r>
          </w:p>
        </w:tc>
        <w:tc>
          <w:tcPr>
            <w:tcW w:w="5140" w:type="dxa"/>
            <w:vAlign w:val="bottom"/>
            <w:gridSpan w:val="7"/>
          </w:tcPr>
          <w:p>
            <w:pPr>
              <w:ind w:left="320"/>
              <w:spacing w:after="0"/>
              <w:rPr>
                <w:sz w:val="20"/>
                <w:szCs w:val="20"/>
                <w:color w:val="auto"/>
              </w:rPr>
            </w:pPr>
            <w:r>
              <w:rPr>
                <w:rFonts w:ascii="Arial" w:cs="Arial" w:eastAsia="Arial" w:hAnsi="Arial"/>
                <w:sz w:val="18"/>
                <w:szCs w:val="18"/>
                <w:color w:val="auto"/>
                <w:w w:val="93"/>
              </w:rPr>
              <w:t>million for the year ended December 31, 2016, as compared to $</w:t>
            </w:r>
          </w:p>
        </w:tc>
        <w:tc>
          <w:tcPr>
            <w:tcW w:w="4160" w:type="dxa"/>
            <w:vAlign w:val="bottom"/>
            <w:gridSpan w:val="5"/>
          </w:tcPr>
          <w:p>
            <w:pPr>
              <w:jc w:val="right"/>
              <w:ind w:right="232"/>
              <w:spacing w:after="0"/>
              <w:rPr>
                <w:sz w:val="20"/>
                <w:szCs w:val="20"/>
                <w:color w:val="auto"/>
              </w:rPr>
            </w:pPr>
            <w:r>
              <w:rPr>
                <w:rFonts w:ascii="Arial" w:cs="Arial" w:eastAsia="Arial" w:hAnsi="Arial"/>
                <w:sz w:val="18"/>
                <w:szCs w:val="18"/>
                <w:color w:val="auto"/>
                <w:w w:val="94"/>
              </w:rPr>
              <w:t>million for the year ended December 3l, 2017, as a</w:t>
            </w:r>
          </w:p>
        </w:tc>
      </w:tr>
      <w:tr>
        <w:trPr>
          <w:trHeight w:val="222"/>
        </w:trPr>
        <w:tc>
          <w:tcPr>
            <w:tcW w:w="1260" w:type="dxa"/>
            <w:vAlign w:val="bottom"/>
            <w:gridSpan w:val="2"/>
          </w:tcPr>
          <w:p>
            <w:pPr>
              <w:spacing w:after="0"/>
              <w:rPr>
                <w:sz w:val="20"/>
                <w:szCs w:val="20"/>
                <w:color w:val="auto"/>
              </w:rPr>
            </w:pPr>
            <w:r>
              <w:rPr>
                <w:rFonts w:ascii="Arial" w:cs="Arial" w:eastAsia="Arial" w:hAnsi="Arial"/>
                <w:sz w:val="18"/>
                <w:szCs w:val="18"/>
                <w:color w:val="auto"/>
              </w:rPr>
              <w:t>result of our</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7"/>
              </w:rPr>
              <w:t>business activities in 2017.</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2"/>
        </w:trPr>
        <w:tc>
          <w:tcPr>
            <w:tcW w:w="29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2"/>
              </w:rPr>
              <w:t>Interest and Other Income (Expense)</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26"/>
        </w:trPr>
        <w:tc>
          <w:tcPr>
            <w:tcW w:w="360" w:type="dxa"/>
            <w:vAlign w:val="bottom"/>
          </w:tcPr>
          <w:p>
            <w:pPr>
              <w:spacing w:after="0"/>
              <w:rPr>
                <w:sz w:val="24"/>
                <w:szCs w:val="24"/>
                <w:color w:val="auto"/>
              </w:rPr>
            </w:pPr>
          </w:p>
        </w:tc>
        <w:tc>
          <w:tcPr>
            <w:tcW w:w="7700" w:type="dxa"/>
            <w:vAlign w:val="bottom"/>
            <w:gridSpan w:val="10"/>
          </w:tcPr>
          <w:p>
            <w:pPr>
              <w:ind w:left="260"/>
              <w:spacing w:after="0"/>
              <w:rPr>
                <w:sz w:val="20"/>
                <w:szCs w:val="20"/>
                <w:color w:val="auto"/>
              </w:rPr>
            </w:pPr>
            <w:r>
              <w:rPr>
                <w:rFonts w:ascii="Arial" w:cs="Arial" w:eastAsia="Arial" w:hAnsi="Arial"/>
                <w:sz w:val="18"/>
                <w:szCs w:val="18"/>
                <w:color w:val="auto"/>
                <w:w w:val="87"/>
              </w:rPr>
              <w:t>Other expenses for the year ended December 31, 2016 were $18,000 as compared to other expenses of $</w:t>
            </w:r>
          </w:p>
        </w:tc>
        <w:tc>
          <w:tcPr>
            <w:tcW w:w="380" w:type="dxa"/>
            <w:vAlign w:val="bottom"/>
          </w:tcPr>
          <w:p>
            <w:pPr>
              <w:spacing w:after="0"/>
              <w:rPr>
                <w:sz w:val="24"/>
                <w:szCs w:val="24"/>
                <w:color w:val="auto"/>
              </w:rPr>
            </w:pPr>
          </w:p>
        </w:tc>
        <w:tc>
          <w:tcPr>
            <w:tcW w:w="2940" w:type="dxa"/>
            <w:vAlign w:val="bottom"/>
            <w:gridSpan w:val="3"/>
          </w:tcPr>
          <w:p>
            <w:pPr>
              <w:jc w:val="right"/>
              <w:ind w:right="72"/>
              <w:spacing w:after="0"/>
              <w:rPr>
                <w:sz w:val="20"/>
                <w:szCs w:val="20"/>
                <w:color w:val="auto"/>
              </w:rPr>
            </w:pPr>
            <w:r>
              <w:rPr>
                <w:rFonts w:ascii="Arial" w:cs="Arial" w:eastAsia="Arial" w:hAnsi="Arial"/>
                <w:sz w:val="18"/>
                <w:szCs w:val="18"/>
                <w:color w:val="auto"/>
                <w:w w:val="87"/>
              </w:rPr>
              <w:t>for the year ended December 31, 2017.</w:t>
            </w:r>
          </w:p>
        </w:tc>
      </w:tr>
      <w:tr>
        <w:trPr>
          <w:trHeight w:val="222"/>
        </w:trPr>
        <w:tc>
          <w:tcPr>
            <w:tcW w:w="8440" w:type="dxa"/>
            <w:vAlign w:val="bottom"/>
            <w:gridSpan w:val="12"/>
          </w:tcPr>
          <w:p>
            <w:pPr>
              <w:spacing w:after="0"/>
              <w:rPr>
                <w:sz w:val="20"/>
                <w:szCs w:val="20"/>
                <w:color w:val="auto"/>
              </w:rPr>
            </w:pPr>
            <w:r>
              <w:rPr>
                <w:rFonts w:ascii="Arial" w:cs="Arial" w:eastAsia="Arial" w:hAnsi="Arial"/>
                <w:sz w:val="18"/>
                <w:szCs w:val="18"/>
                <w:color w:val="auto"/>
                <w:w w:val="88"/>
              </w:rPr>
              <w:t>Our interest income has not been significant due to low investment balances and low interest earned on those balances.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300" w:firstLine="615"/>
        <w:spacing w:after="0" w:line="303" w:lineRule="auto"/>
        <w:rPr>
          <w:sz w:val="20"/>
          <w:szCs w:val="20"/>
          <w:color w:val="auto"/>
        </w:rPr>
      </w:pPr>
      <w:r>
        <w:rPr>
          <w:rFonts w:ascii="Arial" w:cs="Arial" w:eastAsia="Arial" w:hAnsi="Arial"/>
          <w:sz w:val="15"/>
          <w:szCs w:val="15"/>
          <w:color w:val="auto"/>
        </w:rPr>
        <w:t>Since our inception we have incurred significant net operating losses and expect to continue to incur increasing net operating losses and significant expenses for the foreseeable future. Our net losses may fluctuate significantly from quarter to quarter and year to year. We do not currently have any approved products and have never generated any revenue from product sales. We have financed our operations through December 31, 2017 primarily through gross</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proceeds of $119.6 million from the sale of our common stock. As of December 31, 2017, we had cash and cash equivalents of $ million. We will need additional capital to continue funding our operations, which we may obtain from additional equity or debt financings, collaborations, licensing arrangements, or other 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2016 and December 31,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(11,166)</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32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80" w:type="dxa"/>
            <w:vAlign w:val="bottom"/>
            <w:vMerge w:val="restart"/>
          </w:tcPr>
          <w:p>
            <w:pPr>
              <w:jc w:val="right"/>
              <w:ind w:right="2332"/>
              <w:spacing w:after="0"/>
              <w:rPr>
                <w:sz w:val="20"/>
                <w:szCs w:val="20"/>
                <w:color w:val="auto"/>
              </w:rPr>
            </w:pPr>
            <w:r>
              <w:rPr>
                <w:rFonts w:ascii="Arial" w:cs="Arial" w:eastAsia="Arial" w:hAnsi="Arial"/>
                <w:sz w:val="18"/>
                <w:szCs w:val="18"/>
                <w:color w:val="auto"/>
              </w:rPr>
              <w:t>93</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use of cash in all periods resulted primarily from our net losses adjusted for non-cash charges and changes in components of working capital.</w:t>
      </w:r>
    </w:p>
    <w:p>
      <w:pPr>
        <w:spacing w:after="0" w:line="248" w:lineRule="exact"/>
        <w:rPr>
          <w:sz w:val="20"/>
          <w:szCs w:val="20"/>
          <w:color w:val="auto"/>
        </w:rPr>
      </w:pPr>
    </w:p>
    <w:p>
      <w:pPr>
        <w:ind w:right="80" w:firstLine="615"/>
        <w:spacing w:after="0" w:line="251" w:lineRule="auto"/>
        <w:rPr>
          <w:sz w:val="20"/>
          <w:szCs w:val="20"/>
          <w:color w:val="auto"/>
        </w:rPr>
      </w:pPr>
      <w:r>
        <w:rPr>
          <w:rFonts w:ascii="Arial" w:cs="Arial" w:eastAsia="Arial" w:hAnsi="Arial"/>
          <w:sz w:val="18"/>
          <w:szCs w:val="18"/>
          <w:color w:val="auto"/>
        </w:rPr>
        <w:t>Net cash used in operating activities was $11.2 million during the year ended December 31, 2016, as compared to $ million during the year ended December 31, 2017. The in net cash used in operations was primarily due to in our net loss of $ million for the year ended December 31, 2017, as compared to $17.1 million for the year ended December 31, 2016. This was primarily due to in our operating expenses in connection with development of our lead product candidates, naxitamab and omburtamab, and the expansion of our other business activities. The was partially offset by non-cash stock-based compensation to employees, which by $ million. Adjustment of working capital reflects in accrued expenses, accounts payable, and other non-current liabilities of $ million and in other assets of approximately $ million for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2017, as compared to the year ended December 31,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did not use cash for investing activities in the years ended December 31, 2016 and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31"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Net cash provided by financing activities was $19.0 million during the year ended December 31, 2016, as compared to $ million during the year ended December 31, 2017. The in cash provided by financing activities was attributable to net proceeds of $ million related to the issuance of common stock in a series of private placements in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31" w:lineRule="exact"/>
        <w:rPr>
          <w:sz w:val="20"/>
          <w:szCs w:val="20"/>
          <w:color w:val="auto"/>
        </w:rPr>
      </w:pPr>
    </w:p>
    <w:p>
      <w:pPr>
        <w:ind w:right="80" w:firstLine="611"/>
        <w:spacing w:after="0" w:line="289" w:lineRule="auto"/>
        <w:rPr>
          <w:sz w:val="20"/>
          <w:szCs w:val="20"/>
          <w:color w:val="auto"/>
        </w:rPr>
      </w:pPr>
      <w:r>
        <w:rPr>
          <w:rFonts w:ascii="Arial" w:cs="Arial" w:eastAsia="Arial" w:hAnsi="Arial"/>
          <w:sz w:val="16"/>
          <w:szCs w:val="16"/>
          <w:color w:val="auto"/>
        </w:rPr>
        <w:t>We expect our expenses to increase in connection with our ongoing activities, particularly as we complete clinical development of our lead product candidates, naxitamab and omburtamab, and potentially initiate our planned BLA submissions for both product candidates. In addition, we plan to advance the development of other pipeline programs, initiate new research and pre-clinical development efforts and seek marketing approval for any additional product candidates that we successfully develop. If we obtain marketing approval for any of our product candidates, we expect to incur commercialization expenses, which may be significant, related to establishing sales, marketing, manufacturing capabilities, distribution and other commercial infrastructure to commercialize such products. Furthermore, upon the closing of this offering, we expect to incur additional costs associated with operating as a public company. Accordingly, we might need to obtain substantial additional 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172"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believe that the anticipated net proceeds from this offering, together with our existing cash and cash equivalents as of December 31, 2017, will enable us to fund our operating expenses and capital expenditure requirements through February 2020.</w:t>
      </w:r>
    </w:p>
    <w:p>
      <w:pPr>
        <w:spacing w:after="0" w:line="186" w:lineRule="exact"/>
        <w:rPr>
          <w:sz w:val="20"/>
          <w:szCs w:val="20"/>
          <w:color w:val="auto"/>
        </w:rPr>
      </w:pPr>
    </w:p>
    <w:p>
      <w:pPr>
        <w:ind w:right="220" w:firstLine="611"/>
        <w:spacing w:after="0" w:line="335" w:lineRule="auto"/>
        <w:rPr>
          <w:sz w:val="20"/>
          <w:szCs w:val="20"/>
          <w:color w:val="auto"/>
        </w:rPr>
      </w:pPr>
      <w:r>
        <w:rPr>
          <w:rFonts w:ascii="Arial" w:cs="Arial" w:eastAsia="Arial" w:hAnsi="Arial"/>
          <w:sz w:val="15"/>
          <w:szCs w:val="15"/>
          <w:color w:val="auto"/>
        </w:rPr>
        <w:t>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capital requirements. Our future capital requirements will depend on many factors, including:</w:t>
      </w:r>
    </w:p>
    <w:p>
      <w:pPr>
        <w:spacing w:after="0" w:line="239" w:lineRule="exact"/>
        <w:rPr>
          <w:sz w:val="20"/>
          <w:szCs w:val="20"/>
          <w:color w:val="auto"/>
        </w:rPr>
      </w:pPr>
    </w:p>
    <w:p>
      <w:pPr>
        <w:ind w:left="1080" w:right="5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research and pre-clinical development efforts for any future product candidates that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collaboration or other agreements;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subject to receipt of marketing approval, revenue, if any, received from commercial sales of our current and future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and establish a commercial infrastructure;</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67"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in our company may be materially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70" w:lineRule="exact"/>
        <w:rPr>
          <w:sz w:val="20"/>
          <w:szCs w:val="20"/>
          <w:color w:val="auto"/>
        </w:rPr>
      </w:pPr>
    </w:p>
    <w:p>
      <w:pPr>
        <w:ind w:right="140" w:firstLine="615"/>
        <w:spacing w:after="0" w:line="332"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600" w:firstLine="611"/>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right="220" w:firstLine="611"/>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2017 and the effects that such obligations are expected to have on our liquidity and cash flows in future periods: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232"/>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5"/>
              </w:rPr>
              <w:t>Less Than</w:t>
            </w:r>
          </w:p>
        </w:tc>
        <w:tc>
          <w:tcPr>
            <w:tcW w:w="1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1 to 3</w:t>
            </w:r>
          </w:p>
        </w:tc>
        <w:tc>
          <w:tcPr>
            <w:tcW w:w="20" w:type="dxa"/>
            <w:vAlign w:val="bottom"/>
          </w:tcPr>
          <w:p>
            <w:pPr>
              <w:spacing w:after="0"/>
              <w:rPr>
                <w:sz w:val="11"/>
                <w:szCs w:val="11"/>
                <w:color w:val="auto"/>
              </w:rPr>
            </w:pPr>
          </w:p>
        </w:tc>
        <w:tc>
          <w:tcPr>
            <w:tcW w:w="58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4 to 5</w:t>
            </w:r>
          </w:p>
        </w:tc>
        <w:tc>
          <w:tcPr>
            <w:tcW w:w="160" w:type="dxa"/>
            <w:vAlign w:val="bottom"/>
          </w:tcPr>
          <w:p>
            <w:pPr>
              <w:spacing w:after="0"/>
              <w:rPr>
                <w:sz w:val="11"/>
                <w:szCs w:val="11"/>
                <w:color w:val="auto"/>
              </w:rPr>
            </w:pPr>
          </w:p>
        </w:tc>
        <w:tc>
          <w:tcPr>
            <w:tcW w:w="82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commitments(1)</w:t>
            </w:r>
          </w:p>
        </w:tc>
        <w:tc>
          <w:tcPr>
            <w:tcW w:w="27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Collaboration funding(2)</w:t>
            </w:r>
          </w:p>
        </w:tc>
        <w:tc>
          <w:tcPr>
            <w:tcW w:w="2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7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Reflects payments due for our leases of office space under operating lease agreements that expire in 2023.</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Reflects non-cancellable fees due in connection with our agreements with MSK as of December 31, 2017.</w:t>
      </w:r>
    </w:p>
    <w:p>
      <w:pPr>
        <w:spacing w:after="0" w:line="225" w:lineRule="exact"/>
        <w:rPr>
          <w:sz w:val="20"/>
          <w:szCs w:val="20"/>
          <w:color w:val="auto"/>
        </w:rPr>
      </w:pPr>
    </w:p>
    <w:p>
      <w:pPr>
        <w:ind w:right="180" w:firstLine="611"/>
        <w:spacing w:after="0" w:line="254" w:lineRule="auto"/>
        <w:rPr>
          <w:sz w:val="20"/>
          <w:szCs w:val="20"/>
          <w:color w:val="auto"/>
        </w:rPr>
      </w:pPr>
      <w:r>
        <w:rPr>
          <w:rFonts w:ascii="Arial" w:cs="Arial" w:eastAsia="Arial" w:hAnsi="Arial"/>
          <w:sz w:val="18"/>
          <w:szCs w:val="18"/>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non-cancellable obligations of our service providers, up to the date of cancellation. These payments are not included in the table of contractual obligations and commitments above.</w:t>
      </w:r>
    </w:p>
    <w:p>
      <w:pPr>
        <w:spacing w:after="0" w:line="198"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 We have not included the contingent payment of certain milestones in the table above, which timing cannot be determined because they are not date certain. In addition, we have other contingent payment obligations, such as such as royalties or other third party milestones, which are not included in the table above as the amount, timing and likelihood of such payments are not known.</w:t>
      </w:r>
    </w:p>
    <w:p>
      <w:pPr>
        <w:spacing w:after="0" w:line="197"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Under the MSK License and the MSK CD33 License, we are obligated to (i) make certain payments to MSK, which become due based upon the achievement of the related milestone activities or the passage of time in the event such milestone activities are not achieved, as well as certain sales-related milestones, (ii) pay mid to high single-digit royalties to MSK, on a product-by-product and country-by-country basis, of a mid-to-high single-digit royalties based on net sales of products licensed under the applicable agreement and (iii) pay to MSK a percentage of any sublicense fees received by us. We are also required to pay annual minimum royalties of $80,000 over the royalty term, starting in 2020. These amounts are non-refundable but are creditable against royalty payments otherwise due under the MSK License. Total expensed minimum royalty payments under the MSK License were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$1,200,000 in 2016 and $ in 2017, all of which were recorded as long-term accrued liabilities as of December 31, 2016 and December 31, 2017, respectively, upon determination that the payment of such minimum royalties was probable and the amount was estimable. We are also obligated to pay MSK certain clinical, regulatory and sales-based milestone payments under the MSK License. These milestone payments become due upon achievement of the related clinical, regulatory or sales-based milestone defined in the MSK License. Certain of the clinical and regulatory milestone payments become due at the earlier of completion of the related milestone activity or the date indicated in the MSK License, whether or not the milestone activity is achieved. Total clinical and regulatory milestones potentially due under the MSK License are $2,450,000 and $9,000,000, respectively. There are also sales-based milestones that become due should the Company achieve certain amounts of sales of licensed products resulting from the MSK License, with total sales-based milestones potentially due of $20,000,000. The Company records milestones in the period in which the contingent liability is probable and the amount is reasonably estimable.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To date, we have not entered into any sublicenses related to the MSK License. For a more detailed discussion of these payments, see the section herein entitled "Business— Intellectual Property—MSK Agreements." As of December 31, 2017, we were unable to estimate the timing or likelihood of achieving the milestones or generating future product sales and therefore, any related payments are not included in the table above.</w:t>
      </w:r>
    </w:p>
    <w:p>
      <w:pPr>
        <w:spacing w:after="0" w:line="175" w:lineRule="exact"/>
        <w:rPr>
          <w:sz w:val="20"/>
          <w:szCs w:val="20"/>
          <w:color w:val="auto"/>
        </w:rPr>
      </w:pPr>
    </w:p>
    <w:p>
      <w:pPr>
        <w:ind w:right="60" w:firstLine="615"/>
        <w:spacing w:after="0" w:line="254" w:lineRule="auto"/>
        <w:rPr>
          <w:sz w:val="20"/>
          <w:szCs w:val="20"/>
          <w:color w:val="auto"/>
        </w:rPr>
      </w:pPr>
      <w:r>
        <w:rPr>
          <w:rFonts w:ascii="Arial" w:cs="Arial" w:eastAsia="Arial" w:hAnsi="Arial"/>
          <w:sz w:val="18"/>
          <w:szCs w:val="18"/>
          <w:color w:val="auto"/>
        </w:rPr>
        <w:t>In addition, under the MSK CD33 License, we are required to pay total potential milestone payments of $550,000, $500,000 and $7,500,000 for clinical, regulatory and sales based milestones, respectively. We are required to pay royalty payments that become due beginning in year 10 of $40,000 per year prior, subject to increase and creditable against any royalty payments due based on sales in the future. We are also required to pay mid to high single-digit royalties on sales of licensed products. Additionally, we have agreed to pay to MSK approximately $1,360,000 for research services related to the intellectual property licensed by us under the MSK CD33 License. The research services are expected to occur over the two year period immediately following the MSK CD33 License.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and Procedures</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will be required, pursuant to Section 404(a) of the Sarbanes-Oxley Act, or Section 404, to furnish a report by management on, among other things, the effectiveness of our internal control over financial reporting for the year following our first annual report required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spacing w:after="0" w:line="174" w:lineRule="exact"/>
        <w:rPr>
          <w:sz w:val="20"/>
          <w:szCs w:val="20"/>
          <w:color w:val="auto"/>
        </w:rPr>
      </w:pPr>
    </w:p>
    <w:p>
      <w:pPr>
        <w:ind w:right="300" w:firstLine="615"/>
        <w:spacing w:after="0" w:line="298"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and the preparation of financial statements in accordance with GAAP. Prior to this offering, we were a private company and we are currently planning a process for reviewing, documenting and testing our internal control over financial reporting. Certain material weaknesses have been identified in our internal control over financial reporting. See the section herein entitled "Risk Factors—It has been determined that we have material weaknesses in our internal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 future or otherwise fail to maintain an effective system of internal controls, we may 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74"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We have not performed an evaluation of our internal control over financial reporting, as required by Section 404 of the Sarbanes-Oxley Act, nor have we engaged an independent registered public accounting firm to perform an audit of our internal control over financial reporting as of any balance sheet date or for any period reported in our financial statements. Presently, we are not an accelerated filer, as such term is defined by Rule 12b-2 of the Exchange Act, and therefore, our management is not presently required to perform an annual assessment of the effectiveness of our internal control over financial reporting. This requirement will first apply to our second Annual Report on Form 10-K.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20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The JOBS Act</w:t>
      </w:r>
    </w:p>
    <w:p>
      <w:pPr>
        <w:spacing w:after="0" w:line="231"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so long as we are an emerging growth company we expect that:</w:t>
      </w:r>
    </w:p>
    <w:p>
      <w:pPr>
        <w:spacing w:after="0" w:line="239" w:lineRule="exact"/>
        <w:rPr>
          <w:sz w:val="20"/>
          <w:szCs w:val="20"/>
          <w:color w:val="auto"/>
        </w:rPr>
      </w:pPr>
    </w:p>
    <w:p>
      <w:pPr>
        <w:ind w:left="1080" w:right="180" w:hanging="532"/>
        <w:spacing w:after="0" w:line="33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will present in this prospectus only two years of audited financial statements, in addition to any required unaudited financial statements, with correspondingly reduced Management's Discussion and Analysis of Financial Condition and Results of Operations disclosure;</w:t>
      </w:r>
    </w:p>
    <w:p>
      <w:pPr>
        <w:spacing w:after="0" w:line="166" w:lineRule="exact"/>
        <w:rPr>
          <w:rFonts w:ascii="Arial" w:cs="Arial" w:eastAsia="Arial" w:hAnsi="Arial"/>
          <w:sz w:val="16"/>
          <w:szCs w:val="16"/>
          <w:color w:val="auto"/>
        </w:rPr>
      </w:pPr>
    </w:p>
    <w:p>
      <w:pPr>
        <w:ind w:left="1080" w:right="42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will remain an emerging growth company for up to five years, although we will cease to be an "emerging growth company" upon the earliest of:</w:t>
      </w:r>
    </w:p>
    <w:p>
      <w:pPr>
        <w:spacing w:after="0" w:line="38" w:lineRule="exact"/>
        <w:rPr>
          <w:sz w:val="20"/>
          <w:szCs w:val="20"/>
          <w:color w:val="auto"/>
        </w:rPr>
      </w:pPr>
    </w:p>
    <w:p>
      <w:pPr>
        <w:jc w:val="both"/>
        <w:ind w:right="400" w:firstLine="8"/>
        <w:spacing w:after="0" w:line="302" w:lineRule="auto"/>
        <w:tabs>
          <w:tab w:leader="none" w:pos="21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last day of the fiscal year following the fifth anniversary of this offering, (ii) the last day of the first fiscal year in which our annual gross revenues are $1.07 billion or more, which amount is periodically updated, (iii) the date on which we have, during the previous rolling three-year period, issued more than $1.0 billion in non-convertible debt securities or (iv) the date on which we are deemed to be a "large accelerated filer" as defined in the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are exposed to market risk related to changes in interest rates. As of December 31, 2016 and December 31, 2017, we had cash and cash equivalents</w:t>
      </w:r>
    </w:p>
    <w:p>
      <w:pPr>
        <w:spacing w:after="0" w:line="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$16.9 million and $ million, respectively, maintained primarily with financial institutions in federally insured accounts and held in an unrestricted escrow account. We currently have, and may, from time to time in the future, cash in banks in excess of FDIC insurance limits. We have not experienced any losses to date resulting from this practice. We mitigate our risk by maintaining the majority of our cash and equivalents with high quality financial institutions. Our exposure to changes in the general level of U.S. interest rates is considered immaterial, particularly because our cash equivalents are primarily held in day-to-day bank accounts. Due to short-term nature of such balances, an immediate 100 basis point change in interest rates would not have any effect on the fair market value of cash balances.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40" w:firstLine="615"/>
        <w:spacing w:after="0" w:line="305" w:lineRule="auto"/>
        <w:rPr>
          <w:sz w:val="20"/>
          <w:szCs w:val="20"/>
          <w:color w:val="auto"/>
        </w:rPr>
      </w:pPr>
      <w:r>
        <w:rPr>
          <w:rFonts w:ascii="Arial" w:cs="Arial" w:eastAsia="Arial" w:hAnsi="Arial"/>
          <w:sz w:val="15"/>
          <w:szCs w:val="15"/>
          <w:color w:val="auto"/>
        </w:rPr>
        <w:t>Our primary exposure to market risk is foreign exchange rate sensitivity to the Danish Kroner (DKK), the currency used in the Kingdom of Denmark, where our wholly owned subsidiary, Y-mAbs Therapeutics A/S, is located. As of December 31, 2016 and December 31, 2017, we had cash and cash equivalents</w:t>
      </w:r>
    </w:p>
    <w:p>
      <w:pPr>
        <w:ind w:right="400"/>
        <w:spacing w:after="0" w:line="261" w:lineRule="auto"/>
        <w:rPr>
          <w:sz w:val="20"/>
          <w:szCs w:val="20"/>
          <w:color w:val="auto"/>
        </w:rPr>
      </w:pPr>
      <w:r>
        <w:rPr>
          <w:rFonts w:ascii="Arial" w:cs="Arial" w:eastAsia="Arial" w:hAnsi="Arial"/>
          <w:sz w:val="18"/>
          <w:szCs w:val="18"/>
          <w:color w:val="auto"/>
        </w:rPr>
        <w:t>denominated in DKK of $0.6 million and $ million, respectively, and an immediate 5% change in DKK exchange rate would not have any material effect on the fair market value of cash balances with the subsidiary.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611"/>
        <w:spacing w:after="0" w:line="314" w:lineRule="auto"/>
        <w:rPr>
          <w:sz w:val="20"/>
          <w:szCs w:val="20"/>
          <w:color w:val="auto"/>
        </w:rPr>
      </w:pPr>
      <w:r>
        <w:rPr>
          <w:rFonts w:ascii="Arial" w:cs="Arial" w:eastAsia="Arial" w:hAnsi="Arial"/>
          <w:sz w:val="15"/>
          <w:szCs w:val="15"/>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59" w:lineRule="exact"/>
        <w:rPr>
          <w:sz w:val="20"/>
          <w:szCs w:val="20"/>
          <w:color w:val="auto"/>
        </w:rPr>
      </w:pPr>
    </w:p>
    <w:p>
      <w:pPr>
        <w:ind w:right="80" w:firstLine="611"/>
        <w:spacing w:after="0" w:line="288" w:lineRule="auto"/>
        <w:rPr>
          <w:sz w:val="20"/>
          <w:szCs w:val="20"/>
          <w:color w:val="auto"/>
        </w:rPr>
      </w:pPr>
      <w:r>
        <w:rPr>
          <w:rFonts w:ascii="Arial" w:cs="Arial" w:eastAsia="Arial" w:hAnsi="Arial"/>
          <w:sz w:val="16"/>
          <w:szCs w:val="16"/>
          <w:color w:val="auto"/>
        </w:rPr>
        <w:t>We expect to submit a Biologics License Application, or BLA, for each of our two lead product candidates in 2018, with a goal of receiving approval by the U.S. Food and Drug Administration, or FDA, in 2019. We plan to commercialize both of our lead product candidates in the United States as soon as possible after obtaining FDA approval, if such approval occurs. We have two additional omburtamab follow-on product candidates in pre-clinical development, omburtamab-DTPA and hu-omburtamab, a humanized version of omburtamab, each targeting indications with large adult patient populations. We are also advancing an early-stage, novel pipeline of bispecific antibodies, or BsAbs. We believe our BsAbs have the potential to result in improved tumor-binding, longer serum half-life, lower immunogenicity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4" w:lineRule="exact"/>
        <w:rPr>
          <w:sz w:val="20"/>
          <w:szCs w:val="20"/>
          <w:color w:val="auto"/>
        </w:rPr>
      </w:pPr>
    </w:p>
    <w:p>
      <w:pPr>
        <w:ind w:right="140" w:firstLine="615"/>
        <w:spacing w:after="0" w:line="286" w:lineRule="auto"/>
        <w:rPr>
          <w:sz w:val="20"/>
          <w:szCs w:val="20"/>
          <w:color w:val="auto"/>
        </w:rPr>
      </w:pPr>
      <w:r>
        <w:rPr>
          <w:rFonts w:ascii="Arial" w:cs="Arial" w:eastAsia="Arial" w:hAnsi="Arial"/>
          <w:sz w:val="16"/>
          <w:szCs w:val="16"/>
          <w:color w:val="auto"/>
        </w:rPr>
        <w:t>Naxitamab is a recombinant humanized immunoglobulin G, or IgG1k, monoclonal antibody that targets ganglioside GD2, which is highly expressed in various neuroectoderm-derived tumors and sarcomas. Naxitamab is currently being studied in several clinical trials, including pivotal-stage development (Study</w:t>
      </w:r>
    </w:p>
    <w:p>
      <w:pPr>
        <w:ind w:right="20" w:firstLine="8"/>
        <w:spacing w:after="0" w:line="290" w:lineRule="auto"/>
        <w:tabs>
          <w:tab w:leader="none" w:pos="366"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and a Phase 1/2 clinical trial (Study 12-230) for the treatment of pediatric R/R high-risk NB, a Phase 2 clinical trial (Study 16-1643) in front-line NB and a Phase 2 clinical trial (Study 15-096) for relapsed osteosarcoma. We believe that naxitamab has multiple potential advantages over other GD2-targeting antibody-based therapies. In particular, its modest toxicity allows for doses two-and-a-half times greater than existing GD2-targeting antibody-based therapies. Unlike currently approved GD2-targeting therapies for NB, which require 10 to 20 hours of infusion and hospitalization for several days, naxitamab is administered in approximately 30 minutes in an outpatient setting. We believe this significantly shorter administration time is an important advantage considering the overall pain associated with treatment.</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Study 12-230 for naxitamab, which together with Study 201 is expected to form the primary basis of our BLA submission, we achieved an overall response rate, or ORR, of 57% in 23 patients with pediatric R/R high-risk NB who at study entry had evaluable tumors and no evidence of progression of disease, or PD. Based on our discussions with the FDA, the profile of the non-PD R/R high-risk NB pediatric patients in Study 12-230 is representative of the intended patient population for naxitamab's target indication. The corresponding ORRs will form the primary objective of our pivotal study (Study 201). Additionally, based on our discussions with the FDA, we believe that naxitamab may qualify for accelerated approval if we can demonstrate a 30% ORR (which is significantly different from a 20% ORR at a 95% confidence interval, or CI) with a minimum 12-week duration of response. We have proposed to the FDA that, pending comparability between the study population and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pharmacokinetics analysis in Study 12-230 and Study 201, the data from the two studies may be pooled for analysis. Naxitamab has been administered to more than 200 patients to date, who will form the safety portion of our planned BLA submission, and has been generally well tolerated with no significant long-term toxicities observed to date. We expect to report the topline results from our ongoing Study 201 and submit the BLA for naxitamab for R/R high-risk NB in the second half of 2018. Currently, there are no FDA-approved therapies for primary refractory or second-line pediatric NB patients. Naxitamab has also received orphan drug designation, or ODD, and rare pediatric disease designation, or RPDD, from the FDA for the treatment of NB. While our current clinical efforts for naxitamab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72" w:lineRule="exact"/>
        <w:rPr>
          <w:sz w:val="20"/>
          <w:szCs w:val="20"/>
          <w:color w:val="auto"/>
        </w:rPr>
      </w:pPr>
    </w:p>
    <w:p>
      <w:pPr>
        <w:jc w:val="both"/>
        <w:ind w:right="340" w:firstLine="615"/>
        <w:spacing w:after="0" w:line="250" w:lineRule="auto"/>
        <w:rPr>
          <w:sz w:val="20"/>
          <w:szCs w:val="20"/>
          <w:color w:val="auto"/>
        </w:rPr>
      </w:pPr>
      <w:r>
        <w:rPr>
          <w:rFonts w:ascii="Arial" w:cs="Arial" w:eastAsia="Arial" w:hAnsi="Arial"/>
          <w:sz w:val="16"/>
          <w:szCs w:val="16"/>
          <w:color w:val="auto"/>
        </w:rPr>
        <w:t xml:space="preserve">Omburtamab is a murine monoclonal antibody that targets B7-H3, an immune checkpoint molecule that is widely expressed in tumor cells of several cancer types. </w:t>
      </w:r>
      <w:r>
        <w:rPr>
          <w:rFonts w:ascii="Arial" w:cs="Arial" w:eastAsia="Arial" w:hAnsi="Arial"/>
          <w:sz w:val="26"/>
          <w:szCs w:val="26"/>
          <w:color w:val="auto"/>
          <w:vertAlign w:val="superscript"/>
        </w:rPr>
        <w:t>131</w:t>
      </w:r>
      <w:r>
        <w:rPr>
          <w:rFonts w:ascii="Arial" w:cs="Arial" w:eastAsia="Arial" w:hAnsi="Arial"/>
          <w:sz w:val="16"/>
          <w:szCs w:val="16"/>
          <w:color w:val="auto"/>
        </w:rPr>
        <w:t>I-omburtamab, which is omburtamab radiolabeled with Iodine-131, is currently being studied in several clinical trials including pivotal-stage development (Study 101) and a Phase 1 clinical trial (Study 03-133) for the treatment of pediatric patients with R/R NB who have CNS or LM. As of August</w:t>
      </w:r>
    </w:p>
    <w:p>
      <w:pPr>
        <w:spacing w:after="0" w:line="243" w:lineRule="auto"/>
        <w:rPr>
          <w:sz w:val="20"/>
          <w:szCs w:val="20"/>
          <w:color w:val="auto"/>
        </w:rPr>
      </w:pPr>
      <w:r>
        <w:rPr>
          <w:rFonts w:ascii="Arial" w:cs="Arial" w:eastAsia="Arial" w:hAnsi="Arial"/>
          <w:sz w:val="16"/>
          <w:szCs w:val="16"/>
          <w:color w:val="auto"/>
        </w:rPr>
        <w:t xml:space="preserve">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in Study 03-133. An analysis of these 93 patients demonstrated a median overall survival, or OS, of 47 months (including an estimated five-year OS of approximately 43%), as compared to historical median OS of approximately six months. We have proposed to the FDA that, pending comparability between study population and the pharmacokinetics analysis in Study 03-133 and Study 101, data from both studies may be pooled for analysis for our planned BLA submission. Omburtamab has also been generally well tolerated, with no significant long-term toxicities observed to date. </w:t>
      </w:r>
      <w:r>
        <w:rPr>
          <w:rFonts w:ascii="Arial" w:cs="Arial" w:eastAsia="Arial" w:hAnsi="Arial"/>
          <w:sz w:val="26"/>
          <w:szCs w:val="26"/>
          <w:color w:val="auto"/>
          <w:vertAlign w:val="superscript"/>
        </w:rPr>
        <w:t>131</w:t>
      </w:r>
      <w:r>
        <w:rPr>
          <w:rFonts w:ascii="Arial" w:cs="Arial" w:eastAsia="Arial" w:hAnsi="Arial"/>
          <w:sz w:val="16"/>
          <w:szCs w:val="16"/>
          <w:color w:val="auto"/>
        </w:rPr>
        <w:t>I-omburtamab has received ODD and RPDD from the FDA for the treatment of NB, and Breakthrough Therapy</w:t>
      </w:r>
    </w:p>
    <w:p>
      <w:pPr>
        <w:spacing w:after="0" w:line="4" w:lineRule="exact"/>
        <w:rPr>
          <w:sz w:val="20"/>
          <w:szCs w:val="20"/>
          <w:color w:val="auto"/>
        </w:rPr>
      </w:pPr>
    </w:p>
    <w:p>
      <w:pPr>
        <w:ind w:right="20"/>
        <w:spacing w:after="0" w:line="206" w:lineRule="auto"/>
        <w:rPr>
          <w:sz w:val="20"/>
          <w:szCs w:val="20"/>
          <w:color w:val="auto"/>
        </w:rPr>
      </w:pPr>
      <w:r>
        <w:rPr>
          <w:rFonts w:ascii="Arial" w:cs="Arial" w:eastAsia="Arial" w:hAnsi="Arial"/>
          <w:sz w:val="18"/>
          <w:szCs w:val="18"/>
          <w:color w:val="auto"/>
        </w:rPr>
        <w:t xml:space="preserve">Designation, or BTD, for the treatment of pediatric patients with R/R NB who have CNS or LM. We expect to 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CNS/LM from NB in the second half of 2018.</w:t>
      </w:r>
    </w:p>
    <w:p>
      <w:pPr>
        <w:spacing w:after="0" w:line="213" w:lineRule="exact"/>
        <w:rPr>
          <w:sz w:val="20"/>
          <w:szCs w:val="20"/>
          <w:color w:val="auto"/>
        </w:rPr>
      </w:pPr>
    </w:p>
    <w:p>
      <w:pPr>
        <w:ind w:right="40" w:firstLine="615"/>
        <w:spacing w:after="0" w:line="22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which is omburtamab radiolabeled with Iodine-124, is currently being studied for the treatment of Diffuse Intrinsic Pontine Glioma, or DIPG.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and the underlying solid systemic tumors. We estimate that, in the United States in 2017, there were more than 30,000 new patients diagnosed with cancer that has metastasized to the CNS/LM, of which the vast majority express B7-H3.</w:t>
      </w:r>
    </w:p>
    <w:p>
      <w:pPr>
        <w:spacing w:after="0" w:line="210" w:lineRule="exact"/>
        <w:rPr>
          <w:sz w:val="20"/>
          <w:szCs w:val="20"/>
          <w:color w:val="auto"/>
        </w:rPr>
      </w:pPr>
    </w:p>
    <w:p>
      <w:pPr>
        <w:ind w:right="60" w:firstLine="611"/>
        <w:spacing w:after="0" w:line="289" w:lineRule="auto"/>
        <w:rPr>
          <w:sz w:val="20"/>
          <w:szCs w:val="20"/>
          <w:color w:val="auto"/>
        </w:rPr>
      </w:pPr>
      <w:r>
        <w:rPr>
          <w:rFonts w:ascii="Arial" w:cs="Arial" w:eastAsia="Arial" w:hAnsi="Arial"/>
          <w:sz w:val="16"/>
          <w:szCs w:val="16"/>
          <w:color w:val="auto"/>
        </w:rPr>
        <w:t>We have two additional product candidates in pre-clinical development, omburtamab-DTPA (diethylenetriamine pentaacetate), a Lutetium-177 conjugated antibody, and hu-omburtamab, a humanized version of omburtamab, each targeting indications with large adult patient populations where we believe there is a significant unmet medical need. We are also advancing a pipeline of novel BsAbs through late pre-clinical development, including our naxitamab-BsAb product candidate for the treatment of refractory GD2-positive adult and pediatric solid tumors and a huCD33-BsAb product candidate for the treatment of hematological cancers expressing CD33, a transmembrane receptor expressed on cells of myeloid lineage. In pre-clinical studies, naxitamab-BsAb has demonstrated the potential for improved tumor-binding, longer serum half-life, lower immunogenicity and significantly greater T-cell mediated killing compared to existing bispecific constructs. We expect to file an Investigational New Drug application, or IND, for our naxitamab-BsAb product candidate for treatment of patients with refractory GD2-positive solid tumors in the first half of 2018.</w:t>
      </w:r>
    </w:p>
    <w:p>
      <w:pPr>
        <w:spacing w:after="0" w:line="172"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We have exclusive rights to MSK's rights in all of our current product candidates under our 2015 license agreement, or the MSK License, with Memorial Sloan Kettering Cancer Center, or MSK.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and are currently collaborating with MSK on several MULTI-TAG product candidates, with the goal of selecting a potential clinical candidate in 2018. We believe that our strong relationship with MSK, one of the world's leading cancer treatment centers, and our access to certain of MSK's technologies and substantial research capabilities affords us several competitive advantages, particularly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174" w:lineRule="exact"/>
        <w:rPr>
          <w:sz w:val="20"/>
          <w:szCs w:val="20"/>
          <w:color w:val="auto"/>
        </w:rPr>
      </w:pPr>
    </w:p>
    <w:p>
      <w:pPr>
        <w:ind w:right="60" w:firstLine="615"/>
        <w:spacing w:after="0" w:line="301" w:lineRule="auto"/>
        <w:rPr>
          <w:sz w:val="20"/>
          <w:szCs w:val="20"/>
          <w:color w:val="auto"/>
        </w:rPr>
      </w:pPr>
      <w:r>
        <w:rPr>
          <w:rFonts w:ascii="Arial" w:cs="Arial" w:eastAsia="Arial" w:hAnsi="Arial"/>
          <w:sz w:val="15"/>
          <w:szCs w:val="15"/>
          <w:color w:val="auto"/>
        </w:rPr>
        <w:t>Our management team has substantial public company experience and extensive knowledge in the field of antibody oncology drug development, manufacturing and commercialization. Thomas Gad, our Founder, Chairman, President and Head of Business Development, co-founded Singad Pharma ApS, a Danish pharmaceutical and distribution company, where, as part of senior management, he gained more than 12 years of experience in the pharmaceutical industry, including in business development, financing and licensing negotiations and manufacturing site qualification. Our Chief Executive Officer, Dr. Claus Juan Møller San Pedro, co-founded Genmab A/S, one of the largest public biotechnology companies in Europe, where he served as Executive Vice President and Chief Operating Officer for over 10 years. Our Chief Financial Officer, Bo Kruse, served as Genmab's Chief Financial Officer and was directly involved in several of Genmab's financing rounds including Genmab's initial public offering. Our Senior Vice President and Chief Operating Officer, Joris Wiel Jan Wilms, has extensive industry experience in clinical development, primarily within oncology and hematology indications, and was responsible for overseeing several first-in-human studies and pivotal clinical trials, leading to the approval of two monoclonal antibody-based products while at his previous positions as Vice President—Clinical Trial Services and Pharmacovigilance at KLIFO A/S, and Associate Director of Clinical Development at Genmab. Our Senior Vice President of Technical Operations, Dr. Torben Lund-Hansen, has substantial experience in antibody process development and manufacturing. Dr. Lund-Hansen held similar positions at Genmab where he was responsible for sourcing clinical and commercial drug substance and product manufacturing. Our Chief Medical Officer,</w:t>
      </w:r>
    </w:p>
    <w:p>
      <w:pPr>
        <w:spacing w:after="0" w:line="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Dr. Steen Lisby, also comes from Genmab where he was Genmab's Chief Medical Officer until July 2017 when he joined our company. Dr. Lisby also has substantial experience in antibody drug development. In addition, since our inception in April 2015, we have raised approximately $120 million from our founding investors and prominent biotechnology institutional investors, including HBM Healthcare Investments (Cayman) Ltd. and funds advised by or affiliated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60" w:type="dxa"/>
            <w:vAlign w:val="bottom"/>
          </w:tcPr>
          <w:p>
            <w:pPr>
              <w:jc w:val="right"/>
              <w:ind w:right="432"/>
              <w:spacing w:after="0"/>
              <w:rPr>
                <w:sz w:val="20"/>
                <w:szCs w:val="20"/>
                <w:color w:val="auto"/>
              </w:rPr>
            </w:pPr>
            <w:r>
              <w:rPr>
                <w:rFonts w:ascii="Arial" w:cs="Arial" w:eastAsia="Arial" w:hAnsi="Arial"/>
                <w:sz w:val="18"/>
                <w:szCs w:val="18"/>
                <w:color w:val="auto"/>
                <w:w w:val="87"/>
              </w:rPr>
              <w:t>with Scopia Capital Management LP and Sofinnova Ventures, Inc., among others, and as of</w:t>
            </w:r>
          </w:p>
        </w:tc>
        <w:tc>
          <w:tcPr>
            <w:tcW w:w="4040" w:type="dxa"/>
            <w:vAlign w:val="bottom"/>
          </w:tcPr>
          <w:p>
            <w:pPr>
              <w:ind w:left="540"/>
              <w:spacing w:after="0"/>
              <w:rPr>
                <w:sz w:val="20"/>
                <w:szCs w:val="20"/>
                <w:color w:val="auto"/>
              </w:rPr>
            </w:pPr>
            <w:r>
              <w:rPr>
                <w:rFonts w:ascii="Arial" w:cs="Arial" w:eastAsia="Arial" w:hAnsi="Arial"/>
                <w:sz w:val="18"/>
                <w:szCs w:val="18"/>
                <w:color w:val="auto"/>
                <w:w w:val="91"/>
              </w:rPr>
              <w:t>, 2018, we have cash and cash equivalents of $</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26"/>
        </w:trPr>
        <w:tc>
          <w:tcPr>
            <w:tcW w:w="6960" w:type="dxa"/>
            <w:vAlign w:val="bottom"/>
          </w:tcPr>
          <w:p>
            <w:pPr>
              <w:jc w:val="right"/>
              <w:ind w:right="1032"/>
              <w:spacing w:after="0"/>
              <w:rPr>
                <w:sz w:val="20"/>
                <w:szCs w:val="20"/>
                <w:color w:val="auto"/>
              </w:rPr>
            </w:pPr>
            <w:r>
              <w:rPr>
                <w:rFonts w:ascii="Arial" w:cs="Arial" w:eastAsia="Arial" w:hAnsi="Arial"/>
                <w:sz w:val="18"/>
                <w:szCs w:val="18"/>
                <w:color w:val="auto"/>
              </w:rPr>
              <w:t>102</w:t>
            </w:r>
          </w:p>
        </w:tc>
        <w:tc>
          <w:tcPr>
            <w:tcW w:w="4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8"/>
        </w:trPr>
        <w:tc>
          <w:tcPr>
            <w:tcW w:w="696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our product candidates and their current development stages, estimated development timelines and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6457315" cy="3344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5731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80" w:hanging="532"/>
        <w:spacing w:after="0" w:line="318" w:lineRule="auto"/>
        <w:tabs>
          <w:tab w:leader="none" w:pos="5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Pivotal registration study supportive of a BLA submission to the FDA, comprised of Study 12-230 measuring pharmacokinetic, toxicity and efficacy and an additional Phase 3 study, Study 201, to prove comparability between study sites using a cGMP commercial manufacturer and that has also been designed to satisfy the confirmatory study and post-marketing requirements by the FDA.</w:t>
      </w:r>
    </w:p>
    <w:p>
      <w:pPr>
        <w:spacing w:after="0" w:line="134" w:lineRule="exact"/>
        <w:rPr>
          <w:rFonts w:ascii="Arial" w:cs="Arial" w:eastAsia="Arial" w:hAnsi="Arial"/>
          <w:sz w:val="12"/>
          <w:szCs w:val="12"/>
          <w:color w:val="auto"/>
        </w:rPr>
      </w:pPr>
    </w:p>
    <w:p>
      <w:pPr>
        <w:ind w:left="540" w:hanging="532"/>
        <w:spacing w:after="0"/>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Initial study represents pediatric and young adult patients.</w:t>
      </w:r>
    </w:p>
    <w:p>
      <w:pPr>
        <w:spacing w:after="0" w:line="190" w:lineRule="exact"/>
        <w:rPr>
          <w:rFonts w:ascii="Arial" w:cs="Arial" w:eastAsia="Arial" w:hAnsi="Arial"/>
          <w:sz w:val="14"/>
          <w:szCs w:val="14"/>
          <w:color w:val="auto"/>
        </w:rPr>
      </w:pPr>
    </w:p>
    <w:p>
      <w:pPr>
        <w:ind w:left="540" w:hanging="532"/>
        <w:spacing w:after="0"/>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the radioactive isotope of iodine used to radiolabel omburtamab.</w:t>
      </w:r>
    </w:p>
    <w:p>
      <w:pPr>
        <w:spacing w:after="0" w:line="190" w:lineRule="exact"/>
        <w:rPr>
          <w:rFonts w:ascii="Arial" w:cs="Arial" w:eastAsia="Arial" w:hAnsi="Arial"/>
          <w:sz w:val="14"/>
          <w:szCs w:val="14"/>
          <w:color w:val="auto"/>
        </w:rPr>
      </w:pPr>
    </w:p>
    <w:p>
      <w:pPr>
        <w:ind w:left="540" w:right="280" w:hanging="532"/>
        <w:spacing w:after="0" w:line="318" w:lineRule="auto"/>
        <w:tabs>
          <w:tab w:leader="none" w:pos="5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Pivotal registration study supportive of a BLA submission to the FDA, comprised of Study 03-133 measuring pharmacokinetic, toxicity and efficacy and an additional Phase 3 study, Study 101, to prove comparability between study sites using a cGMP commercial manufacturer and that has also been designed to satisfy the confirmatory study and post-marketing requirements by the FDA.</w:t>
      </w:r>
    </w:p>
    <w:p>
      <w:pPr>
        <w:spacing w:after="0" w:line="134" w:lineRule="exact"/>
        <w:rPr>
          <w:rFonts w:ascii="Arial" w:cs="Arial" w:eastAsia="Arial" w:hAnsi="Arial"/>
          <w:sz w:val="12"/>
          <w:szCs w:val="12"/>
          <w:color w:val="auto"/>
        </w:rPr>
      </w:pPr>
    </w:p>
    <w:p>
      <w:pPr>
        <w:ind w:left="540" w:hanging="532"/>
        <w:spacing w:after="0"/>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Omburtamab-DTPA is a DTPA-conjugated omburtamab labeled with Lutetium-177 as chelator.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31" w:lineRule="exact"/>
        <w:rPr>
          <w:sz w:val="20"/>
          <w:szCs w:val="20"/>
          <w:color w:val="auto"/>
        </w:rPr>
      </w:pPr>
    </w:p>
    <w:p>
      <w:pPr>
        <w:ind w:right="260" w:firstLine="615"/>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Key elements of our strategy to achieve this goal are:</w:t>
      </w:r>
    </w:p>
    <w:p>
      <w:pPr>
        <w:spacing w:after="0" w:line="233" w:lineRule="exact"/>
        <w:rPr>
          <w:sz w:val="20"/>
          <w:szCs w:val="20"/>
          <w:color w:val="auto"/>
        </w:rPr>
      </w:pPr>
    </w:p>
    <w:p>
      <w:pPr>
        <w:ind w:left="1080" w:hanging="532"/>
        <w:spacing w:after="0" w:line="230"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Rapidly and concurrently advance our lead product candidates to regulatory approval. </w:t>
      </w:r>
      <w:r>
        <w:rPr>
          <w:rFonts w:ascii="Arial" w:cs="Arial" w:eastAsia="Arial" w:hAnsi="Arial"/>
          <w:sz w:val="18"/>
          <w:szCs w:val="18"/>
          <w:color w:val="auto"/>
        </w:rPr>
        <w:t>We are currently in pivotal stage development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both of our lead product candidates, naxitamab for the treatment of pediatric R/R high-risk NB and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the treatment of pediatric CNS/LM from NB. We are advancing both of our lead product candidates through an expedited regulatory pathway and we expect that they will be eligible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59" w:lineRule="auto"/>
        <w:rPr>
          <w:sz w:val="20"/>
          <w:szCs w:val="20"/>
          <w:color w:val="auto"/>
        </w:rPr>
      </w:pPr>
      <w:r>
        <w:rPr>
          <w:rFonts w:ascii="Arial" w:cs="Arial" w:eastAsia="Arial" w:hAnsi="Arial"/>
          <w:sz w:val="18"/>
          <w:szCs w:val="18"/>
          <w:color w:val="auto"/>
        </w:rPr>
        <w:t>for priority review. We expect to submit a BLA for each of our two lead product candidates in 2018, with a goal of receiving approval by the FDA in 2019. We plan to commercialize both of our lead product candidates in the United States as soon as possible after obtaining FDA approval, if such approval occurs.</w:t>
      </w:r>
    </w:p>
    <w:p>
      <w:pPr>
        <w:spacing w:after="0" w:line="202" w:lineRule="exact"/>
        <w:rPr>
          <w:sz w:val="20"/>
          <w:szCs w:val="20"/>
          <w:color w:val="auto"/>
        </w:rPr>
      </w:pPr>
    </w:p>
    <w:p>
      <w:pPr>
        <w:ind w:left="1080" w:right="20" w:hanging="532"/>
        <w:spacing w:after="0" w:line="273"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Expand the indications and target patient populations for our existing product candidates. </w:t>
      </w:r>
      <w:r>
        <w:rPr>
          <w:rFonts w:ascii="Arial" w:cs="Arial" w:eastAsia="Arial" w:hAnsi="Arial"/>
          <w:sz w:val="16"/>
          <w:szCs w:val="16"/>
          <w:color w:val="auto"/>
        </w:rPr>
        <w:t>Our goal is to maximize the potential of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existing product candidates in areas where there is a significant unmet medical need by exploring additional indications, as well as expanding the target population within existing indications. For example, we are developing naxitamab for the treatment of front-line NB and relapsed osteosarcoma and we intend to discuss our BLA strategy in these indications with the FDA after completing the BLA submission for naxitamab in pediatric R/R high-risk NB. We are also currently developing radiolabeled omburtamab for the treatment of pediatric patients with DIPG and DSRCT, both currently in Phase 1/2 clinical trials. After completing the BLA submission for </w:t>
      </w:r>
      <w:r>
        <w:rPr>
          <w:rFonts w:ascii="Arial" w:cs="Arial" w:eastAsia="Arial" w:hAnsi="Arial"/>
          <w:sz w:val="26"/>
          <w:szCs w:val="26"/>
          <w:color w:val="auto"/>
          <w:vertAlign w:val="superscript"/>
        </w:rPr>
        <w:t>131</w:t>
      </w:r>
      <w:r>
        <w:rPr>
          <w:rFonts w:ascii="Arial" w:cs="Arial" w:eastAsia="Arial" w:hAnsi="Arial"/>
          <w:sz w:val="16"/>
          <w:szCs w:val="16"/>
          <w:color w:val="auto"/>
        </w:rPr>
        <w:t>I-omburtamab for pediatric CNS/LM from NB, we intend to discuss with the FDA the protocol for the continuation and expansion of the ongoing DIPG and DSRCT clinical trials. We believe that we may qualify for a supplemental BLA, or sBLA, in each of these indications assuming positive pivotal data.</w:t>
      </w:r>
    </w:p>
    <w:p>
      <w:pPr>
        <w:spacing w:after="0" w:line="207"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Independently commercialize our product candidates in indications and territories where we believe we can maximize their value. </w:t>
      </w:r>
      <w:r>
        <w:rPr>
          <w:rFonts w:ascii="Arial" w:cs="Arial" w:eastAsia="Arial" w:hAnsi="Arial"/>
          <w:sz w:val="16"/>
          <w:szCs w:val="16"/>
          <w:color w:val="auto"/>
        </w:rPr>
        <w:t>We plan</w:t>
      </w:r>
      <w:r>
        <w:rPr>
          <w:rFonts w:ascii="Arial" w:cs="Arial" w:eastAsia="Arial" w:hAnsi="Arial"/>
          <w:sz w:val="16"/>
          <w:szCs w:val="16"/>
          <w:b w:val="1"/>
          <w:bCs w:val="1"/>
          <w:color w:val="auto"/>
        </w:rPr>
        <w:t xml:space="preserve"> </w:t>
      </w:r>
      <w:r>
        <w:rPr>
          <w:rFonts w:ascii="Arial" w:cs="Arial" w:eastAsia="Arial" w:hAnsi="Arial"/>
          <w:sz w:val="16"/>
          <w:szCs w:val="16"/>
          <w:color w:val="auto"/>
        </w:rPr>
        <w:t>to independently commercialize our late-stage product candidates focusing on already-identified key treatment centers such as MSK, as well as educating doctors, patients and payors about our product candidates and their indications to drive acceptance and uptake. We believe that we will need to engage a small number of physician specialists for training regarding the appropriate administration and use of our product candidates. The sales call points for our current product candidates in the United States and the European Union are highly concentrated and generally addressable by a relatively small commercial organization, which we believe will allow us the flexibility to cost-effectively build our own commercial capability. Finally, in indications and in territories that are better served by the resources of larger biopharmaceutical companies we intend to form commercial and development collaborations.</w:t>
      </w:r>
    </w:p>
    <w:p>
      <w:pPr>
        <w:spacing w:after="0" w:line="179" w:lineRule="exact"/>
        <w:rPr>
          <w:rFonts w:ascii="Arial" w:cs="Arial" w:eastAsia="Arial" w:hAnsi="Arial"/>
          <w:sz w:val="16"/>
          <w:szCs w:val="16"/>
          <w:color w:val="auto"/>
        </w:rPr>
      </w:pPr>
    </w:p>
    <w:p>
      <w:pPr>
        <w:ind w:left="1080" w:right="60" w:hanging="532"/>
        <w:spacing w:after="0" w:line="291"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Advance our novel BsAb product candidates that we believe may offer potential substantial benefits over existing bispecific constructs. </w:t>
      </w:r>
      <w:r>
        <w:rPr>
          <w:rFonts w:ascii="Arial" w:cs="Arial" w:eastAsia="Arial" w:hAnsi="Arial"/>
          <w:sz w:val="16"/>
          <w:szCs w:val="16"/>
          <w:color w:val="auto"/>
        </w:rPr>
        <w:t>We are also advancing a promising pipeline of BsAbs that we believe have the potential to overcome limitations associated with existing BsAb constructs. Our first BsAb product candidate, naxitamab-BsAb, is a bivalent humanized anti-GD2 and anti-CD3 BsAb. We plan to submit an IND for this BsAb product candidate for the treatment of GD2-positive refractory solid tumors in the in the first half of 2018. We are also advancing our huCD33-BsAb product candidate for the treatment of hematological cancers expressing CD33 and expect to file an IND in 2019. Further, we plan to utilize our access to the MULTI-TAG technology platform to create a diverse platform of dimerized BiTEs and are currently working with MSK on developing several MULTI-TAG candidates with a goal of selecting a candidate in 2018.</w:t>
      </w:r>
    </w:p>
    <w:p>
      <w:pPr>
        <w:spacing w:after="0" w:line="180" w:lineRule="exact"/>
        <w:rPr>
          <w:rFonts w:ascii="Arial" w:cs="Arial" w:eastAsia="Arial" w:hAnsi="Arial"/>
          <w:sz w:val="16"/>
          <w:szCs w:val="16"/>
          <w:color w:val="auto"/>
        </w:rPr>
      </w:pPr>
    </w:p>
    <w:p>
      <w:pPr>
        <w:ind w:left="1080" w:right="80" w:hanging="532"/>
        <w:spacing w:after="0" w:line="293"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relationships with leading academic and clinical institutions to develop additional product candidates. </w:t>
      </w:r>
      <w:r>
        <w:rPr>
          <w:rFonts w:ascii="Arial" w:cs="Arial" w:eastAsia="Arial" w:hAnsi="Arial"/>
          <w:sz w:val="16"/>
          <w:szCs w:val="16"/>
          <w:color w:val="auto"/>
        </w:rPr>
        <w:t>We intend to continue</w:t>
      </w:r>
      <w:r>
        <w:rPr>
          <w:rFonts w:ascii="Arial" w:cs="Arial" w:eastAsia="Arial" w:hAnsi="Arial"/>
          <w:sz w:val="16"/>
          <w:szCs w:val="16"/>
          <w:b w:val="1"/>
          <w:bCs w:val="1"/>
          <w:color w:val="auto"/>
        </w:rPr>
        <w:t xml:space="preserve"> </w:t>
      </w:r>
      <w:r>
        <w:rPr>
          <w:rFonts w:ascii="Arial" w:cs="Arial" w:eastAsia="Arial" w:hAnsi="Arial"/>
          <w:sz w:val="16"/>
          <w:szCs w:val="16"/>
          <w:color w:val="auto"/>
        </w:rPr>
        <w:t>to partner with leading centers, such as MSK, for cancer treatment worldwide, to identify and develop additional product candidates. We believe that our relationship with MSK, our access to several of their technologies and MSK's significant expertise in pediatric cancer care provides us with significant competitive advantages. For example, our Investigator-Sponsored Master Clinical Trial Agreement, or the MCTA, with MSK provides us with ready access to patients for clinical trial enrollment, which is a significant advantage in rare disease drug development where patients are often hard to locate and recruit. Our Sponsored Research Agreement,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298" w:lineRule="auto"/>
        <w:rPr>
          <w:sz w:val="20"/>
          <w:szCs w:val="20"/>
          <w:color w:val="auto"/>
        </w:rPr>
      </w:pPr>
      <w:r>
        <w:rPr>
          <w:rFonts w:ascii="Arial" w:cs="Arial" w:eastAsia="Arial" w:hAnsi="Arial"/>
          <w:sz w:val="16"/>
          <w:szCs w:val="16"/>
          <w:color w:val="auto"/>
        </w:rPr>
        <w:t>the SRA, with MSK, pursuant to which we agreed to provide research funding to MSK, grants us a first option to negotiate an exclusive license to MSK's rights in any new joint inventions discovered under the SRA. We plan to leverage our strong relationship with institutions such as MSK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Approaches to the Treatment of Cancer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Overview</w:t>
      </w:r>
    </w:p>
    <w:p>
      <w:pPr>
        <w:spacing w:after="0" w:line="225" w:lineRule="exact"/>
        <w:rPr>
          <w:sz w:val="20"/>
          <w:szCs w:val="20"/>
          <w:color w:val="auto"/>
        </w:rPr>
      </w:pPr>
    </w:p>
    <w:p>
      <w:pPr>
        <w:jc w:val="both"/>
        <w:ind w:right="180" w:firstLine="615"/>
        <w:spacing w:after="0" w:line="306" w:lineRule="auto"/>
        <w:rPr>
          <w:sz w:val="20"/>
          <w:szCs w:val="20"/>
          <w:color w:val="auto"/>
        </w:rPr>
      </w:pPr>
      <w:r>
        <w:rPr>
          <w:rFonts w:ascii="Arial" w:cs="Arial" w:eastAsia="Arial" w:hAnsi="Arial"/>
          <w:sz w:val="16"/>
          <w:szCs w:val="16"/>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pacing w:after="0" w:line="161" w:lineRule="exact"/>
        <w:rPr>
          <w:sz w:val="20"/>
          <w:szCs w:val="20"/>
          <w:color w:val="auto"/>
        </w:rPr>
      </w:pPr>
    </w:p>
    <w:p>
      <w:pPr>
        <w:ind w:right="20" w:firstLine="615"/>
        <w:spacing w:after="0" w:line="254" w:lineRule="auto"/>
        <w:rPr>
          <w:sz w:val="20"/>
          <w:szCs w:val="20"/>
          <w:color w:val="auto"/>
        </w:rPr>
      </w:pPr>
      <w:r>
        <w:rPr>
          <w:rFonts w:ascii="Arial" w:cs="Arial" w:eastAsia="Arial" w:hAnsi="Arial"/>
          <w:sz w:val="18"/>
          <w:szCs w:val="18"/>
          <w:color w:val="auto"/>
        </w:rPr>
        <w:t>Cancer is a major public health problem in the United States and worldwide. The American Cancer Society, or ACS, estimated that approximately 40% of all men and women in the United States will be diagnosed with cancer during their lifetime (based on 2011-2013 data). According to the U.S. Centers for Disease Control, cancer is currently the second leading cause of death in the United States, and is expected to surpass heart disease as the leading cause of death in the next several years. Although progress has been made in the diagnosis and treatment of cancer, the ACS estimates that over 1.6 million new cancer cases will be diagnosed in the United States and over 600,000 people will have died from cancer in 2017. Thus, there remains a significant need for novel and improved treatment options for cancer patients.</w:t>
      </w:r>
    </w:p>
    <w:p>
      <w:pPr>
        <w:spacing w:after="0" w:line="19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Cancer treatment has traditionally included chemotherapy, radiation, hormone therapy, surgery or a combination of these approaches. While small molecule chemotherapy agents and cytotoxic agents have demonstrated efficacy in treating certain types of cancers, they can also cause toxicities that may lead to life-threatening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long-term remission in patients. In the last 20 years, cancer research and treatment has shifted to more targeted therapies, such as monoclonal antibodies, and immuno-oncology, a new field of cancer therapy focused on enhancing antitumor immune responses.</w:t>
      </w:r>
    </w:p>
    <w:p>
      <w:pPr>
        <w:spacing w:after="0" w:line="174" w:lineRule="exact"/>
        <w:rPr>
          <w:sz w:val="20"/>
          <w:szCs w:val="20"/>
          <w:color w:val="auto"/>
        </w:rPr>
      </w:pPr>
    </w:p>
    <w:p>
      <w:pPr>
        <w:jc w:val="both"/>
        <w:ind w:right="180" w:firstLine="605"/>
        <w:spacing w:after="0" w:line="256" w:lineRule="auto"/>
        <w:rPr>
          <w:sz w:val="20"/>
          <w:szCs w:val="20"/>
          <w:color w:val="auto"/>
        </w:rPr>
      </w:pPr>
      <w:r>
        <w:rPr>
          <w:rFonts w:ascii="Arial" w:cs="Arial" w:eastAsia="Arial" w:hAnsi="Arial"/>
          <w:sz w:val="18"/>
          <w:szCs w:val="18"/>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 immune system and had limited efficacy and/or significant toxicity. In contrast, new immunotherapy treatments can activate specific, key immune cells, leading to improved targeting of cancer cells, efficacy, and safety.</w:t>
      </w:r>
    </w:p>
    <w:p>
      <w:pPr>
        <w:spacing w:after="0" w:line="19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Cancer therapies are sometimes characterized as front-line, second-line, or third-line, and the FDA often approves new therapies initially only for third-line use. When cancer is detected early enough, front-line therapy is sometimes adequate to effectively treat the cancer or prolong life. Whenever front-line therapy, usually chemotherapy, radiation therapy, surgery, or a combination of these, proves unsuccessful, second-line therapy may be administered. Second-line therapies often consist of more chemotherapy, surgery, antibody drugs, tumor-targeted therapies such as monoclonal antibodies and small molecule inhibitors, or a combination of these. Third-line therapies can include bone marrow transplantation, antibody and small molecule targeted therapies, more invasive forms of surgery, and new technologies.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 and Introduction to Antibodies</w:t>
      </w:r>
    </w:p>
    <w:p>
      <w:pPr>
        <w:spacing w:after="0" w:line="225" w:lineRule="exact"/>
        <w:rPr>
          <w:sz w:val="20"/>
          <w:szCs w:val="20"/>
          <w:color w:val="auto"/>
        </w:rPr>
      </w:pPr>
    </w:p>
    <w:p>
      <w:pPr>
        <w:ind w:right="400" w:firstLine="611"/>
        <w:spacing w:after="0" w:line="298" w:lineRule="auto"/>
        <w:rPr>
          <w:sz w:val="20"/>
          <w:szCs w:val="20"/>
          <w:color w:val="auto"/>
        </w:rPr>
      </w:pPr>
      <w:r>
        <w:rPr>
          <w:rFonts w:ascii="Arial" w:cs="Arial" w:eastAsia="Arial" w:hAnsi="Arial"/>
          <w:sz w:val="16"/>
          <w:szCs w:val="16"/>
          <w:color w:val="auto"/>
        </w:rPr>
        <w:t>The immune system is often described as having two main branches—innate (non-specific) and adaptive (acquired) immunity. It defends against invading pathogens such as viruses, parasites, and bacteria, and provides surveillance against cancers. The innate immune system is the initial response to an infection, and the response is the same every time regardless of prior exposure to the infectious agent. The adaptive immune system includes B-cells, which secrete antibodies and T-cells, which can be either helper T-cells or cytotoxic T-cells.</w:t>
      </w:r>
    </w:p>
    <w:p>
      <w:pPr>
        <w:spacing w:after="0" w:line="167" w:lineRule="exact"/>
        <w:rPr>
          <w:sz w:val="20"/>
          <w:szCs w:val="20"/>
          <w:color w:val="auto"/>
        </w:rPr>
      </w:pPr>
    </w:p>
    <w:p>
      <w:pPr>
        <w:ind w:right="260" w:firstLine="605"/>
        <w:spacing w:after="0" w:line="298" w:lineRule="auto"/>
        <w:rPr>
          <w:sz w:val="20"/>
          <w:szCs w:val="20"/>
          <w:color w:val="auto"/>
        </w:rPr>
      </w:pPr>
      <w:r>
        <w:rPr>
          <w:rFonts w:ascii="Arial" w:cs="Arial" w:eastAsia="Arial" w:hAnsi="Arial"/>
          <w:sz w:val="16"/>
          <w:szCs w:val="16"/>
          <w:color w:val="auto"/>
        </w:rPr>
        <w:t>An antibody, also known as an IgG, is a large, Y-shaped protein produced mainly by plasma cells in response to foreign substances, such as viruses or cancer cells. Antibodies circulating in the bloodstream function by binding to the target or antigen they are generated to fight.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w:t>
      </w:r>
    </w:p>
    <w:p>
      <w:pPr>
        <w:spacing w:after="0" w:line="167"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 xml:space="preserve">Different types of antibodies include: (i) </w:t>
      </w:r>
      <w:r>
        <w:rPr>
          <w:rFonts w:ascii="Arial" w:cs="Arial" w:eastAsia="Arial" w:hAnsi="Arial"/>
          <w:sz w:val="16"/>
          <w:szCs w:val="16"/>
          <w:i w:val="1"/>
          <w:iCs w:val="1"/>
          <w:color w:val="auto"/>
        </w:rPr>
        <w:t>Monoclonal Antibodies</w:t>
      </w:r>
      <w:r>
        <w:rPr>
          <w:rFonts w:ascii="Arial" w:cs="Arial" w:eastAsia="Arial" w:hAnsi="Arial"/>
          <w:sz w:val="16"/>
          <w:szCs w:val="16"/>
          <w:color w:val="auto"/>
        </w:rPr>
        <w:t xml:space="preserve">—laboratory-made antibodies typically derived from immune cells of mammals that have been immunized with a desired antigen and are all clones of a unique parent; (ii) </w:t>
      </w:r>
      <w:r>
        <w:rPr>
          <w:rFonts w:ascii="Arial" w:cs="Arial" w:eastAsia="Arial" w:hAnsi="Arial"/>
          <w:sz w:val="16"/>
          <w:szCs w:val="16"/>
          <w:i w:val="1"/>
          <w:iCs w:val="1"/>
          <w:color w:val="auto"/>
        </w:rPr>
        <w:t>Humanized/Chimeric Antibodies</w:t>
      </w:r>
      <w:r>
        <w:rPr>
          <w:rFonts w:ascii="Arial" w:cs="Arial" w:eastAsia="Arial" w:hAnsi="Arial"/>
          <w:sz w:val="16"/>
          <w:szCs w:val="16"/>
          <w:color w:val="auto"/>
        </w:rPr>
        <w:t xml:space="preserve">—antibodies with both mouse and human antibody proteins that are humanized (i.e., engineered to replace mouse components with more human components) to reduce the immune system response against antibodies identified as foreign (i.e., from a different species) in nature; (iii) </w:t>
      </w:r>
      <w:r>
        <w:rPr>
          <w:rFonts w:ascii="Arial" w:cs="Arial" w:eastAsia="Arial" w:hAnsi="Arial"/>
          <w:sz w:val="16"/>
          <w:szCs w:val="16"/>
          <w:i w:val="1"/>
          <w:iCs w:val="1"/>
          <w:color w:val="auto"/>
        </w:rPr>
        <w:t>Naked Monoclonal Antibodies</w:t>
      </w:r>
      <w:r>
        <w:rPr>
          <w:rFonts w:ascii="Arial" w:cs="Arial" w:eastAsia="Arial" w:hAnsi="Arial"/>
          <w:sz w:val="16"/>
          <w:szCs w:val="16"/>
          <w:color w:val="auto"/>
        </w:rPr>
        <w:t xml:space="preserve">—antibodies without any drug or radioactive material attached and which are the most common type of antibodies in treating cancer; (iv) </w:t>
      </w:r>
      <w:r>
        <w:rPr>
          <w:rFonts w:ascii="Arial" w:cs="Arial" w:eastAsia="Arial" w:hAnsi="Arial"/>
          <w:sz w:val="16"/>
          <w:szCs w:val="16"/>
          <w:i w:val="1"/>
          <w:iCs w:val="1"/>
          <w:color w:val="auto"/>
        </w:rPr>
        <w:t>Antibody Drug Conjugates, or ADCs</w:t>
      </w:r>
      <w:r>
        <w:rPr>
          <w:rFonts w:ascii="Arial" w:cs="Arial" w:eastAsia="Arial" w:hAnsi="Arial"/>
          <w:sz w:val="16"/>
          <w:szCs w:val="16"/>
          <w:color w:val="auto"/>
        </w:rPr>
        <w:t xml:space="preserve">—monoclonal antibodies that are joined to a chemotherapy drug, a radioactive particle or cancer cell killing agent, in which the monoclonal antibody is used as a homing device to deliver these substances directly to the cancer cell; and (v) </w:t>
      </w:r>
      <w:r>
        <w:rPr>
          <w:rFonts w:ascii="Arial" w:cs="Arial" w:eastAsia="Arial" w:hAnsi="Arial"/>
          <w:sz w:val="16"/>
          <w:szCs w:val="16"/>
          <w:i w:val="1"/>
          <w:iCs w:val="1"/>
          <w:color w:val="auto"/>
        </w:rPr>
        <w:t>Bispecific antibodies</w:t>
      </w:r>
      <w:r>
        <w:rPr>
          <w:rFonts w:ascii="Arial" w:cs="Arial" w:eastAsia="Arial" w:hAnsi="Arial"/>
          <w:sz w:val="16"/>
          <w:szCs w:val="16"/>
          <w:color w:val="auto"/>
        </w:rPr>
        <w:t xml:space="preserve"> comprised of two different monoclonal antibody constructs, which allows the antibody to bind to two specific therapeutic targets at the same time, typically one target on the tumor cell and one target on an immune system cell.</w:t>
      </w:r>
    </w:p>
    <w:p>
      <w:pPr>
        <w:spacing w:after="0" w:line="172" w:lineRule="exact"/>
        <w:rPr>
          <w:sz w:val="20"/>
          <w:szCs w:val="20"/>
          <w:color w:val="auto"/>
        </w:rPr>
      </w:pPr>
    </w:p>
    <w:p>
      <w:pPr>
        <w:ind w:right="120" w:firstLine="605"/>
        <w:spacing w:after="0" w:line="298" w:lineRule="auto"/>
        <w:rPr>
          <w:sz w:val="20"/>
          <w:szCs w:val="20"/>
          <w:color w:val="auto"/>
        </w:rPr>
      </w:pPr>
      <w:r>
        <w:rPr>
          <w:rFonts w:ascii="Arial" w:cs="Arial" w:eastAsia="Arial" w:hAnsi="Arial"/>
          <w:sz w:val="16"/>
          <w:szCs w:val="16"/>
          <w:color w:val="auto"/>
        </w:rPr>
        <w:t>Antibodies may function through multiple mechanisms simultaneously, including binding to cancer cells and flagging for B-cells and T-cells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w:t>
      </w:r>
    </w:p>
    <w:p>
      <w:pPr>
        <w:spacing w:after="0" w:line="167"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Studies have shown that, as a drug class, antibodies have transformed oncology treatment and include some of the best-selling therapies on the biopharmaceutical market. Drugs derived from antibodies were the fastest growing subsegment of the global biopharmaceutical market in 2016 with $81.9 billion in sales, representing approximately 42% of total biopharmaceutical sales and 10% of the global market for prescription drugs.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31" w:lineRule="exact"/>
        <w:rPr>
          <w:sz w:val="20"/>
          <w:szCs w:val="20"/>
          <w:color w:val="auto"/>
        </w:rPr>
      </w:pPr>
    </w:p>
    <w:p>
      <w:pPr>
        <w:ind w:right="100" w:firstLine="611"/>
        <w:spacing w:after="0" w:line="318" w:lineRule="auto"/>
        <w:rPr>
          <w:sz w:val="20"/>
          <w:szCs w:val="20"/>
          <w:color w:val="auto"/>
        </w:rPr>
      </w:pPr>
      <w:r>
        <w:rPr>
          <w:rFonts w:ascii="Arial" w:cs="Arial" w:eastAsia="Arial" w:hAnsi="Arial"/>
          <w:sz w:val="15"/>
          <w:szCs w:val="15"/>
          <w:color w:val="auto"/>
        </w:rPr>
        <w:t>We have a broad and advanced product pipeline including two late-stage and clinically validated product candidates, naxitamab and omburtamab, which target tumors that express GD2 and B7-H3, respectively. Naxitamab and omburtamab are currently in pivotal stage development for pediatric R/R high-risk NB and pediatric CNS/LM from NB, respectively, both rare and life-threatening pediatric cancers for which no FDA approved products currently exist. We expect to submit a BLA for each of our two lead product candidates in 2018, with a goal of receiving approval by the FDA in 2019. We plan to commercialize both of our lead product candidates in the United States as soon as possible after obtaining FDA approval, if such approval occurs. Naxitamab and omburtamab are also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mid-stage clinical development for additional cancers, and we have initiated clinical development for both product candidates in several other indications. Furthermore, we have two additional product candidates in pre-clinical development, omburtamab-DTPA and hu-omburtamab, a humanized version of omburtamab, each targeting indications with large adult cancer patient populations where there is a significant unmet medical need. We are also advancing a pipeline of BsAb product candidates through late pre-clinical development, including our naxitamab-BsAb product candidate for the treatment of GD2-positive refractory solid tumors and CD33-BsAb for the treatment of CD33-positive hematological cancers. We have exclusive worldwide commercial rights to all of our current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Naxitamab Overview</w:t>
      </w:r>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Naxitamab is a humanized monoclonal antibody being evaluated for the treatment of R/R NB and other GD2-positive tumors, including osteosarcoma. Naxitamab targets GD2, which, based on our research, is expressed on almost all of NB cancer cells regardless of disease stage and in almost all osteosarcomas. Naxitamab is currently in pivotal stage development for patients with pediatric R/R high-risk NB and has received ODD and RPDD from the FDA for the treatment of NB in 2013 and 2017, respectively. The RPDD qualifies us for receipt of a PRV upon approval of naxitamab for treatment of NB, if such approval occurs. Naxitamab has been administered to more than 200 patients in several clinical trials conducted at MSK since 2011 and has been generally well tolerated, with no significant long-term toxicities observed to date. In Study 12-230, of the 23 patients with pediatric R/R high-risk NB, with evaluable tumors and who did not have PD at study entry, 13 patients, or 57%, achieved a clinical response.</w:t>
      </w:r>
    </w:p>
    <w:p>
      <w:pPr>
        <w:spacing w:after="0" w:line="172" w:lineRule="exact"/>
        <w:rPr>
          <w:sz w:val="20"/>
          <w:szCs w:val="20"/>
          <w:color w:val="auto"/>
        </w:rPr>
      </w:pPr>
    </w:p>
    <w:p>
      <w:pPr>
        <w:ind w:right="160" w:firstLine="615"/>
        <w:spacing w:after="0" w:line="294" w:lineRule="auto"/>
        <w:rPr>
          <w:sz w:val="20"/>
          <w:szCs w:val="20"/>
          <w:color w:val="auto"/>
        </w:rPr>
      </w:pPr>
      <w:r>
        <w:rPr>
          <w:rFonts w:ascii="Arial" w:cs="Arial" w:eastAsia="Arial" w:hAnsi="Arial"/>
          <w:sz w:val="16"/>
          <w:szCs w:val="16"/>
          <w:color w:val="auto"/>
        </w:rPr>
        <w:t>In pediatric R/R high-risk NB, we believe that naxitamab has multiple potential advantages over other GD2 targeting antibody-based therapies. In particular, the modest toxicity it exhibits allows for doses 2.5 times greater than the other GD2 targeting antibody-based therapies. Naxitamab also has a significantly shorter infusion time (approximately 30 minutes compared to 10 to 20 hours for other GD2 targeting antibody-based therapies being used in front-line therapy, which we believe is important given the pain associated with the therapy) and the ability to be administered in an outpatient setting (compared to hospitalization stays of four days or longer for other GD2 targeting antibody-based therapies).</w:t>
      </w:r>
    </w:p>
    <w:p>
      <w:pPr>
        <w:spacing w:after="0" w:line="170"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Based on our discussions with the FDA, profile of the non-PD pediatric R/R high-risk NB patients in Study 12-230 is representative of the intended patient population for our target indication. The corresponding ORRs will form the primary objective of our pivotal study (Study 201). Additionally, based on our discussions with the FDA, we believe that a 30% ORR (which is significantly different from a 20% ORR at a 95% confidence interval, or CI) with a minimum 12-week duration of response may qualify naxitamab for accelerated approval. We have proposed to the FDA that, pending comparability between the study population and the pharmacokinetics analysis in Study 12-230 and Study 201, the data from the two studies may be pooled for analysis for our planned BLA submission. In addition, naxitamab is currently being evaluated in a Phase 2 clinical study (Study 16-1643) in front-line NB and a Phase 2 clinical study (Study 15-096) in second-line relapsed osteosarcoma patients.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GD2 Overview</w:t>
      </w:r>
    </w:p>
    <w:p>
      <w:pPr>
        <w:spacing w:after="0" w:line="225"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We believe that monoclonal antibodies such as naxitamab that target ganglioside GD2 are one of the most promising cancer immunotherapy approaches. Gangliosides, including GD2, GM2, GD3, NGcGM3 and OAcGD2, have been shown to be expressed at very high levels in tumor cells of several types of cancers.</w:t>
      </w:r>
    </w:p>
    <w:p>
      <w:pPr>
        <w:spacing w:after="0" w:line="194" w:lineRule="exact"/>
        <w:rPr>
          <w:sz w:val="20"/>
          <w:szCs w:val="20"/>
          <w:color w:val="auto"/>
        </w:rPr>
      </w:pPr>
    </w:p>
    <w:p>
      <w:pPr>
        <w:ind w:right="220" w:firstLine="605"/>
        <w:spacing w:after="0" w:line="332" w:lineRule="auto"/>
        <w:rPr>
          <w:sz w:val="20"/>
          <w:szCs w:val="20"/>
          <w:color w:val="auto"/>
        </w:rPr>
      </w:pPr>
      <w:r>
        <w:rPr>
          <w:rFonts w:ascii="Arial" w:cs="Arial" w:eastAsia="Arial" w:hAnsi="Arial"/>
          <w:sz w:val="16"/>
          <w:szCs w:val="16"/>
          <w:color w:val="auto"/>
        </w:rPr>
        <w:t>As a potential target molecule for anti-tumor therapy, GD2 has certain advantages when compared to other tumor-associated gangliosides because it is highly expressed in tumor cells of several types of cancers and is not expressed at all, or expressed at very low levels, in normal cells.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National Cancer Institute pilot program for the prioritization of the most important cancer antigens ranks GD2 as number 12 out of 75 potential targets for cancer therapy based on therapeutic function, immunogenicity, role of the antigen in oncogenicity, specificity, expression level and percent of antigen-positive cells, stem cell expression, number of patients with antigen-positive cancers, number of antigenic epitopes, and cellular location of antigen expression. GD2 ranks as number six when compared to antigens that are directly targetable on the cell surface. Antibodies directed against GD2 have been shown to effectively induce cell death through a combination of both apoptosis and tumor cell necrosis in GD2-positive tumors.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GD2 Expression in Various Cancer Types</w:t>
      </w:r>
    </w:p>
    <w:p>
      <w:pPr>
        <w:spacing w:after="0" w:line="225" w:lineRule="exact"/>
        <w:rPr>
          <w:sz w:val="20"/>
          <w:szCs w:val="20"/>
          <w:color w:val="auto"/>
        </w:rPr>
      </w:pPr>
    </w:p>
    <w:p>
      <w:pPr>
        <w:ind w:right="120" w:firstLine="615"/>
        <w:spacing w:after="0" w:line="306" w:lineRule="auto"/>
        <w:rPr>
          <w:sz w:val="20"/>
          <w:szCs w:val="20"/>
          <w:color w:val="auto"/>
        </w:rPr>
      </w:pPr>
      <w:r>
        <w:rPr>
          <w:rFonts w:ascii="Arial" w:cs="Arial" w:eastAsia="Arial" w:hAnsi="Arial"/>
          <w:sz w:val="16"/>
          <w:szCs w:val="16"/>
          <w:color w:val="auto"/>
        </w:rPr>
        <w:t>Studies have shown that GD2 is highly expressed on neuroectoderm-derived tumors and sarcomas, including NB, retinoblastoma, melanoma, small cell lung cancer, brain tumors, osteosarcoma, rhabdomyosarcoma, Ewing's sarcoma in children and adolescents, as well as liposarcoma, fibrosarcoma, leiomyosarcoma and other soft-tissue sarcomas in adults. These cancers have a high mortality rate ranging from 20-80% depending on the tumor type.</w:t>
      </w:r>
    </w:p>
    <w:p>
      <w:pPr>
        <w:spacing w:after="0" w:line="161" w:lineRule="exact"/>
        <w:rPr>
          <w:sz w:val="20"/>
          <w:szCs w:val="20"/>
          <w:color w:val="auto"/>
        </w:rPr>
      </w:pPr>
    </w:p>
    <w:p>
      <w:pPr>
        <w:ind w:right="240" w:firstLine="611"/>
        <w:spacing w:after="0" w:line="294" w:lineRule="auto"/>
        <w:rPr>
          <w:sz w:val="20"/>
          <w:szCs w:val="20"/>
          <w:color w:val="auto"/>
        </w:rPr>
      </w:pPr>
      <w:r>
        <w:rPr>
          <w:rFonts w:ascii="Arial" w:cs="Arial" w:eastAsia="Arial" w:hAnsi="Arial"/>
          <w:sz w:val="16"/>
          <w:szCs w:val="16"/>
          <w:color w:val="auto"/>
        </w:rPr>
        <w:t>We believe there is a large market opportunity for the treatment of solid tumors that express GD2. Based on our own research and our review of published research, we believe GD2 expression occurs in approximately 60-100% of tumor samples from various cancer types, and in substantially all NB and osteosarcoma tumor samples. We estimate that there were more than 200,000 new patients diagnosed with GD2-positive cancer in the United States in 2017. While our clinical development efforts for naxitamab are currently focused on rare pediatric cancers, we believe we have the potential to expand naxitamab's application beyond pediatric cancers to the treatment of adults with cancers that express GD2.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Naxitamab—Mechanism of Action</w:t>
      </w:r>
    </w:p>
    <w:p>
      <w:pPr>
        <w:spacing w:after="0" w:line="225" w:lineRule="exact"/>
        <w:rPr>
          <w:sz w:val="20"/>
          <w:szCs w:val="20"/>
          <w:color w:val="auto"/>
        </w:rPr>
      </w:pPr>
    </w:p>
    <w:p>
      <w:pPr>
        <w:ind w:right="100" w:firstLine="615"/>
        <w:spacing w:after="0" w:line="253" w:lineRule="auto"/>
        <w:rPr>
          <w:sz w:val="20"/>
          <w:szCs w:val="20"/>
          <w:color w:val="auto"/>
        </w:rPr>
      </w:pPr>
      <w:r>
        <w:rPr>
          <w:rFonts w:ascii="Arial" w:cs="Arial" w:eastAsia="Arial" w:hAnsi="Arial"/>
          <w:sz w:val="18"/>
          <w:szCs w:val="18"/>
          <w:color w:val="auto"/>
        </w:rPr>
        <w:t xml:space="preserve">Our pre-clinical studies have shown that naxitamab binds to GD2 molecules on tumor cells with high affinity and a slow off-rate, which indicates naxitamab's strong binding ability. In mice that have been transplanted with human NB tissue, naxitamab demonstrated dose-dependent inhibition of tumor growth (i.e., the effect of naxitamab varied with dosage) and generally increased survival.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show that when naxitamab binds to tumor cells, it induces tumor cell death through antibody-dependent cell-mediated cytotoxicity and complement-dependent cytotoxicity. Naxitamab may also inhibit tumor cell migration through its inhibitory effect on GD2 molecules, which are involved in tumor cell adhesion and migration.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also show that Granulocyte-Macrophage Colony Stimulating Factor, or GM-CSF, enhances the activity of naxitamab in a dose-dependent manner and is therefore generally combined with naxitamab in our clinical trials.</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the Treatment of Pediatric Relapsed or Refractory High-Risk Neuroblastoma</w:t>
      </w:r>
    </w:p>
    <w:p>
      <w:pPr>
        <w:spacing w:after="0" w:line="225" w:lineRule="exact"/>
        <w:rPr>
          <w:sz w:val="20"/>
          <w:szCs w:val="20"/>
          <w:color w:val="auto"/>
        </w:rPr>
      </w:pPr>
    </w:p>
    <w:p>
      <w:pPr>
        <w:jc w:val="both"/>
        <w:ind w:right="60" w:firstLine="615"/>
        <w:spacing w:after="0" w:line="283" w:lineRule="auto"/>
        <w:rPr>
          <w:sz w:val="20"/>
          <w:szCs w:val="20"/>
          <w:color w:val="auto"/>
        </w:rPr>
      </w:pPr>
      <w:r>
        <w:rPr>
          <w:rFonts w:ascii="Arial" w:cs="Arial" w:eastAsia="Arial" w:hAnsi="Arial"/>
          <w:sz w:val="16"/>
          <w:szCs w:val="16"/>
          <w:color w:val="auto"/>
        </w:rPr>
        <w:t>Naxitamab is currently in pivotal stage development (Study 201) for the treatment of pediatric R/R high-risk NB and received ODD and RPDD from the FDA for the treatment of NB in 2013 and 2017, respectively. The RPDD qualifies us for receipt of a PRV upon approval of naxitamab for treatment of NB by the FDA, if such approval occurs. In Study 12-230, we achieved an ORR of 57% in patients with pediatric R/R high-risk NB who had evaluable tumors and who did not have PD at study entry. Patients with these characteristics are the intended patient population for our first potential indication for treatment with naxitamab.</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our discussions with the FDA, we believe that a 30% ORR (which is significantly different from a 20% ORR at a 95% CI) with a minimum 12-week duration of response may qualify for consideration of an expedited approval of naxitamab. We have proposed to the FDA that, pending comparability between the study population and the pharmacokinetics analysis in Study 12-230 and Study 201, the data from the two studies may be pooled for analysis. There would also be a post-marketing commitment to provide data on progression free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survival, or PFS, supporting the efficacy of the product. We believe naxitamab has multiple potential advantages over other GD2 targeting antibodies such as dosing, administration and safety.</w:t>
      </w:r>
    </w:p>
    <w:p>
      <w:pPr>
        <w:spacing w:after="0" w:line="186"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In our studies to date, naxitamab has demonstrated relatively modest toxicity, which allows for 2.5 times greater dosing as compared to other GD2 targeting antibody-based therapies. This results in fewer doses per cycle and a significantly shorter infusion time (approximately 30 minutes versus 10 to 20 hours for dinutuximab). Notably, since severe pain is one of the most common side effects of treatment with GD2 targeting antibody-based therapies, we believe that the ability to reduce infusion time to approximately 30 minutes is very important for patients and may result in a significant reduction in demand for pain medication such as morphine. These factors allow naxitamab to be administered in an outpatient setting whereas other GD2 targeting antibody-based therapies require hospitalization which usually lasts for four days or more. In addition, unlike other GD2 targeting antibody-based therapies, we have not observed any life-threatening side effects with naxitamab to date.</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Neuroblastoma</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NB is a rare and almost exclusively a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life-threatening disease associated with poor long-term survival. It accounts for approximately seven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170" w:lineRule="exact"/>
        <w:rPr>
          <w:sz w:val="20"/>
          <w:szCs w:val="20"/>
          <w:color w:val="auto"/>
        </w:rPr>
      </w:pPr>
    </w:p>
    <w:p>
      <w:pPr>
        <w:ind w:right="20" w:firstLine="611"/>
        <w:spacing w:after="0" w:line="259" w:lineRule="auto"/>
        <w:rPr>
          <w:sz w:val="20"/>
          <w:szCs w:val="20"/>
          <w:color w:val="auto"/>
        </w:rPr>
      </w:pPr>
      <w:r>
        <w:rPr>
          <w:rFonts w:ascii="Arial" w:cs="Arial" w:eastAsia="Arial" w:hAnsi="Arial"/>
          <w:sz w:val="18"/>
          <w:szCs w:val="18"/>
          <w:color w:val="auto"/>
        </w:rPr>
        <w:t>The stage of NB, which describes how far the cancer has spread, is based on results of physical exams, imaging tests, and biopsies. The International Neuroblastoma Staging System stages the disease from Stage 1 to Stage 4. Other factors that also affect prognosis of NB include age and amplification of MYCN oncogene.</w:t>
      </w:r>
    </w:p>
    <w:p>
      <w:pPr>
        <w:spacing w:after="0" w:line="194"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NB patients can also be placed into different risk groups from low, intermediate to high based on the stage and other prognostic factors. High-risk NB is defined as MYCN amplified Stage 2, 3, 4S and 4 in patients of any age and MYCN non-amplified Stage 4 in patients over 18 months of age.</w:t>
      </w:r>
    </w:p>
    <w:p>
      <w:pPr>
        <w:spacing w:after="0" w:line="139" w:lineRule="exact"/>
        <w:rPr>
          <w:sz w:val="20"/>
          <w:szCs w:val="20"/>
          <w:color w:val="auto"/>
        </w:rPr>
      </w:pPr>
    </w:p>
    <w:p>
      <w:pPr>
        <w:ind w:right="160" w:firstLine="615"/>
        <w:spacing w:after="0" w:line="254" w:lineRule="auto"/>
        <w:rPr>
          <w:sz w:val="20"/>
          <w:szCs w:val="20"/>
          <w:color w:val="auto"/>
        </w:rPr>
      </w:pPr>
      <w:r>
        <w:rPr>
          <w:rFonts w:ascii="Arial" w:cs="Arial" w:eastAsia="Arial" w:hAnsi="Arial"/>
          <w:sz w:val="18"/>
          <w:szCs w:val="18"/>
          <w:color w:val="auto"/>
        </w:rPr>
        <w:t>Naxitamab is initially being evaluated for the treatment of pediatric R/R high-risk NB. There are approximately 700 children diagnosed with NB in the United States each year. We believe the European market is at least one and a half times the size of the U.S. market and that there are approximately 1,050 patients diagnosed with NB in Europe each year. We believe the current addressable market for naxitamab consists of approximately 675 new pediatric NB patients each year, representing approximately 40% of all pediatric patients diagnosed with NB in the United States and Europe, combined. Moreover, based on the protocol we have developed with MSK, between treatment and maintenance therapy, we believe that patients will receive on average 10 treatment cycles, or 30 doses, of naxitamab.</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Naxitamab for Pediatric Relapsed or Refractory High-Risk Neuroblastoma—Current Treatment Landscape and Associated Limitations</w:t>
      </w:r>
    </w:p>
    <w:p>
      <w:pPr>
        <w:spacing w:after="0" w:line="248"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Currently front-line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 cyclophosphamide, and vincristine. Following surgery and/or radiotherapy, most patients enter into consolidation therapy with the goal of eliminating any residual tumor usually with single dose myeloablative agents (e.g. carboplatin-etoposide-melphalan) with stem cell support or an autologous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stem cell transplant or repeated transplants with thiotepa-cyclophosphamide followed by cyclophosphamide, etoposide, and ranimustine. Many treatment centers also use immunotherapy as part of the consolidation stage of treatment.</w:t>
      </w:r>
    </w:p>
    <w:p>
      <w:pPr>
        <w:spacing w:after="0" w:line="186"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Relapse is a frequent occurrence after consolidation. Although there are no approved therapies in the United States for R/R NB patients, treatments typically include chemotherapy, radiotherapy and other experimental therapies.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2015, the FDA and the European Medicines Agency, or the EMA, approved Unituxin (dinutuximab), a monoclonal GD2 targeting antibody developed by United Therapeutics Corporation, or United Therapeutics, and administered in combination with GM-CSF, interleukin-2, or IL-2, and isotretinoin, also known as 13-</w:t>
      </w:r>
      <w:r>
        <w:rPr>
          <w:rFonts w:ascii="Arial" w:cs="Arial" w:eastAsia="Arial" w:hAnsi="Arial"/>
          <w:sz w:val="16"/>
          <w:szCs w:val="16"/>
          <w:i w:val="1"/>
          <w:iCs w:val="1"/>
          <w:color w:val="auto"/>
        </w:rPr>
        <w:t>cis</w:t>
      </w:r>
      <w:r>
        <w:rPr>
          <w:rFonts w:ascii="Arial" w:cs="Arial" w:eastAsia="Arial" w:hAnsi="Arial"/>
          <w:sz w:val="16"/>
          <w:szCs w:val="16"/>
          <w:color w:val="auto"/>
        </w:rPr>
        <w:t>-retinoic acid, for the treatment of pediatric patients with high-risk NB who achieve at least a partial response, or PR, to prior front-line multiagent, multimodality therapy. The marketing authorization for Unituxin was voluntarily withdrawn by United Therapeutics in the European Union in 2017. Recently, the EMA approved Dinutuximab beta Apeiron (also known as dinutuximab beta, ch14.18/CHO, Isqette), a monoclonal GD2 targeting antibody, for the treatment of high-risk NB in patients aged 12 months and older, who have had some improvement with previous treatments or patients whose NB has not improved with other cancer treatments or has relapsed.</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Pediatric Relapsed or Refractory High-Risk Neuroblastoma—Clinical Development Program</w:t>
      </w:r>
    </w:p>
    <w:p>
      <w:pPr>
        <w:spacing w:after="0" w:line="225" w:lineRule="exact"/>
        <w:rPr>
          <w:sz w:val="20"/>
          <w:szCs w:val="20"/>
          <w:color w:val="auto"/>
        </w:rPr>
      </w:pPr>
    </w:p>
    <w:p>
      <w:pPr>
        <w:ind w:right="20" w:firstLine="605"/>
        <w:spacing w:after="0" w:line="256" w:lineRule="auto"/>
        <w:rPr>
          <w:sz w:val="20"/>
          <w:szCs w:val="20"/>
          <w:color w:val="auto"/>
        </w:rPr>
      </w:pPr>
      <w:r>
        <w:rPr>
          <w:rFonts w:ascii="Arial" w:cs="Arial" w:eastAsia="Arial" w:hAnsi="Arial"/>
          <w:sz w:val="18"/>
          <w:szCs w:val="18"/>
          <w:color w:val="auto"/>
        </w:rPr>
        <w:t>An earlier murine version of naxitamab was studied in 17 clinical trials at MSK with a total of more than 800 patients over 25 years. Naxitamab has been studied in several clinical trials for the treatment of pediatric R/R NB and other diseases, of which Study 201, Study 12-230, Study 11-009, Study 15-096 and Study 16-1643 are currently ongoing. We expect to receive topline data from our ongoing pivotal trial (Study 201) in pediatric R/R high-risk NB and submit the BLA in the second half of 2018.</w:t>
      </w:r>
    </w:p>
    <w:p>
      <w:pPr>
        <w:spacing w:after="0" w:line="197" w:lineRule="exact"/>
        <w:rPr>
          <w:sz w:val="20"/>
          <w:szCs w:val="20"/>
          <w:color w:val="auto"/>
        </w:rPr>
      </w:pPr>
    </w:p>
    <w:p>
      <w:pPr>
        <w:ind w:right="140" w:firstLine="615"/>
        <w:spacing w:after="0" w:line="254" w:lineRule="auto"/>
        <w:rPr>
          <w:sz w:val="20"/>
          <w:szCs w:val="20"/>
          <w:color w:val="auto"/>
        </w:rPr>
      </w:pPr>
      <w:r>
        <w:rPr>
          <w:rFonts w:ascii="Arial" w:cs="Arial" w:eastAsia="Arial" w:hAnsi="Arial"/>
          <w:sz w:val="18"/>
          <w:szCs w:val="18"/>
          <w:color w:val="auto"/>
        </w:rPr>
        <w:t>Based on our discussion with the FDA, ORR will form the primary objective for our pivotal Study 201. We have proposed to the FDA that, pending comparability analysis between study population and pharmacokinetic analysis in Study 12-230 and Study 201, the data from the two studies may be pooled to form the primary basis of our BLA. Based on our discussions with the FDA, we believe that a 30% ORR (which is significantly different from a 20% ORR at a 95% confidence interval) with a minimum 12 week duration of response may qualify for accelerated approval. Thirty-seven patients are expected to be included in Study 201. We expect that the safety portion of our planned BLA submission will be comprised of more than 200 patients treated with naxitamab across multiple indications.</w:t>
      </w:r>
    </w:p>
    <w:p>
      <w:pPr>
        <w:spacing w:after="0" w:line="198"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i w:val="1"/>
          <w:iCs w:val="1"/>
          <w:color w:val="auto"/>
        </w:rPr>
        <w:t>Study 12-230: Phase I/II Study of Combination Therapy of Antibody Naxitamab with Granulocyte-Macrophage Colony Stimulating Factor (GM-CSF) in Patients with Relapsed/Refractory High-Risk Neuroblastoma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Portion of Study 12-230</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3340" w:hanging="532"/>
        <w:spacing w:after="0" w:line="501"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To establish the maximum tolerated dosage, or MTD, of naxitamab when combined with GM-CSF.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study the pharmacokinetics of naxitamab when combined with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assess activity of naxitamab plus GM-CSF against NB.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quantitate pain during naxitamab and GM-CSF treatment.</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study markers of granulocyte-mediated cytotoxicity and NK-mediated cytotoxicity, anti-naxitamab immunity, and anti-tumor immunity before and after treatment with naxitamab/GM-CSF.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quantitate the response of NB in BM by quantitative reverse-transcription-polymerase chain reaction, or RT-PCR.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1140" w:firstLine="615"/>
        <w:spacing w:after="0" w:line="332" w:lineRule="auto"/>
        <w:rPr>
          <w:sz w:val="20"/>
          <w:szCs w:val="20"/>
          <w:color w:val="auto"/>
        </w:rPr>
      </w:pPr>
      <w:r>
        <w:rPr>
          <w:rFonts w:ascii="Arial" w:cs="Arial" w:eastAsia="Arial" w:hAnsi="Arial"/>
          <w:sz w:val="16"/>
          <w:szCs w:val="16"/>
          <w:color w:val="auto"/>
        </w:rPr>
        <w:t>In addition to satisfying certain other criteria, patients must be over one year of age and must have been diagnosed with NB as defined by a) histopathology, or b) BM metastases or Meta-iodobenzylguanidine, or MIBG, avid lesion(s) plus high urine catecholamine levels.</w:t>
      </w:r>
    </w:p>
    <w:p>
      <w:pPr>
        <w:spacing w:after="0" w:line="139"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Patients must have R/R high-risk NB (including MYCN-amplified Stage 2, 3, 4, or 4S of any age and MYCN-non amplified Stage 4 in patients over 18 months of age) resistant to standard therapy. Standard therapy for these types of patients includes intensive induction chemotherapy, followed by a variety of consolidation or salvage therapies, depending on response.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will be mainly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The Phase 1 portion of Study 12-230 assessed dose escalation of intravenous, or IV, naxitamab (days one, three, five) in the presence of subcutaneous GM-CSF (days minus four through five). These three doses of naxitamab and 10 days of GM-CSF constituted a single treatment cycle. Patients were eligible for up to five cycles in the initial part of this treatment. The diagram below depicts the treatment schedule per cycle in Study 12-230: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107315</wp:posOffset>
            </wp:positionV>
            <wp:extent cx="4511040" cy="12693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1104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Phase 1 Portion of Study 12-230</w:t>
      </w:r>
    </w:p>
    <w:p>
      <w:pPr>
        <w:spacing w:after="0" w:line="225"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 total of 57 patients were enrolled in the Phase 1 portion of Study 12-230 between December 2012 and May 2016. A summary of patient characteristics is provided in the table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12-230 patient characteristics (Phase 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Measure</w:t>
            </w:r>
          </w:p>
        </w:tc>
        <w:tc>
          <w:tcPr>
            <w:tcW w:w="240" w:type="dxa"/>
            <w:vAlign w:val="bottom"/>
          </w:tcPr>
          <w:p>
            <w:pPr>
              <w:spacing w:after="0"/>
              <w:rPr>
                <w:sz w:val="14"/>
                <w:szCs w:val="14"/>
                <w:color w:val="auto"/>
              </w:rPr>
            </w:pPr>
          </w:p>
        </w:tc>
        <w:tc>
          <w:tcPr>
            <w:tcW w:w="4320" w:type="dxa"/>
            <w:vAlign w:val="bottom"/>
          </w:tcPr>
          <w:p>
            <w:pPr>
              <w:ind w:left="18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Years from diagnosis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7"/>
              </w:rPr>
              <w:t>0.6</w:t>
            </w: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 (median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Age at study entry (years)</w:t>
            </w:r>
          </w:p>
        </w:tc>
        <w:tc>
          <w:tcPr>
            <w:tcW w:w="240" w:type="dxa"/>
            <w:vAlign w:val="bottom"/>
          </w:tcPr>
          <w:p>
            <w:pPr>
              <w:spacing w:after="0"/>
              <w:rPr>
                <w:sz w:val="20"/>
                <w:szCs w:val="20"/>
                <w:color w:val="auto"/>
              </w:rPr>
            </w:pPr>
            <w:r>
              <w:rPr>
                <w:rFonts w:ascii="Arial" w:cs="Arial" w:eastAsia="Arial" w:hAnsi="Arial"/>
                <w:sz w:val="18"/>
                <w:szCs w:val="18"/>
                <w:color w:val="auto"/>
                <w:w w:val="87"/>
              </w:rPr>
              <w:t>2.4</w:t>
            </w:r>
          </w:p>
        </w:tc>
        <w:tc>
          <w:tcPr>
            <w:tcW w:w="4320" w:type="dxa"/>
            <w:vAlign w:val="bottom"/>
          </w:tcPr>
          <w:p>
            <w:pPr>
              <w:ind w:left="20"/>
              <w:spacing w:after="0"/>
              <w:rPr>
                <w:sz w:val="20"/>
                <w:szCs w:val="20"/>
                <w:color w:val="auto"/>
              </w:rPr>
            </w:pPr>
            <w:r>
              <w:rPr>
                <w:rFonts w:ascii="Arial" w:cs="Arial" w:eastAsia="Arial" w:hAnsi="Arial"/>
                <w:sz w:val="18"/>
                <w:szCs w:val="18"/>
                <w:color w:val="auto"/>
              </w:rPr>
              <w:t>- 31.3 (median 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anti-GD2 immunotherapy</w:t>
            </w: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47/57 (82%)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Autologous stem-cell transplantation</w:t>
            </w:r>
          </w:p>
        </w:tc>
        <w:tc>
          <w:tcPr>
            <w:tcW w:w="4560" w:type="dxa"/>
            <w:vAlign w:val="bottom"/>
            <w:gridSpan w:val="2"/>
          </w:tcPr>
          <w:p>
            <w:pPr>
              <w:spacing w:after="0"/>
              <w:rPr>
                <w:sz w:val="20"/>
                <w:szCs w:val="20"/>
                <w:color w:val="auto"/>
              </w:rPr>
            </w:pPr>
            <w:r>
              <w:rPr>
                <w:rFonts w:ascii="Arial" w:cs="Arial" w:eastAsia="Arial" w:hAnsi="Arial"/>
                <w:sz w:val="18"/>
                <w:szCs w:val="18"/>
                <w:color w:val="auto"/>
              </w:rPr>
              <w:t>24/57 (42%)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I-MIBG therapy</w:t>
            </w: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17/57 (30%)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20" w:firstLine="605"/>
        <w:spacing w:after="0" w:line="212" w:lineRule="auto"/>
        <w:rPr>
          <w:sz w:val="20"/>
          <w:szCs w:val="20"/>
          <w:color w:val="auto"/>
        </w:rPr>
      </w:pPr>
      <w:r>
        <w:rPr>
          <w:rFonts w:ascii="Arial" w:cs="Arial" w:eastAsia="Arial" w:hAnsi="Arial"/>
          <w:sz w:val="18"/>
          <w:szCs w:val="18"/>
          <w:color w:val="auto"/>
        </w:rPr>
        <w:t xml:space="preserve">All 57 patients were heavily treated prior to entering the study as indicated by the high number of patients previously receiving </w:t>
      </w:r>
      <w:r>
        <w:rPr>
          <w:rFonts w:ascii="Arial" w:cs="Arial" w:eastAsia="Arial" w:hAnsi="Arial"/>
          <w:sz w:val="29"/>
          <w:szCs w:val="29"/>
          <w:color w:val="auto"/>
          <w:vertAlign w:val="superscript"/>
        </w:rPr>
        <w:t>131</w:t>
      </w:r>
      <w:r>
        <w:rPr>
          <w:rFonts w:ascii="Arial" w:cs="Arial" w:eastAsia="Arial" w:hAnsi="Arial"/>
          <w:sz w:val="18"/>
          <w:szCs w:val="18"/>
          <w:color w:val="auto"/>
        </w:rPr>
        <w:t>I-MIBG (n=17) and anti-GD2 mAbs (n=47).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140" w:firstLine="615"/>
        <w:spacing w:after="0" w:line="335" w:lineRule="auto"/>
        <w:rPr>
          <w:sz w:val="20"/>
          <w:szCs w:val="20"/>
          <w:color w:val="auto"/>
        </w:rPr>
      </w:pPr>
      <w:r>
        <w:rPr>
          <w:rFonts w:ascii="Arial" w:cs="Arial" w:eastAsia="Arial" w:hAnsi="Arial"/>
          <w:sz w:val="15"/>
          <w:szCs w:val="15"/>
          <w:color w:val="auto"/>
        </w:rPr>
        <w:t>MTD was not reached. The maximum dose used was 9.6 mg/kg per cycle. This dose was more than 2.5 times greater than the doses that can be given when using the earlier murine version of naxitamab or dinutuximab, and manageable acute side effects allowed treatment to occur in an outpatient setting. DLTs occurred in four of 57 patients. Two patients developed hypersensitivity, one patient experienced hypertension and one patient experienced renal failure.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Pharmacokinetic Results</w:t>
      </w:r>
    </w:p>
    <w:p>
      <w:pPr>
        <w:spacing w:after="0" w:line="225"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The protocol requires patients to be administered naxitamab at dose levels from 0.3 to 3.6 mg/kg per dose on days one, three, and five of a cycle (0.9 to 10.8 mg/kg per cycle).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Human Anti-human Antibody (HAHA) Results</w:t>
      </w:r>
    </w:p>
    <w:p>
      <w:pPr>
        <w:spacing w:after="0" w:line="225"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Of the 57 patients, four patients received one to two cycles of naxitamab and the earlier murine version of naxitamab, and of those four patients, one patient, developed human anti-human antibody, or HAHA, response.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Evidence of anti-NB activity was observed at all dose levels; however, a dose-response relationship was not possible due to intra-patient dose escalation after two cycles as permitted by the protocol.</w:t>
      </w:r>
    </w:p>
    <w:p>
      <w:pPr>
        <w:spacing w:after="0" w:line="186" w:lineRule="exact"/>
        <w:rPr>
          <w:sz w:val="20"/>
          <w:szCs w:val="20"/>
          <w:color w:val="auto"/>
        </w:rPr>
      </w:pPr>
    </w:p>
    <w:p>
      <w:pPr>
        <w:jc w:val="both"/>
        <w:ind w:right="280" w:firstLine="605"/>
        <w:spacing w:after="0" w:line="259" w:lineRule="auto"/>
        <w:rPr>
          <w:sz w:val="20"/>
          <w:szCs w:val="20"/>
          <w:color w:val="auto"/>
        </w:rPr>
      </w:pPr>
      <w:r>
        <w:rPr>
          <w:rFonts w:ascii="Arial" w:cs="Arial" w:eastAsia="Arial" w:hAnsi="Arial"/>
          <w:sz w:val="18"/>
          <w:szCs w:val="18"/>
          <w:color w:val="auto"/>
        </w:rPr>
        <w:t>After excluding two patients with early DLT, 55 of 57 patients were included in the overall analysis of efficacy. Of these 55 patients at study entry, 25 patients had no evidence of disease, or NED, and 30 patients had evaluable disease. Of the 30 patients with evaluable disease, seven patients had PD at study entry.</w:t>
      </w:r>
    </w:p>
    <w:p>
      <w:pPr>
        <w:spacing w:after="0" w:line="194"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Of the remaining 23 non-PD patients with primary or secondary refractory disease, 13 patients achieved either a complete response (also known as complete remission), or CR, or a PR, which resulted in an ORR of 57% (13/23). Further, one patient had SD, another six patients had PD and two patients were only available for short term follow-up (long term data not available).</w:t>
      </w:r>
    </w:p>
    <w:p>
      <w:pPr>
        <w:spacing w:after="0" w:line="194"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As shown in the table below, eight of 11 primary refractory patients achieved an ORR of approximately 73%, and five of 12 secondary refractory patients achieved an ORR of approximately 42%.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12-230 efficacy results among non-PD patients (Phase 1)</w:t>
      </w:r>
    </w:p>
    <w:p>
      <w:pPr>
        <w:spacing w:after="0" w:line="376" w:lineRule="exact"/>
        <w:rPr>
          <w:sz w:val="20"/>
          <w:szCs w:val="20"/>
          <w:color w:val="auto"/>
        </w:rPr>
      </w:pPr>
    </w:p>
    <w:tbl>
      <w:tblPr>
        <w:tblLayout w:type="fixed"/>
        <w:tblInd w:w="770" w:type="dxa"/>
        <w:tblCellMar>
          <w:top w:w="0" w:type="dxa"/>
          <w:left w:w="0" w:type="dxa"/>
          <w:bottom w:w="0" w:type="dxa"/>
          <w:right w:w="0" w:type="dxa"/>
        </w:tblCellMar>
      </w:tblPr>
      <w:tr>
        <w:trPr>
          <w:trHeight w:val="161"/>
        </w:trPr>
        <w:tc>
          <w:tcPr>
            <w:tcW w:w="4200" w:type="dxa"/>
            <w:vAlign w:val="bottom"/>
            <w:tcBorders>
              <w:left w:val="single" w:sz="8" w:color="auto"/>
            </w:tcBorders>
            <w:shd w:val="clear" w:color="auto" w:fill="000000"/>
          </w:tcPr>
          <w:p>
            <w:pPr>
              <w:ind w:left="1200"/>
              <w:spacing w:after="0"/>
              <w:rPr>
                <w:sz w:val="20"/>
                <w:szCs w:val="20"/>
                <w:color w:val="auto"/>
              </w:rPr>
            </w:pPr>
            <w:r>
              <w:rPr>
                <w:rFonts w:ascii="Arial" w:cs="Arial" w:eastAsia="Arial" w:hAnsi="Arial"/>
                <w:sz w:val="14"/>
                <w:szCs w:val="14"/>
                <w:b w:val="1"/>
                <w:bCs w:val="1"/>
                <w:color w:val="FFFFFE"/>
              </w:rPr>
              <w:t>Patient group</w:t>
            </w:r>
          </w:p>
        </w:tc>
        <w:tc>
          <w:tcPr>
            <w:tcW w:w="1460" w:type="dxa"/>
            <w:vAlign w:val="bottom"/>
            <w:shd w:val="clear" w:color="auto" w:fill="000000"/>
          </w:tcPr>
          <w:p>
            <w:pPr>
              <w:ind w:left="540"/>
              <w:spacing w:after="0"/>
              <w:rPr>
                <w:sz w:val="20"/>
                <w:szCs w:val="20"/>
                <w:color w:val="auto"/>
              </w:rPr>
            </w:pPr>
            <w:r>
              <w:rPr>
                <w:rFonts w:ascii="Arial" w:cs="Arial" w:eastAsia="Arial" w:hAnsi="Arial"/>
                <w:sz w:val="14"/>
                <w:szCs w:val="14"/>
                <w:b w:val="1"/>
                <w:bCs w:val="1"/>
                <w:color w:val="FFFFFE"/>
              </w:rPr>
              <w:t>CR/PR</w:t>
            </w:r>
          </w:p>
        </w:tc>
        <w:tc>
          <w:tcPr>
            <w:tcW w:w="880" w:type="dxa"/>
            <w:vAlign w:val="bottom"/>
            <w:gridSpan w:val="2"/>
            <w:shd w:val="clear" w:color="auto" w:fill="000000"/>
          </w:tcPr>
          <w:p>
            <w:pPr>
              <w:ind w:left="120"/>
              <w:spacing w:after="0"/>
              <w:rPr>
                <w:sz w:val="20"/>
                <w:szCs w:val="20"/>
                <w:color w:val="auto"/>
              </w:rPr>
            </w:pPr>
            <w:r>
              <w:rPr>
                <w:rFonts w:ascii="Arial" w:cs="Arial" w:eastAsia="Arial" w:hAnsi="Arial"/>
                <w:sz w:val="14"/>
                <w:szCs w:val="14"/>
                <w:b w:val="1"/>
                <w:bCs w:val="1"/>
                <w:color w:val="FFFFFE"/>
              </w:rPr>
              <w:t>SD</w:t>
            </w:r>
          </w:p>
        </w:tc>
        <w:tc>
          <w:tcPr>
            <w:tcW w:w="960" w:type="dxa"/>
            <w:vAlign w:val="bottom"/>
            <w:gridSpan w:val="2"/>
            <w:shd w:val="clear" w:color="auto" w:fill="000000"/>
          </w:tcPr>
          <w:p>
            <w:pPr>
              <w:ind w:left="100"/>
              <w:spacing w:after="0"/>
              <w:rPr>
                <w:sz w:val="20"/>
                <w:szCs w:val="20"/>
                <w:color w:val="auto"/>
              </w:rPr>
            </w:pPr>
            <w:r>
              <w:rPr>
                <w:rFonts w:ascii="Arial" w:cs="Arial" w:eastAsia="Arial" w:hAnsi="Arial"/>
                <w:sz w:val="14"/>
                <w:szCs w:val="14"/>
                <w:b w:val="1"/>
                <w:bCs w:val="1"/>
                <w:color w:val="FFFFFE"/>
              </w:rPr>
              <w:t>PD</w:t>
            </w:r>
          </w:p>
        </w:tc>
        <w:tc>
          <w:tcPr>
            <w:tcW w:w="2420" w:type="dxa"/>
            <w:vAlign w:val="bottom"/>
            <w:tcBorders>
              <w:right w:val="single" w:sz="8" w:color="auto"/>
            </w:tcBorders>
            <w:gridSpan w:val="2"/>
            <w:shd w:val="clear" w:color="auto" w:fill="000000"/>
          </w:tcPr>
          <w:p>
            <w:pPr>
              <w:ind w:left="100"/>
              <w:spacing w:after="0"/>
              <w:rPr>
                <w:sz w:val="20"/>
                <w:szCs w:val="20"/>
                <w:color w:val="auto"/>
              </w:rPr>
            </w:pPr>
            <w:r>
              <w:rPr>
                <w:rFonts w:ascii="Arial" w:cs="Arial" w:eastAsia="Arial" w:hAnsi="Arial"/>
                <w:sz w:val="14"/>
                <w:szCs w:val="14"/>
                <w:b w:val="1"/>
                <w:bCs w:val="1"/>
                <w:color w:val="FFFFFE"/>
              </w:rPr>
              <w:t>Short f/u</w:t>
            </w:r>
          </w:p>
        </w:tc>
      </w:tr>
      <w:tr>
        <w:trPr>
          <w:trHeight w:val="216"/>
        </w:trPr>
        <w:tc>
          <w:tcPr>
            <w:tcW w:w="4200" w:type="dxa"/>
            <w:vAlign w:val="bottom"/>
            <w:tcBorders>
              <w:left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Primary refractory (n = 11)</w:t>
            </w: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8 (72.7%)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(9.1%)</w:t>
            </w:r>
          </w:p>
        </w:tc>
      </w:tr>
      <w:tr>
        <w:trPr>
          <w:trHeight w:val="210"/>
        </w:trPr>
        <w:tc>
          <w:tcPr>
            <w:tcW w:w="4200" w:type="dxa"/>
            <w:vAlign w:val="bottom"/>
            <w:tcBorders>
              <w:left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Secondary refractory (n = 12)*</w:t>
            </w: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5 (41.7%)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0</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5</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82"/>
        </w:trPr>
        <w:tc>
          <w:tcPr>
            <w:tcW w:w="4200" w:type="dxa"/>
            <w:vAlign w:val="bottom"/>
            <w:tcBorders>
              <w:left w:val="single" w:sz="8" w:color="auto"/>
            </w:tcBorders>
          </w:tcPr>
          <w:p>
            <w:pPr>
              <w:ind w:left="1200"/>
              <w:spacing w:after="0" w:line="182" w:lineRule="exact"/>
              <w:rPr>
                <w:sz w:val="20"/>
                <w:szCs w:val="20"/>
                <w:color w:val="auto"/>
              </w:rPr>
            </w:pPr>
            <w:r>
              <w:rPr>
                <w:rFonts w:ascii="Arial" w:cs="Arial" w:eastAsia="Arial" w:hAnsi="Arial"/>
                <w:sz w:val="18"/>
                <w:szCs w:val="18"/>
                <w:b w:val="1"/>
                <w:bCs w:val="1"/>
                <w:color w:val="auto"/>
              </w:rPr>
              <w:t>All patients with non-progressive</w:t>
            </w:r>
          </w:p>
        </w:tc>
        <w:tc>
          <w:tcPr>
            <w:tcW w:w="1460" w:type="dxa"/>
            <w:vAlign w:val="bottom"/>
          </w:tcPr>
          <w:p>
            <w:pPr>
              <w:ind w:left="540"/>
              <w:spacing w:after="0" w:line="182" w:lineRule="exact"/>
              <w:rPr>
                <w:sz w:val="20"/>
                <w:szCs w:val="20"/>
                <w:color w:val="auto"/>
              </w:rPr>
            </w:pPr>
            <w:r>
              <w:rPr>
                <w:rFonts w:ascii="Arial" w:cs="Arial" w:eastAsia="Arial" w:hAnsi="Arial"/>
                <w:sz w:val="18"/>
                <w:szCs w:val="18"/>
                <w:b w:val="1"/>
                <w:bCs w:val="1"/>
                <w:color w:val="auto"/>
              </w:rPr>
              <w:t>13 (56.5%)</w:t>
            </w:r>
          </w:p>
        </w:tc>
        <w:tc>
          <w:tcPr>
            <w:tcW w:w="220" w:type="dxa"/>
            <w:vAlign w:val="bottom"/>
          </w:tcPr>
          <w:p>
            <w:pPr>
              <w:ind w:left="120"/>
              <w:spacing w:after="0" w:line="182" w:lineRule="exact"/>
              <w:rPr>
                <w:sz w:val="20"/>
                <w:szCs w:val="20"/>
                <w:color w:val="auto"/>
              </w:rPr>
            </w:pPr>
            <w:r>
              <w:rPr>
                <w:rFonts w:ascii="Arial" w:cs="Arial" w:eastAsia="Arial" w:hAnsi="Arial"/>
                <w:sz w:val="18"/>
                <w:szCs w:val="18"/>
                <w:b w:val="1"/>
                <w:bCs w:val="1"/>
                <w:color w:val="auto"/>
                <w:w w:val="79"/>
              </w:rPr>
              <w:t>1</w:t>
            </w:r>
          </w:p>
        </w:tc>
        <w:tc>
          <w:tcPr>
            <w:tcW w:w="6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(4.3%)</w:t>
            </w:r>
          </w:p>
        </w:tc>
        <w:tc>
          <w:tcPr>
            <w:tcW w:w="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9"/>
              </w:rPr>
              <w:t>6</w:t>
            </w:r>
          </w:p>
        </w:tc>
        <w:tc>
          <w:tcPr>
            <w:tcW w:w="7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(26.1%)</w:t>
            </w:r>
          </w:p>
        </w:tc>
        <w:tc>
          <w:tcPr>
            <w:tcW w:w="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9"/>
              </w:rPr>
              <w:t>2</w:t>
            </w:r>
          </w:p>
        </w:tc>
        <w:tc>
          <w:tcPr>
            <w:tcW w:w="22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b w:val="1"/>
                <w:bCs w:val="1"/>
                <w:color w:val="auto"/>
              </w:rPr>
              <w:t>(8.7%)</w:t>
            </w:r>
          </w:p>
        </w:tc>
      </w:tr>
      <w:tr>
        <w:trPr>
          <w:trHeight w:val="229"/>
        </w:trPr>
        <w:tc>
          <w:tcPr>
            <w:tcW w:w="4200" w:type="dxa"/>
            <w:vAlign w:val="bottom"/>
            <w:tcBorders>
              <w:left w:val="single" w:sz="8" w:color="auto"/>
              <w:bottom w:val="single" w:sz="8" w:color="auto"/>
            </w:tcBorders>
          </w:tcPr>
          <w:p>
            <w:pPr>
              <w:ind w:left="1200"/>
              <w:spacing w:after="0"/>
              <w:rPr>
                <w:sz w:val="20"/>
                <w:szCs w:val="20"/>
                <w:color w:val="auto"/>
              </w:rPr>
            </w:pPr>
            <w:r>
              <w:rPr>
                <w:rFonts w:ascii="Arial" w:cs="Arial" w:eastAsia="Arial" w:hAnsi="Arial"/>
                <w:sz w:val="18"/>
                <w:szCs w:val="18"/>
                <w:b w:val="1"/>
                <w:bCs w:val="1"/>
                <w:color w:val="auto"/>
              </w:rPr>
              <w:t>evaluable disease (n = 23)</w:t>
            </w:r>
          </w:p>
        </w:tc>
        <w:tc>
          <w:tcPr>
            <w:tcW w:w="1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r>
    </w:tbl>
    <w:p>
      <w:pPr>
        <w:ind w:left="760"/>
        <w:spacing w:after="0"/>
        <w:rPr>
          <w:sz w:val="20"/>
          <w:szCs w:val="20"/>
          <w:color w:val="auto"/>
        </w:rPr>
      </w:pPr>
      <w:r>
        <w:rPr>
          <w:rFonts w:ascii="Arial" w:cs="Arial" w:eastAsia="Arial" w:hAnsi="Arial"/>
          <w:sz w:val="18"/>
          <w:szCs w:val="18"/>
          <w:color w:val="auto"/>
        </w:rPr>
        <w:t>CR = complete response; PR = partial response; SD = stable disease; PD = progressive disease; Short f/u = Short-Term follow-up</w:t>
      </w:r>
    </w:p>
    <w:p>
      <w:pPr>
        <w:spacing w:after="0" w:line="230" w:lineRule="exact"/>
        <w:rPr>
          <w:sz w:val="20"/>
          <w:szCs w:val="20"/>
          <w:color w:val="auto"/>
        </w:rPr>
      </w:pPr>
    </w:p>
    <w:p>
      <w:pPr>
        <w:ind w:left="5580" w:right="3560" w:hanging="5032"/>
        <w:spacing w:after="0" w:line="519" w:lineRule="auto"/>
        <w:tabs>
          <w:tab w:leader="none" w:pos="1083"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 of the 12 patients developed anaphylaxis and was removed from the study at seven months.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20" w:firstLine="611"/>
        <w:spacing w:after="0" w:line="233" w:lineRule="auto"/>
        <w:rPr>
          <w:sz w:val="20"/>
          <w:szCs w:val="20"/>
          <w:color w:val="auto"/>
        </w:rPr>
      </w:pPr>
      <w:r>
        <w:rPr>
          <w:rFonts w:ascii="Arial" w:cs="Arial" w:eastAsia="Arial" w:hAnsi="Arial"/>
          <w:sz w:val="17"/>
          <w:szCs w:val="17"/>
          <w:color w:val="auto"/>
        </w:rPr>
        <w:t xml:space="preserve">The scan on the left below shows multiple </w:t>
      </w:r>
      <w:r>
        <w:rPr>
          <w:rFonts w:ascii="Arial" w:cs="Arial" w:eastAsia="Arial" w:hAnsi="Arial"/>
          <w:sz w:val="28"/>
          <w:szCs w:val="28"/>
          <w:color w:val="auto"/>
          <w:vertAlign w:val="superscript"/>
        </w:rPr>
        <w:t>123</w:t>
      </w:r>
      <w:r>
        <w:rPr>
          <w:rFonts w:ascii="Arial" w:cs="Arial" w:eastAsia="Arial" w:hAnsi="Arial"/>
          <w:sz w:val="17"/>
          <w:szCs w:val="17"/>
          <w:color w:val="auto"/>
        </w:rPr>
        <w:t>I-MIBG hot spots (NB lesions) localized to the bone and BM. In the scan on the right below, taken after naxitamab and GM-CSF treatment, nearly all the metastatic lesions have disappeared. Although not every patient will experience similar results, we believe these scans are indicative of a patient that has responded favorably to naxitamab and GM-CSF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139700</wp:posOffset>
            </wp:positionV>
            <wp:extent cx="5866130" cy="30441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6613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firstLine="605"/>
        <w:spacing w:after="0" w:line="333" w:lineRule="auto"/>
        <w:rPr>
          <w:sz w:val="20"/>
          <w:szCs w:val="20"/>
          <w:color w:val="auto"/>
        </w:rPr>
      </w:pPr>
      <w:r>
        <w:rPr>
          <w:rFonts w:ascii="Arial" w:cs="Arial" w:eastAsia="Arial" w:hAnsi="Arial"/>
          <w:sz w:val="16"/>
          <w:szCs w:val="16"/>
          <w:color w:val="auto"/>
        </w:rPr>
        <w:t xml:space="preserve">Among the 25 patients with NED, it was not possible to classify response by International Neuroblastoma Response Criteria, or INRC criteria, including with </w:t>
      </w:r>
      <w:r>
        <w:rPr>
          <w:rFonts w:ascii="Arial" w:cs="Arial" w:eastAsia="Arial" w:hAnsi="Arial"/>
          <w:sz w:val="26"/>
          <w:szCs w:val="26"/>
          <w:color w:val="auto"/>
          <w:vertAlign w:val="superscript"/>
        </w:rPr>
        <w:t>123</w:t>
      </w:r>
      <w:r>
        <w:rPr>
          <w:rFonts w:ascii="Arial" w:cs="Arial" w:eastAsia="Arial" w:hAnsi="Arial"/>
          <w:sz w:val="16"/>
          <w:szCs w:val="16"/>
          <w:color w:val="auto"/>
        </w:rPr>
        <w:t>I-MIBG. These patients, who had one to five prior relapses and therefore had a poor prognosis, showed an encouraging two-year EFS of 24%.</w:t>
      </w:r>
    </w:p>
    <w:p>
      <w:pPr>
        <w:spacing w:after="0" w:line="1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 xml:space="preserve">Treatment in Study 12-230 with naxitamab in patients previously exposed to other anti-GD2 antibodies (dinutuximab or </w:t>
      </w:r>
      <w:r>
        <w:rPr>
          <w:rFonts w:ascii="Arial" w:cs="Arial" w:eastAsia="Arial" w:hAnsi="Arial"/>
          <w:sz w:val="18"/>
          <w:szCs w:val="18"/>
          <w:color w:val="auto"/>
        </w:rPr>
        <w:t>earlier</w:t>
      </w:r>
      <w:r>
        <w:rPr>
          <w:rFonts w:ascii="Arial" w:cs="Arial" w:eastAsia="Arial" w:hAnsi="Arial"/>
          <w:sz w:val="18"/>
          <w:szCs w:val="18"/>
          <w:b w:val="1"/>
          <w:bCs w:val="1"/>
          <w:color w:val="auto"/>
        </w:rPr>
        <w:t xml:space="preserve"> murine version of naxitamab)</w:t>
      </w:r>
    </w:p>
    <w:p>
      <w:pPr>
        <w:spacing w:after="0" w:line="180" w:lineRule="exact"/>
        <w:rPr>
          <w:sz w:val="20"/>
          <w:szCs w:val="20"/>
          <w:color w:val="auto"/>
        </w:rPr>
      </w:pPr>
    </w:p>
    <w:p>
      <w:pPr>
        <w:ind w:firstLine="605"/>
        <w:spacing w:after="0" w:line="332" w:lineRule="auto"/>
        <w:rPr>
          <w:sz w:val="20"/>
          <w:szCs w:val="20"/>
          <w:color w:val="auto"/>
        </w:rPr>
      </w:pPr>
      <w:r>
        <w:rPr>
          <w:rFonts w:ascii="Arial" w:cs="Arial" w:eastAsia="Arial" w:hAnsi="Arial"/>
          <w:sz w:val="16"/>
          <w:szCs w:val="16"/>
          <w:color w:val="auto"/>
        </w:rPr>
        <w:t>A large proportion of the patients (n=47) had previously been treated with anti-GD2 mAbs. We have also demonstrated that naxitamab has efficacy when used following front-line treatment with dinutuximab. A survival analysis was completed in all 16 patients with prior exposure to dinutuximab.</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Portion of Study 12-230</w:t>
      </w:r>
    </w:p>
    <w:p>
      <w:pPr>
        <w:spacing w:after="0" w:line="231" w:lineRule="exact"/>
        <w:rPr>
          <w:sz w:val="20"/>
          <w:szCs w:val="20"/>
          <w:color w:val="auto"/>
        </w:rPr>
      </w:pPr>
    </w:p>
    <w:p>
      <w:pPr>
        <w:ind w:right="340" w:firstLine="611"/>
        <w:spacing w:after="0" w:line="268" w:lineRule="auto"/>
        <w:rPr>
          <w:sz w:val="20"/>
          <w:szCs w:val="20"/>
          <w:color w:val="auto"/>
        </w:rPr>
      </w:pPr>
      <w:r>
        <w:rPr>
          <w:rFonts w:ascii="Arial" w:cs="Arial" w:eastAsia="Arial" w:hAnsi="Arial"/>
          <w:sz w:val="18"/>
          <w:szCs w:val="18"/>
          <w:color w:val="auto"/>
        </w:rPr>
        <w:t>The Study 12-230 protocol was amended in May 2016 to include an expansion Phase 2 portion. As of October 2017, 114 patients had been enrolled, inclusive of the initial 57 patients from the Phase 1 portion of the study.</w:t>
      </w:r>
    </w:p>
    <w:p>
      <w:pPr>
        <w:spacing w:after="0" w:line="186" w:lineRule="exact"/>
        <w:rPr>
          <w:sz w:val="20"/>
          <w:szCs w:val="20"/>
          <w:color w:val="auto"/>
        </w:rPr>
      </w:pPr>
    </w:p>
    <w:p>
      <w:pPr>
        <w:ind w:right="460" w:firstLine="611"/>
        <w:spacing w:after="0" w:line="259" w:lineRule="auto"/>
        <w:rPr>
          <w:sz w:val="20"/>
          <w:szCs w:val="20"/>
          <w:color w:val="auto"/>
        </w:rPr>
      </w:pPr>
      <w:r>
        <w:rPr>
          <w:rFonts w:ascii="Arial" w:cs="Arial" w:eastAsia="Arial" w:hAnsi="Arial"/>
          <w:sz w:val="15"/>
          <w:szCs w:val="15"/>
          <w:color w:val="auto"/>
        </w:rPr>
        <w:t xml:space="preserve">The expansion Phase 2 single-arm portion of Study 12-230 was designed to assess the anti-NB activity of naxitamab and GM-CSF in patients who presented with lesions that could be objectively measured and/or monitored by </w:t>
      </w:r>
      <w:r>
        <w:rPr>
          <w:rFonts w:ascii="Arial" w:cs="Arial" w:eastAsia="Arial" w:hAnsi="Arial"/>
          <w:sz w:val="24"/>
          <w:szCs w:val="24"/>
          <w:color w:val="auto"/>
          <w:vertAlign w:val="superscript"/>
        </w:rPr>
        <w:t>123</w:t>
      </w:r>
      <w:r>
        <w:rPr>
          <w:rFonts w:ascii="Arial" w:cs="Arial" w:eastAsia="Arial" w:hAnsi="Arial"/>
          <w:sz w:val="15"/>
          <w:szCs w:val="15"/>
          <w:color w:val="auto"/>
        </w:rPr>
        <w:t>I-MIBG scans and who were deemed to have measurable disease and be</w:t>
      </w:r>
    </w:p>
    <w:p>
      <w:pPr>
        <w:spacing w:after="0" w:line="2" w:lineRule="exact"/>
        <w:rPr>
          <w:sz w:val="20"/>
          <w:szCs w:val="20"/>
          <w:color w:val="auto"/>
        </w:rPr>
      </w:pPr>
    </w:p>
    <w:p>
      <w:pPr>
        <w:ind w:right="220"/>
        <w:spacing w:after="0" w:line="218" w:lineRule="auto"/>
        <w:rPr>
          <w:sz w:val="20"/>
          <w:szCs w:val="20"/>
          <w:color w:val="auto"/>
        </w:rPr>
      </w:pPr>
      <w:r>
        <w:rPr>
          <w:rFonts w:ascii="Arial" w:cs="Arial" w:eastAsia="Arial" w:hAnsi="Arial"/>
          <w:sz w:val="18"/>
          <w:szCs w:val="18"/>
          <w:color w:val="auto"/>
        </w:rPr>
        <w:t xml:space="preserve">eligible for response classification by the INRC classification incorporating </w:t>
      </w:r>
      <w:r>
        <w:rPr>
          <w:rFonts w:ascii="Arial" w:cs="Arial" w:eastAsia="Arial" w:hAnsi="Arial"/>
          <w:sz w:val="29"/>
          <w:szCs w:val="29"/>
          <w:color w:val="auto"/>
          <w:vertAlign w:val="superscript"/>
        </w:rPr>
        <w:t>123</w:t>
      </w:r>
      <w:r>
        <w:rPr>
          <w:rFonts w:ascii="Arial" w:cs="Arial" w:eastAsia="Arial" w:hAnsi="Arial"/>
          <w:sz w:val="18"/>
          <w:szCs w:val="18"/>
          <w:color w:val="auto"/>
        </w:rPr>
        <w:t>I-MIBG scans. These patients were classified as having evaluable disease and consisted of patients that were primary refractory patients or secondary refractory patients. Another group of patients included those with NED but with a high risk of relapse.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to satisfying certain other criteria, patients must be over one year of age and will be mainly children and adolescents.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Objectives</w:t>
      </w:r>
    </w:p>
    <w:p>
      <w:pPr>
        <w:spacing w:after="0" w:line="239" w:lineRule="exact"/>
        <w:rPr>
          <w:sz w:val="20"/>
          <w:szCs w:val="20"/>
          <w:color w:val="auto"/>
        </w:rPr>
      </w:pPr>
    </w:p>
    <w:p>
      <w:pPr>
        <w:ind w:left="1080" w:right="1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Group 1: To assess the activity of naxitamab and GM-CSF in patients who have primary refractory disease in BM by measuring response and by calculating PFS.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Group 2: To assess the impact of naxitamab and GM-CSF on PFS in patients in greater than or equal to second CR/VGPR, but at high-risk of another relapse.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Group 3: To assess the activity of naxitamab and GM-CSF in patients who have secondary refractory disease in BM by measuring response and by calculating PFS.</w:t>
      </w:r>
    </w:p>
    <w:p>
      <w:pPr>
        <w:spacing w:after="0" w:line="18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i w:val="1"/>
          <w:iCs w:val="1"/>
          <w:color w:val="auto"/>
        </w:rPr>
        <w:t>Secondary Objectives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apply real-time quantitative RT-PCR to test the hypothesis that the minimal residual disease, or MRD, findings in BM after the first two cycles of naxitamab and GM-CSF have significant prognostic impact on outcome.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Currently, no published safety or efficacy data is available from the Phase 2 portion of the study.</w:t>
      </w:r>
    </w:p>
    <w:p>
      <w:pPr>
        <w:spacing w:after="0" w:line="225" w:lineRule="exact"/>
        <w:rPr>
          <w:sz w:val="20"/>
          <w:szCs w:val="20"/>
          <w:color w:val="auto"/>
        </w:rPr>
      </w:pPr>
    </w:p>
    <w:p>
      <w:pPr>
        <w:ind w:left="1080" w:right="900"/>
        <w:spacing w:after="0" w:line="268" w:lineRule="auto"/>
        <w:rPr>
          <w:sz w:val="20"/>
          <w:szCs w:val="20"/>
          <w:color w:val="auto"/>
        </w:rPr>
      </w:pPr>
      <w:r>
        <w:rPr>
          <w:rFonts w:ascii="Arial" w:cs="Arial" w:eastAsia="Arial" w:hAnsi="Arial"/>
          <w:sz w:val="18"/>
          <w:szCs w:val="18"/>
          <w:i w:val="1"/>
          <w:iCs w:val="1"/>
          <w:color w:val="auto"/>
        </w:rPr>
        <w:t>Study 201: A Phase 3 Trial of Antibody Naxitamab and Granulocyte-Macrophage Colony Stimulating Factor (GM-CSF) in High-Risk Neuroblastoma Patients with Primary or Secondary Refractory Osteomedullary Disease</w:t>
      </w:r>
    </w:p>
    <w:p>
      <w:pPr>
        <w:spacing w:after="0" w:line="186"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Study 201 is a single-arm multi-center pivotal study using current Good Manufacturing Practices, or cGMP, manufactured naxitamab, which commenced recruitment in the first quarter of 2018. We expect to enroll a total of 37 patients.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00" w:firstLine="615"/>
        <w:spacing w:after="0" w:line="259" w:lineRule="auto"/>
        <w:rPr>
          <w:sz w:val="20"/>
          <w:szCs w:val="20"/>
          <w:color w:val="auto"/>
        </w:rPr>
      </w:pPr>
      <w:r>
        <w:rPr>
          <w:rFonts w:ascii="Arial" w:cs="Arial" w:eastAsia="Arial" w:hAnsi="Arial"/>
          <w:sz w:val="15"/>
          <w:szCs w:val="15"/>
          <w:color w:val="auto"/>
        </w:rPr>
        <w:t xml:space="preserve">In addition to satisfying certain other criteria, patients must have high-risk NB with primary or secondary refractory osteomedullary disease. Primary refractory disease is defined as no prior relapse but incomplete response to treatment in BM as documented by histology and/or </w:t>
      </w:r>
      <w:r>
        <w:rPr>
          <w:rFonts w:ascii="Arial" w:cs="Arial" w:eastAsia="Arial" w:hAnsi="Arial"/>
          <w:sz w:val="24"/>
          <w:szCs w:val="24"/>
          <w:color w:val="auto"/>
          <w:vertAlign w:val="superscript"/>
        </w:rPr>
        <w:t>123</w:t>
      </w:r>
      <w:r>
        <w:rPr>
          <w:rFonts w:ascii="Arial" w:cs="Arial" w:eastAsia="Arial" w:hAnsi="Arial"/>
          <w:sz w:val="15"/>
          <w:szCs w:val="15"/>
          <w:color w:val="auto"/>
        </w:rPr>
        <w:t>I-MIBG scan. Secondary</w:t>
      </w:r>
    </w:p>
    <w:p>
      <w:pPr>
        <w:spacing w:after="0" w:line="2" w:lineRule="exact"/>
        <w:rPr>
          <w:sz w:val="20"/>
          <w:szCs w:val="20"/>
          <w:color w:val="auto"/>
        </w:rPr>
      </w:pPr>
    </w:p>
    <w:p>
      <w:pPr>
        <w:ind w:right="360"/>
        <w:spacing w:after="0" w:line="206" w:lineRule="auto"/>
        <w:rPr>
          <w:sz w:val="20"/>
          <w:szCs w:val="20"/>
          <w:color w:val="auto"/>
        </w:rPr>
      </w:pPr>
      <w:r>
        <w:rPr>
          <w:rFonts w:ascii="Arial" w:cs="Arial" w:eastAsia="Arial" w:hAnsi="Arial"/>
          <w:sz w:val="18"/>
          <w:szCs w:val="18"/>
          <w:color w:val="auto"/>
        </w:rPr>
        <w:t xml:space="preserve">refractory disease is defined as prior relapse and incomplete response to salvage therapy in BM as documented by histology and/or </w:t>
      </w:r>
      <w:r>
        <w:rPr>
          <w:rFonts w:ascii="Arial" w:cs="Arial" w:eastAsia="Arial" w:hAnsi="Arial"/>
          <w:sz w:val="29"/>
          <w:szCs w:val="29"/>
          <w:color w:val="auto"/>
          <w:vertAlign w:val="superscript"/>
        </w:rPr>
        <w:t>123</w:t>
      </w:r>
      <w:r>
        <w:rPr>
          <w:rFonts w:ascii="Arial" w:cs="Arial" w:eastAsia="Arial" w:hAnsi="Arial"/>
          <w:sz w:val="18"/>
          <w:szCs w:val="18"/>
          <w:color w:val="auto"/>
        </w:rPr>
        <w:t>I-MIBG scan. Patients must be older than one year of age.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Study 201 will follow the same treatment protocol as previously described for Study 12-230 above.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52" w:lineRule="exact"/>
        <w:rPr>
          <w:sz w:val="20"/>
          <w:szCs w:val="20"/>
          <w:color w:val="auto"/>
        </w:rPr>
      </w:pPr>
    </w:p>
    <w:p>
      <w:pPr>
        <w:ind w:left="1080" w:right="6420" w:hanging="532"/>
        <w:spacing w:after="0" w:line="501"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To evaluate the efficacy of IV naxitamab and GM-CSF. </w:t>
      </w:r>
      <w:r>
        <w:rPr>
          <w:rFonts w:ascii="Arial" w:cs="Arial" w:eastAsia="Arial" w:hAnsi="Arial"/>
          <w:sz w:val="18"/>
          <w:szCs w:val="18"/>
          <w:i w:val="1"/>
          <w:iCs w:val="1"/>
          <w:color w:val="auto"/>
        </w:rPr>
        <w:t>Secondary Objectives</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evaluate the safety of IV naxitamab and GM-CSF.</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evaluate the duration of response from the start of naxitamab and GM-CSF. Duration of response is defined as the length of time from patient response to PD.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PFS of naxitamab and GM-CSF.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median OS at two years following naxitamab and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the pharmacokinetics of naxitamab and investigate the formation of HAHAs.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16-1643: Naxitamab/GM-CSF Immunotherapy Plus Isotretinoin for Consolidation of First Remission of Patients with High-Risk</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Neuroblastoma: A Phase II Study</w:t>
      </w:r>
    </w:p>
    <w:p>
      <w:pPr>
        <w:spacing w:after="0" w:line="219"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Study 16-1643 is a Phase 2 single-arm clinical trial where patients with high-risk NB in first CR/VGPR undergo consolidation with naxitamab and GM-CSF for five cycles and isotretinoin for six cycles. The primary objective of the study is to determine relapse-free survival following treatment with naxitamab combined with GM-CSF and isotretinoin. As of October 2017, 12 patients had been enrolled in the study.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jc w:val="both"/>
        <w:ind w:right="240" w:firstLine="615"/>
        <w:spacing w:after="0" w:line="259" w:lineRule="auto"/>
        <w:rPr>
          <w:sz w:val="20"/>
          <w:szCs w:val="20"/>
          <w:color w:val="auto"/>
        </w:rPr>
      </w:pPr>
      <w:r>
        <w:rPr>
          <w:rFonts w:ascii="Arial" w:cs="Arial" w:eastAsia="Arial" w:hAnsi="Arial"/>
          <w:sz w:val="18"/>
          <w:szCs w:val="18"/>
          <w:color w:val="auto"/>
        </w:rPr>
        <w:t>In addition to satisfying certain other criteria, patients must have diagnosis of NB as defined by a) histopathology, or b) BM metastases or MIBG-avid lesion(s) plus high urine catecholamine levels. Patients must have high-risk NB (MYCN-amplified Stage 2, 3, 4, and 4S of any age and MYCN-nonamplified Stage 4 in patients above 18 months of age). Patients must be in first CR/VGPR.</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will mainly be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80" w:firstLine="611"/>
        <w:spacing w:after="0" w:line="305" w:lineRule="auto"/>
        <w:rPr>
          <w:sz w:val="20"/>
          <w:szCs w:val="20"/>
          <w:color w:val="auto"/>
        </w:rPr>
      </w:pPr>
      <w:r>
        <w:rPr>
          <w:rFonts w:ascii="Arial" w:cs="Arial" w:eastAsia="Arial" w:hAnsi="Arial"/>
          <w:sz w:val="15"/>
          <w:szCs w:val="15"/>
          <w:color w:val="auto"/>
        </w:rPr>
        <w:t>The dosing and regimen for naxitamab and GM-CSF is similar to the protocol in Study 12-230. Naxitamab and GM-CSF is given for five cycles and isotretinoin for six cycles. In addition to naxitamab and GM-CSF, isotretinoin, which has been shown to decrease the risk of relapse in patients treated in CR, is</w:t>
      </w:r>
    </w:p>
    <w:p>
      <w:pPr>
        <w:ind w:right="20"/>
        <w:spacing w:after="0" w:line="227" w:lineRule="auto"/>
        <w:rPr>
          <w:sz w:val="20"/>
          <w:szCs w:val="20"/>
          <w:color w:val="auto"/>
        </w:rPr>
      </w:pPr>
      <w:r>
        <w:rPr>
          <w:rFonts w:ascii="Arial" w:cs="Arial" w:eastAsia="Arial" w:hAnsi="Arial"/>
          <w:sz w:val="18"/>
          <w:szCs w:val="18"/>
          <w:color w:val="auto"/>
        </w:rPr>
        <w:t>administered at 160mg/m</w:t>
      </w:r>
      <w:r>
        <w:rPr>
          <w:rFonts w:ascii="Arial" w:cs="Arial" w:eastAsia="Arial" w:hAnsi="Arial"/>
          <w:sz w:val="29"/>
          <w:szCs w:val="29"/>
          <w:color w:val="auto"/>
          <w:vertAlign w:val="superscript"/>
        </w:rPr>
        <w:t>2</w:t>
      </w:r>
      <w:r>
        <w:rPr>
          <w:rFonts w:ascii="Arial" w:cs="Arial" w:eastAsia="Arial" w:hAnsi="Arial"/>
          <w:sz w:val="18"/>
          <w:szCs w:val="18"/>
          <w:color w:val="auto"/>
        </w:rPr>
        <w:t>/d, divided into two doses, for 14 days. This treatment can be repeated after a minimum rest period of 14 days, for a total of six cycles starting after two cycles of naxitamab and GM-CSF unless HAHA develops and precludes timely administration of cycle 2 of naxitamab and GM-CSF. The interval between end of a treatment cycle of naxitamab and GM-CSF and start of next treatment cycle is two to four weeks through cycle 4, then the interval is up to six to eight weeks until cycle 5.</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7140" w:hanging="532"/>
        <w:spacing w:after="0" w:line="501"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To determine two years relapse-free survival. </w:t>
      </w:r>
      <w:r>
        <w:rPr>
          <w:rFonts w:ascii="Arial" w:cs="Arial" w:eastAsia="Arial" w:hAnsi="Arial"/>
          <w:sz w:val="18"/>
          <w:szCs w:val="18"/>
          <w:i w:val="1"/>
          <w:iCs w:val="1"/>
          <w:color w:val="auto"/>
        </w:rPr>
        <w:t>Secondary Objective</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determine MRD by using BM specimens.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11-009: Phase I Study of Naxitamab Monoclonal Antibody in Patients with High-Risk Neuroblastoma and GD2-Positive Tumors</w:t>
      </w:r>
    </w:p>
    <w:p>
      <w:pPr>
        <w:spacing w:after="0" w:line="248"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Study 11-009 is a Phase 1 clinical dose escalation study with IV naxitamab given as monotherapy in patients with high-risk NB or other GD2-positive tumors. We intend to use the safety data from this study, when available, to support our planned BLA submission for naxitamab in pediatric R/R high-risk NB. As of October 2017, 68 patients had been enrolled in the study, and we expect to enroll a total of 74 patients. The primary objective of the study is to establish the MTD of naxitamab. The secondary objectives are to study the pharmacokinetics, to assess activity of naxitamab against NB and other GD2-positive tumors, and to quantitate pain during naxitamab treatment. As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2017, a MTD had not been reached in the study. Two patients experienced reversible DLT of elevated liver transaminases.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for the Treatment of Relapsed Osteosarcoma</w:t>
      </w:r>
    </w:p>
    <w:p>
      <w:pPr>
        <w:spacing w:after="0" w:line="231"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Naxitamab is currently being evaluated in an ongoing Phase 2 clinical study (Study 15-096) for the treatment of patients with relapsed osteosarcoma that have been rendered surgically free of evident disease. As of October 2017, 14 patients had been enrolled and we expect to enroll a total of 39 patients. The trial is designed to distinguish between 12-month EFS of 30% versus 50%.</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Osteosarcoma</w:t>
      </w:r>
    </w:p>
    <w:p>
      <w:pPr>
        <w:spacing w:after="0" w:line="225" w:lineRule="exact"/>
        <w:rPr>
          <w:sz w:val="20"/>
          <w:szCs w:val="20"/>
          <w:color w:val="auto"/>
        </w:rPr>
      </w:pPr>
    </w:p>
    <w:p>
      <w:pPr>
        <w:jc w:val="both"/>
        <w:ind w:right="380" w:firstLine="615"/>
        <w:spacing w:after="0" w:line="256" w:lineRule="auto"/>
        <w:rPr>
          <w:sz w:val="20"/>
          <w:szCs w:val="20"/>
          <w:color w:val="auto"/>
        </w:rPr>
      </w:pPr>
      <w:r>
        <w:rPr>
          <w:rFonts w:ascii="Arial" w:cs="Arial" w:eastAsia="Arial" w:hAnsi="Arial"/>
          <w:sz w:val="18"/>
          <w:szCs w:val="18"/>
          <w:color w:val="auto"/>
        </w:rPr>
        <w:t>Osteosarcoma is the most commonly diagnosed primary malignancy of bone, particularly among children and adolescents. It is relatively rare and represents less than one percent of all cancers diagnosed in the United States. According to the ACS, most osteosarcomas occur in children and adolescents between the ages of 10 and 30. In young patients, it most often arises in the metaphyses of long bones, such as the distal femur, proximal tibia, and proximal humerus.</w:t>
      </w:r>
    </w:p>
    <w:p>
      <w:pPr>
        <w:spacing w:after="0" w:line="197"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Each year, approximately 1,000 new patients are diagnosed with osteosarcoma in the United States. Assuming similar prevalence as in the United States, we estimate approximately 1,500 patients diagnosed with osteosarcoma per year in Europe. If approved, we would expect to treat approximately 300 patients per year in the United States and Europe, combined.</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Relapsed Osteosarcoma—Current Treatment Landscape and Associated Limitations</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Current treatment options for front-line and relapsed osteosarcoma consist of surgery, chemotherapy, radiotherapy, or a combination of the three. Multimodality treatment is increasingly recognized as an important approach for increasing a patient's chance of prolonged survival. Approximately 50% to 70% of patients treated with aggressive surgical resection and systemic therapy (combination methotrexate, doxorubicin, and cisplatin chemotherapy) achieve long-term EFS if they have localized disease at diagnosis. However, as discussed below, the prognosis for patients with metastatic disease at diagnosis or those with relapsed disease is very poor. Over the past three decades, several attempts at improving the prognosis for these patients have achieved little success. Strategies that incorporated dose-intensification of existing agents or addition of other conventional chemotherapeutic agents as well as biological agents, have not achieved long-term benefit in patients with relapsed osteosarcoma. We believe that at present, there are no novel compounds that have demonstrated activity in relapsed osteosarcoma and few therapeutic options exist for patients with relapsed disease.</w:t>
      </w:r>
    </w:p>
    <w:p>
      <w:pPr>
        <w:spacing w:after="0" w:line="172"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poor prognosis in relapsed osteosarcoma has been confirmed in several reports. A study from the Cooperative Osteosarcoma Study Group reported that while only one of 205 patients with recurrence survived past five years without surgical resection, the five-year OS and EFS rates were 32% and 18% for second recurrence, 26% and 0% for third recurrence, 28% and 13% for fourth recurrence, and 53% and 0% for fifth recurrence, respectively, in which a renewed surgical remission was achieved.</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Relapsed Osteosarcoma—Clinical Development Program</w:t>
      </w:r>
    </w:p>
    <w:p>
      <w:pPr>
        <w:spacing w:after="0" w:line="225" w:lineRule="exact"/>
        <w:rPr>
          <w:sz w:val="20"/>
          <w:szCs w:val="20"/>
          <w:color w:val="auto"/>
        </w:rPr>
      </w:pPr>
    </w:p>
    <w:p>
      <w:pPr>
        <w:ind w:right="220" w:firstLine="615"/>
        <w:spacing w:after="0" w:line="298" w:lineRule="auto"/>
        <w:rPr>
          <w:sz w:val="20"/>
          <w:szCs w:val="20"/>
          <w:color w:val="auto"/>
        </w:rPr>
      </w:pPr>
      <w:r>
        <w:rPr>
          <w:rFonts w:ascii="Arial" w:cs="Arial" w:eastAsia="Arial" w:hAnsi="Arial"/>
          <w:sz w:val="16"/>
          <w:szCs w:val="16"/>
          <w:color w:val="auto"/>
        </w:rPr>
        <w:t>Currently, naxitamab is being evaluated in an ongoing Phase 2 clinical trial (Study 15-096) for the treatment of relapsed osteosarcoma. This Phase 2 clinical trial is designed to assess the efficacy of naxitamab when combined with GM-CSF in patients with relapsed osteosarcoma who have been rendered surgically free of evident disease. The study commenced in July 2015, and as of October 2017, 14 patients had been enrolled. We expect to recruit a total of 39 patients. This trial is designed to distinguish between a 12-month EFS of 30% versus 50%.</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i w:val="1"/>
          <w:iCs w:val="1"/>
          <w:color w:val="auto"/>
        </w:rPr>
        <w:t>Study 15-096: A Phase II Study of Monoclonal Antibody Naxitamab with Granulocyte-Macrophage Colony Stimulating Factor (GM-CSF) in the Treatment of Recurrent Osteosarcoma</w:t>
      </w:r>
    </w:p>
    <w:p>
      <w:pPr>
        <w:spacing w:after="0" w:line="186"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Study 15-096 is a Phase 2 clinical trial to assess the efficacy of the humanized anti-GD2 antibody, naxitamab, when combined with GM-CSF, in patients with recurrent osteosarcoma who have been rendered surgically free of evident disease.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addition to satisfying certain other criteria, patients must be older than one year and up to 40 years of age. To enroll, patients must have a diagnosis of relapsed osteosarcoma. Patients must also be in or beyond their second CR.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200" w:firstLine="615"/>
        <w:spacing w:after="0" w:line="255" w:lineRule="auto"/>
        <w:rPr>
          <w:sz w:val="20"/>
          <w:szCs w:val="20"/>
          <w:color w:val="auto"/>
        </w:rPr>
      </w:pPr>
      <w:r>
        <w:rPr>
          <w:rFonts w:ascii="Arial" w:cs="Arial" w:eastAsia="Arial" w:hAnsi="Arial"/>
          <w:sz w:val="18"/>
          <w:szCs w:val="18"/>
          <w:color w:val="auto"/>
        </w:rPr>
        <w:t>Each cycle of therapy is 10 days. The treatment protocol defined one cycle of treatment with IV naxitamab at a dose of 2.4 mg/kg/dose for three days (days one, three, and five) in the presence of subcutaneous GM-CSF (administered on day minus four before dose one of naxitamab). These three doses of naxitamab with GM-CSF administered subcutaneously before dose one of naxitamab constitute a treatment cycle. Cycles can be repeated at two to four week intervals between first days of naxitamab, through five cycles. A maximum of five cycles were administered on protocol. No simultaneous anti-cancer therapy was permitted while on study.</w:t>
      </w:r>
    </w:p>
    <w:p>
      <w:pPr>
        <w:spacing w:after="0" w:line="197" w:lineRule="exact"/>
        <w:rPr>
          <w:sz w:val="20"/>
          <w:szCs w:val="20"/>
          <w:color w:val="auto"/>
        </w:rPr>
      </w:pPr>
    </w:p>
    <w:p>
      <w:pPr>
        <w:ind w:right="640" w:firstLine="611"/>
        <w:spacing w:after="0" w:line="268" w:lineRule="auto"/>
        <w:rPr>
          <w:sz w:val="20"/>
          <w:szCs w:val="20"/>
          <w:color w:val="auto"/>
        </w:rPr>
      </w:pPr>
      <w:r>
        <w:rPr>
          <w:rFonts w:ascii="Arial" w:cs="Arial" w:eastAsia="Arial" w:hAnsi="Arial"/>
          <w:sz w:val="18"/>
          <w:szCs w:val="18"/>
          <w:color w:val="auto"/>
        </w:rPr>
        <w:t>The primary objective of the study is to evaluate EFS at 12 months and secondary objectives are to evaluate time to recurrence, OS and toxicity associated with naxitamab and GM-CSF.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 Overview</w:t>
      </w:r>
    </w:p>
    <w:p>
      <w:pPr>
        <w:spacing w:after="0" w:line="231" w:lineRule="exact"/>
        <w:rPr>
          <w:sz w:val="20"/>
          <w:szCs w:val="20"/>
          <w:color w:val="auto"/>
        </w:rPr>
      </w:pPr>
    </w:p>
    <w:p>
      <w:pPr>
        <w:ind w:firstLine="615"/>
        <w:spacing w:after="0" w:line="305" w:lineRule="auto"/>
        <w:rPr>
          <w:sz w:val="20"/>
          <w:szCs w:val="20"/>
          <w:color w:val="auto"/>
        </w:rPr>
      </w:pPr>
      <w:r>
        <w:rPr>
          <w:rFonts w:ascii="Arial" w:cs="Arial" w:eastAsia="Arial" w:hAnsi="Arial"/>
          <w:sz w:val="15"/>
          <w:szCs w:val="15"/>
          <w:color w:val="auto"/>
        </w:rPr>
        <w:t>Omburtamab is a novel murine monoclonal antibody currently designed for compartmental immunotherapy, for example in the CNS. Omburtamab targets B7-H3, an immune checkpoint molecule that is widely expressed in tumor cells of several types of cancers. We have radiolabeled omburtamab with either</w:t>
      </w:r>
    </w:p>
    <w:p>
      <w:pPr>
        <w:ind w:right="20"/>
        <w:spacing w:after="0" w:line="278" w:lineRule="auto"/>
        <w:rPr>
          <w:sz w:val="20"/>
          <w:szCs w:val="20"/>
          <w:color w:val="auto"/>
        </w:rPr>
      </w:pPr>
      <w:r>
        <w:rPr>
          <w:rFonts w:ascii="Arial" w:cs="Arial" w:eastAsia="Arial" w:hAnsi="Arial"/>
          <w:sz w:val="15"/>
          <w:szCs w:val="15"/>
          <w:color w:val="auto"/>
        </w:rPr>
        <w:t>Iodine-131 (</w:t>
      </w:r>
      <w:r>
        <w:rPr>
          <w:rFonts w:ascii="Arial" w:cs="Arial" w:eastAsia="Arial" w:hAnsi="Arial"/>
          <w:sz w:val="24"/>
          <w:szCs w:val="24"/>
          <w:color w:val="auto"/>
          <w:vertAlign w:val="superscript"/>
        </w:rPr>
        <w:t>131</w:t>
      </w:r>
      <w:r>
        <w:rPr>
          <w:rFonts w:ascii="Arial" w:cs="Arial" w:eastAsia="Arial" w:hAnsi="Arial"/>
          <w:sz w:val="15"/>
          <w:szCs w:val="15"/>
          <w:color w:val="auto"/>
        </w:rPr>
        <w:t>I-omburtamab) or Iodine-124 (</w:t>
      </w:r>
      <w:r>
        <w:rPr>
          <w:rFonts w:ascii="Arial" w:cs="Arial" w:eastAsia="Arial" w:hAnsi="Arial"/>
          <w:sz w:val="24"/>
          <w:szCs w:val="24"/>
          <w:color w:val="auto"/>
          <w:vertAlign w:val="superscript"/>
        </w:rPr>
        <w:t>124</w:t>
      </w:r>
      <w:r>
        <w:rPr>
          <w:rFonts w:ascii="Arial" w:cs="Arial" w:eastAsia="Arial" w:hAnsi="Arial"/>
          <w:sz w:val="15"/>
          <w:szCs w:val="15"/>
          <w:color w:val="auto"/>
        </w:rPr>
        <w:t xml:space="preserve">I-omburtamab). </w:t>
      </w:r>
      <w:r>
        <w:rPr>
          <w:rFonts w:ascii="Arial" w:cs="Arial" w:eastAsia="Arial" w:hAnsi="Arial"/>
          <w:sz w:val="24"/>
          <w:szCs w:val="24"/>
          <w:color w:val="auto"/>
          <w:vertAlign w:val="superscript"/>
        </w:rPr>
        <w:t>131</w:t>
      </w:r>
      <w:r>
        <w:rPr>
          <w:rFonts w:ascii="Arial" w:cs="Arial" w:eastAsia="Arial" w:hAnsi="Arial"/>
          <w:sz w:val="15"/>
          <w:szCs w:val="15"/>
          <w:color w:val="auto"/>
        </w:rPr>
        <w:t>I-omburtamab is currently in pivotal stage development for the treatment of pediatric CNS/LM from NB, and was granted ODD, RPDD and BTD in this indication in 2016-2017. The RPDD qualifies us for receipt of a PRV upon approval of omburtamab for treatment of NB, if such approval occurs. An analysis of 93 treated patients treated through August 2017 demonstrated median OS of 47 months (including a five-year median OS of approximately 43%), as compared to historical median OS of approximately six months. Omburtamab has also been generally well tolerated in over 200 patients treated over 14 years for multiple indications, with no significant long-term toxicities. We expect to submit the BLA</w:t>
      </w:r>
    </w:p>
    <w:p>
      <w:pPr>
        <w:spacing w:after="0" w:line="2"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 xml:space="preserve">for </w:t>
      </w:r>
      <w:r>
        <w:rPr>
          <w:rFonts w:ascii="Arial" w:cs="Arial" w:eastAsia="Arial" w:hAnsi="Arial"/>
          <w:sz w:val="26"/>
          <w:szCs w:val="26"/>
          <w:color w:val="auto"/>
          <w:vertAlign w:val="superscript"/>
        </w:rPr>
        <w:t>131</w:t>
      </w:r>
      <w:r>
        <w:rPr>
          <w:rFonts w:ascii="Arial" w:cs="Arial" w:eastAsia="Arial" w:hAnsi="Arial"/>
          <w:sz w:val="16"/>
          <w:szCs w:val="16"/>
          <w:color w:val="auto"/>
        </w:rPr>
        <w:t>I-omburtamab for treatment of patients with R/R NB who have CNS or LM in the second half of 2018. In addition, radiolabeled omburtamab is in Phase 1/2 clinical development for two additional rare pediatric cancers, DSRCT and DIPG, with clinical results expected for both in the first half of 2018. We believe that we are well positioned to submit sBLAs in each of these two indications, assuming positive results in these Phase 1/2 clinical trials. Further, we believe that omburtamab has the potential to address several other tumors in children and adults that express B7-H3 such as prostate, ovarian, breast, colon, renal, non-small cell lung, pancreatic, head and neck cancers, as well as melanoma, glioblastoma, and NB and other small round blue cell tumors of childhood.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B7-H3 Overview</w:t>
      </w:r>
    </w:p>
    <w:p>
      <w:pPr>
        <w:spacing w:after="0" w:line="225"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B7-H3 is a member of the B7 family of immune-regulatory ligands. The family includes B7-1, B7-2, PD-L1, PD-L2, B7-H3, B7-H4, B7-H6 and their ligands on T-cells PD-1, CD28, CTLA-4 and ICOS. B7-H3 is highly expressed on many solid cancers and displays high tumor-versus-normal tissue binding differential. In mice, studies have shown that members of the B7 family have the capability to</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regulate the immune system through both stimulatory and inhibitory signals. Inhibition of certain members of the B7 family has been shown to have significant anti-tumor effects in several solid tumor types. As such, we believe that B7-H3 is a promising target for designing targeted therapeutics with a range of modalities.</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B7-H3 Expression in Various Cancer Types</w:t>
      </w:r>
    </w:p>
    <w:p>
      <w:pPr>
        <w:spacing w:after="0" w:line="225"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Studies have shown that B7-H3 is highly expressed on a variety of solid cancer tumors, including prostate, ovarian, breast, colon, renal, non-small cell lung, pancreatic, head and neck cancers, as well as melanoma, glioblastoma, and NB and other small round blue cell tumors of childhood. In addition, a high degree of B7-H3 expression on solid tumors has been correlated with greater disease severity, poor outcomes and worse median OS in a number of these cancer types.</w:t>
      </w:r>
    </w:p>
    <w:p>
      <w:pPr>
        <w:spacing w:after="0" w:line="197"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 xml:space="preserve">We believe there is a large market opportunity for the treatment of solid tumors that express B7-H3, with hundreds of thousands of new cases estimated in the United States in 2017. Based on our review of published research, we believe that B7-H3 expression occurs in a range of 70% to 100% of tumor samples for various cancer types, which makes B7-H3 a promising immunotherapy target. Our literature review also revealed that B7-H3 expression on the systemic tumor is replicated in the metastasized tumor. While our clinical development efforts for omburtamab are currently focused on rare pediatric cancers, we believe we have the potential to expand omburtamab's application to both the treatment of CNS/LM from solid tumors that express B7-H3 and the underlying solid systemic tumor. As part of Study 03-133, we have also treated a small number of adult patients with solid tumors that have metastasized to the CNS/LM compartment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and preliminary indications show that it has been generally well tolerated and promising results.</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vertAlign w:val="superscript"/>
        </w:rPr>
        <w:t>131</w:t>
      </w:r>
      <w:r>
        <w:rPr>
          <w:rFonts w:ascii="Arial" w:cs="Arial" w:eastAsia="Arial" w:hAnsi="Arial"/>
          <w:sz w:val="18"/>
          <w:szCs w:val="18"/>
          <w:b w:val="1"/>
          <w:bCs w:val="1"/>
          <w:color w:val="auto"/>
        </w:rPr>
        <w:t xml:space="preserve">I-omburtamab and </w:t>
      </w:r>
      <w:r>
        <w:rPr>
          <w:rFonts w:ascii="Arial" w:cs="Arial" w:eastAsia="Arial" w:hAnsi="Arial"/>
          <w:sz w:val="29"/>
          <w:szCs w:val="29"/>
          <w:b w:val="1"/>
          <w:bCs w:val="1"/>
          <w:color w:val="auto"/>
          <w:vertAlign w:val="superscript"/>
        </w:rPr>
        <w:t>124</w:t>
      </w:r>
      <w:r>
        <w:rPr>
          <w:rFonts w:ascii="Arial" w:cs="Arial" w:eastAsia="Arial" w:hAnsi="Arial"/>
          <w:sz w:val="18"/>
          <w:szCs w:val="18"/>
          <w:b w:val="1"/>
          <w:bCs w:val="1"/>
          <w:color w:val="auto"/>
        </w:rPr>
        <w:t>I-omburtamab</w:t>
      </w:r>
      <w:r>
        <w:rPr>
          <w:rFonts w:ascii="Arial" w:cs="Arial" w:eastAsia="Arial" w:hAnsi="Arial"/>
          <w:sz w:val="18"/>
          <w:szCs w:val="18"/>
          <w:b w:val="1"/>
          <w:bCs w:val="1"/>
          <w:i w:val="1"/>
          <w:iCs w:val="1"/>
          <w:color w:val="auto"/>
        </w:rPr>
        <w:t>—Mechanism of Action</w:t>
      </w:r>
    </w:p>
    <w:p>
      <w:pPr>
        <w:spacing w:after="0" w:line="143" w:lineRule="exact"/>
        <w:rPr>
          <w:sz w:val="20"/>
          <w:szCs w:val="20"/>
          <w:color w:val="auto"/>
        </w:rPr>
      </w:pPr>
    </w:p>
    <w:p>
      <w:pPr>
        <w:ind w:firstLine="615"/>
        <w:spacing w:after="0" w:line="238" w:lineRule="auto"/>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and </w:t>
      </w:r>
      <w:r>
        <w:rPr>
          <w:rFonts w:ascii="Arial" w:cs="Arial" w:eastAsia="Arial" w:hAnsi="Arial"/>
          <w:sz w:val="29"/>
          <w:szCs w:val="29"/>
          <w:color w:val="auto"/>
          <w:vertAlign w:val="superscript"/>
        </w:rPr>
        <w:t>124</w:t>
      </w:r>
      <w:r>
        <w:rPr>
          <w:rFonts w:ascii="Arial" w:cs="Arial" w:eastAsia="Arial" w:hAnsi="Arial"/>
          <w:sz w:val="18"/>
          <w:szCs w:val="18"/>
          <w:color w:val="auto"/>
        </w:rPr>
        <w:t>I-omburtamab are monoclonal antibodies that are radiolabeled with either Iodine-131 or Iodine-124, respectively, and both target B7-H3. Upon administration, radiolabeled omburtamab binds selectively to B7-H3 ligand that is expressed on the tumor cell surface. Both Iodine-131 and Iodine-124 emit beta radiation, resulting in deoxyribonucleic acid, or DNA, damage and tumor cell death. Beta radiation from both iodine isotopes penetrates 1-3 mm, affecting not only the antibody bound cell but also the neighboring tumor cells. Iodine-131 has a half-life of eight days while Iodine-124 has a half-life of four days. In contrast to Iodine-131, which emits electrons, Iodine-124 is a positron-emitting iodine isotope, enabling measurement of iodine uptake using positron emission tomography, or PET scans. This is important when using radiotherapy in a critical organ such as pons, where overdosing may have serious consequences. Radiolabeling of omburtamab with either Iodine-124 or Iodine-131 takes place at qualified radiopharmacies according to a well-established procedure.</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the Treatment of Pediatric Central Nervous System/Leptomeningeal Metastases from Neuroblastoma</w:t>
      </w:r>
    </w:p>
    <w:p>
      <w:pPr>
        <w:spacing w:after="0" w:line="139" w:lineRule="exact"/>
        <w:rPr>
          <w:sz w:val="20"/>
          <w:szCs w:val="20"/>
          <w:color w:val="auto"/>
        </w:rPr>
      </w:pPr>
    </w:p>
    <w:p>
      <w:pPr>
        <w:ind w:right="80" w:firstLine="615"/>
        <w:spacing w:after="0" w:line="238" w:lineRule="auto"/>
        <w:rPr>
          <w:sz w:val="20"/>
          <w:szCs w:val="20"/>
          <w:color w:val="auto"/>
        </w:rPr>
      </w:pP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is currently in pivotal stage development for the treatment of pediatric CNS/LM from NB, and has been granted ODD, RPDD and BTD by the FDA in this indication in 2016-2017. The RPDD qualifies us for receipt of a PRV upon approval of omburtamab for treatment of NB, if such approval occurs. At our meeting with the FDA in June 2017, we proposed to the FDA that data from Study 03-133 may be pooled with data from Study 101 and utilized for our planned BLA submission.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Study 03-</w:t>
      </w:r>
    </w:p>
    <w:p>
      <w:pPr>
        <w:ind w:right="320" w:firstLine="8"/>
        <w:spacing w:after="0" w:line="314" w:lineRule="auto"/>
        <w:tabs>
          <w:tab w:leader="none" w:pos="351"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An analysis of these 93 patients demonstrated a median OS of 47 months (including an estimated five-year OS of approximately 43%), as compared to historical median OS of approximately six months. Omburtamab has also been generally well tolerated in over 200 patients treated at MSK over 14 years for multiple indications, with no significant long-term toxicities. </w:t>
      </w:r>
      <w:r>
        <w:rPr>
          <w:rFonts w:ascii="Arial" w:cs="Arial" w:eastAsia="Arial" w:hAnsi="Arial"/>
          <w:sz w:val="25"/>
          <w:szCs w:val="25"/>
          <w:color w:val="auto"/>
          <w:vertAlign w:val="superscript"/>
        </w:rPr>
        <w:t>131</w:t>
      </w:r>
      <w:r>
        <w:rPr>
          <w:rFonts w:ascii="Arial" w:cs="Arial" w:eastAsia="Arial" w:hAnsi="Arial"/>
          <w:sz w:val="16"/>
          <w:szCs w:val="16"/>
          <w:color w:val="auto"/>
        </w:rPr>
        <w:t>I-omburtamab can be administered as a push injection in an outpatient setting. We expect</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to submit a BLA for each of our two lead product candidates in 2018, with a goal of receiving approval by the FDA in 2019. We plan to commercialize both of our lead product candidates in the United States as soon as possible after obtaining FDA approval, if such approval occurs.</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Central Nervous System/Leptomeningeal Metastases from Neuroblastoma</w:t>
      </w:r>
    </w:p>
    <w:p>
      <w:pPr>
        <w:spacing w:after="0" w:line="225"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CNS/LM is a rare and usually fatal complication of NB in which the disease spreads to the membranes, or meninges, surrounding the brain and spinal cord in the CNS. In CNS/LM from NB, the CNS has emerged as a sanctuary site for NB tumor cells leading to relapse with an incidence of CNS/LM from NB of approximately 6% to 10%. It is expected that the incidence of CNS/LM from NB disease will increase concurrently with better treatment options for systemic NB, as more patients achieve longer systemic remissions allowing for more CNS relapses. Relapsed metastatic NB is difficult to treat particularly in patients with R/R NB who have CNS or LM. The median OS after detection of the CNS/LM from NB is approximately six months even with early detection and intervention.</w:t>
      </w:r>
    </w:p>
    <w:p>
      <w:pPr>
        <w:spacing w:after="0" w:line="170"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Omburtamab is currently being evaluated for the treatment of CNS/LM from NB. There are approximately 700 children diagnosed with NB in the United States each year. Of these, approximately 50-60% are high-risk, and of those at high-risk, we believe approximately 20% will suffer from CNS/LM from NB. A published study analyzing frozen sections from tumors with histologically confirmed diagnosis of NB using immunohistochemistry showed 87 out of 90 sections (or approximately 97%) were B7-H3 positive. We believe the European market is at least one and a half times the size of the U.S. market and that there are approximately 1,050 patients diagnosed with NB in Europe each year. We believe the current addressable market for our product candidate, omburtamab, consists of approximately 200 new patients each year with CNS/LM from NB, representing approximately 11% of all new pediatric patients diagnosed with CNS/LM from NB in the United States and Europe, combined.</w:t>
      </w:r>
    </w:p>
    <w:p>
      <w:pPr>
        <w:spacing w:after="0" w:line="174" w:lineRule="exact"/>
        <w:rPr>
          <w:sz w:val="20"/>
          <w:szCs w:val="20"/>
          <w:color w:val="auto"/>
        </w:rPr>
      </w:pPr>
    </w:p>
    <w:p>
      <w:pPr>
        <w:ind w:left="1080" w:right="360"/>
        <w:spacing w:after="0" w:line="212" w:lineRule="auto"/>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Pediatric Central Nervous System/Leptomeningeal Metastases from Neuroblastoma—Current Treatment Landscape and Associated Limitations</w:t>
      </w:r>
    </w:p>
    <w:p>
      <w:pPr>
        <w:spacing w:after="0" w:line="210" w:lineRule="exact"/>
        <w:rPr>
          <w:sz w:val="20"/>
          <w:szCs w:val="20"/>
          <w:color w:val="auto"/>
        </w:rPr>
      </w:pPr>
    </w:p>
    <w:p>
      <w:pPr>
        <w:ind w:right="200" w:firstLine="611"/>
        <w:spacing w:after="0" w:line="298" w:lineRule="auto"/>
        <w:rPr>
          <w:sz w:val="20"/>
          <w:szCs w:val="20"/>
          <w:color w:val="auto"/>
        </w:rPr>
      </w:pPr>
      <w:r>
        <w:rPr>
          <w:rFonts w:ascii="Arial" w:cs="Arial" w:eastAsia="Arial" w:hAnsi="Arial"/>
          <w:sz w:val="16"/>
          <w:szCs w:val="16"/>
          <w:color w:val="auto"/>
        </w:rPr>
        <w:t>There are currently no approved products for patients with R/R NB who have CNS or LM. A variety of treatments are used alone and in combination with other treatments. It is widely accepted that no effective treatment regimens for CNS/LM from NB are available, and the goals of treatment are generally palliative. For recurrence in the CNS, the therapeutic approach consists primarily of surgery, radiation therapy and/or chemotherapy. These treatments have had very limited success, with median OS of approximately six months. The current standard of care treatment paradigm typically involves the following:</w:t>
      </w:r>
    </w:p>
    <w:p>
      <w:pPr>
        <w:spacing w:after="0" w:line="180"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Surgery—for debulking the tumor prior to irradiation and chemotherapy and to reduce edema and hemorrhage;</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Radiation—focal, craniospinal or whole brain irradiation used for symptom alleviation, cerebrospinal fluid, or CSF, flow correction or for debulking to facilitate chemotherapy; and/or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Chemotherapy—standard combinations of chemotherapy such as irinotecan and temozolomide.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uniformly poor outcomes associated with these different regimens highlight the significant unmet medical need for treatment of CNS/LM from NB:</w:t>
      </w:r>
    </w:p>
    <w:p>
      <w:pPr>
        <w:spacing w:after="0" w:line="262" w:lineRule="exact"/>
        <w:rPr>
          <w:sz w:val="20"/>
          <w:szCs w:val="20"/>
          <w:color w:val="auto"/>
        </w:rPr>
      </w:pPr>
    </w:p>
    <w:p>
      <w:pPr>
        <w:jc w:val="both"/>
        <w:ind w:left="1080" w:right="16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recent review of published research representing 83 patients treated between 1979 and 2013 showed a median OS of 5.6 months (95% CI of three to eight months) for patients with R/R NB who have CNS or LM. We also performed a restricted analysis after removing patients who died before receiving therapy for the CNS/LM from NB</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disease and only received palliative treatment, or who presented with rapidly progressing systemic disease. The restricted analysis comprised of 58 patients with a median OS of 8.7 months (95% CI of 5.8 to 11 months) after diagnosis of CNS/LM from NB. There were only three cases of survival beyond three years.</w:t>
      </w:r>
    </w:p>
    <w:p>
      <w:pPr>
        <w:spacing w:after="0" w:line="208" w:lineRule="exact"/>
        <w:rPr>
          <w:sz w:val="20"/>
          <w:szCs w:val="20"/>
          <w:color w:val="auto"/>
        </w:rPr>
      </w:pPr>
    </w:p>
    <w:p>
      <w:pPr>
        <w:ind w:left="1080" w:right="24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Data from 85 patients sourced from The Central German Childhood Cancer Registry, or CGCCR, showed a median OS of 4.7 months. The data was extracted from patients diagnosed between 1990 and 2010. It is estimated that more than 90% of all German childhood cancer patients are registered in this database.</w:t>
      </w:r>
    </w:p>
    <w:p>
      <w:pPr>
        <w:spacing w:after="0" w:line="222" w:lineRule="exact"/>
        <w:rPr>
          <w:rFonts w:ascii="Arial" w:cs="Arial" w:eastAsia="Arial" w:hAnsi="Arial"/>
          <w:sz w:val="18"/>
          <w:szCs w:val="18"/>
          <w:color w:val="auto"/>
        </w:rPr>
      </w:pPr>
    </w:p>
    <w:p>
      <w:pPr>
        <w:ind w:left="1080" w:right="180" w:hanging="532"/>
        <w:spacing w:after="0" w:line="188" w:lineRule="auto"/>
        <w:tabs>
          <w:tab w:leader="none" w:pos="1080" w:val="left"/>
        </w:tabs>
        <w:numPr>
          <w:ilvl w:val="0"/>
          <w:numId w:val="90"/>
        </w:numPr>
        <w:rPr>
          <w:rFonts w:ascii="Arial" w:cs="Arial" w:eastAsia="Arial" w:hAnsi="Arial"/>
          <w:sz w:val="35"/>
          <w:szCs w:val="35"/>
          <w:color w:val="auto"/>
          <w:vertAlign w:val="superscript"/>
        </w:rPr>
      </w:pPr>
      <w:r>
        <w:rPr>
          <w:rFonts w:ascii="Arial" w:cs="Arial" w:eastAsia="Arial" w:hAnsi="Arial"/>
          <w:sz w:val="18"/>
          <w:szCs w:val="18"/>
          <w:color w:val="auto"/>
        </w:rPr>
        <w:t xml:space="preserve">Finally, our review of data from 19 patients treated at MSK prior to when </w:t>
      </w:r>
      <w:r>
        <w:rPr>
          <w:rFonts w:ascii="Arial" w:cs="Arial" w:eastAsia="Arial" w:hAnsi="Arial"/>
          <w:sz w:val="29"/>
          <w:szCs w:val="29"/>
          <w:color w:val="auto"/>
          <w:vertAlign w:val="superscript"/>
        </w:rPr>
        <w:t>131</w:t>
      </w:r>
      <w:r>
        <w:rPr>
          <w:rFonts w:ascii="Arial" w:cs="Arial" w:eastAsia="Arial" w:hAnsi="Arial"/>
          <w:sz w:val="18"/>
          <w:szCs w:val="18"/>
          <w:color w:val="auto"/>
        </w:rPr>
        <w:t>I-omburtamab was first introduced in 2004, demonstrated a median OS of 5.5 months.</w:t>
      </w:r>
    </w:p>
    <w:p>
      <w:pPr>
        <w:spacing w:after="0" w:line="211" w:lineRule="exact"/>
        <w:rPr>
          <w:rFonts w:ascii="Arial" w:cs="Arial" w:eastAsia="Arial" w:hAnsi="Arial"/>
          <w:sz w:val="35"/>
          <w:szCs w:val="35"/>
          <w:color w:val="auto"/>
          <w:vertAlign w:val="superscript"/>
        </w:rPr>
      </w:pPr>
    </w:p>
    <w:p>
      <w:pPr>
        <w:ind w:left="1080"/>
        <w:spacing w:after="0"/>
        <w:rPr>
          <w:rFonts w:ascii="Arial" w:cs="Arial" w:eastAsia="Arial" w:hAnsi="Arial"/>
          <w:sz w:val="35"/>
          <w:szCs w:val="35"/>
          <w:color w:val="auto"/>
          <w:vertAlign w:val="superscript"/>
        </w:rPr>
      </w:pPr>
      <w:r>
        <w:rPr>
          <w:rFonts w:ascii="Arial" w:cs="Arial" w:eastAsia="Arial" w:hAnsi="Arial"/>
          <w:sz w:val="26"/>
          <w:szCs w:val="26"/>
          <w:i w:val="1"/>
          <w:iCs w:val="1"/>
          <w:color w:val="auto"/>
          <w:vertAlign w:val="superscript"/>
        </w:rPr>
        <w:t>131</w:t>
      </w:r>
      <w:r>
        <w:rPr>
          <w:rFonts w:ascii="Arial" w:cs="Arial" w:eastAsia="Arial" w:hAnsi="Arial"/>
          <w:sz w:val="16"/>
          <w:szCs w:val="16"/>
          <w:i w:val="1"/>
          <w:iCs w:val="1"/>
          <w:color w:val="auto"/>
        </w:rPr>
        <w:t>I-omburtamab for Pediatric Central Nervous System/Leptomeningeal Metastases from Neuroblastoma—Clinical Development Program</w:t>
      </w:r>
    </w:p>
    <w:p>
      <w:pPr>
        <w:spacing w:after="0" w:line="174" w:lineRule="exact"/>
        <w:rPr>
          <w:sz w:val="20"/>
          <w:szCs w:val="20"/>
          <w:color w:val="auto"/>
        </w:rPr>
      </w:pPr>
    </w:p>
    <w:p>
      <w:pPr>
        <w:ind w:right="100" w:firstLine="615"/>
        <w:spacing w:after="0" w:line="255" w:lineRule="auto"/>
        <w:rPr>
          <w:sz w:val="20"/>
          <w:szCs w:val="20"/>
          <w:color w:val="auto"/>
        </w:rPr>
      </w:pPr>
      <w:r>
        <w:rPr>
          <w:rFonts w:ascii="Arial" w:cs="Arial" w:eastAsia="Arial" w:hAnsi="Arial"/>
          <w:sz w:val="15"/>
          <w:szCs w:val="15"/>
          <w:color w:val="auto"/>
        </w:rPr>
        <w:t xml:space="preserve">Currently, </w:t>
      </w:r>
      <w:r>
        <w:rPr>
          <w:rFonts w:ascii="Arial" w:cs="Arial" w:eastAsia="Arial" w:hAnsi="Arial"/>
          <w:sz w:val="24"/>
          <w:szCs w:val="24"/>
          <w:color w:val="auto"/>
          <w:vertAlign w:val="superscript"/>
        </w:rPr>
        <w:t>131</w:t>
      </w:r>
      <w:r>
        <w:rPr>
          <w:rFonts w:ascii="Arial" w:cs="Arial" w:eastAsia="Arial" w:hAnsi="Arial"/>
          <w:sz w:val="15"/>
          <w:szCs w:val="15"/>
          <w:color w:val="auto"/>
        </w:rPr>
        <w:t>I-omburtamab is in pivotal stage development for the treatment of pediatric CNS/LM from NB as a monotherapy after patients have completed standard of care treatment. At our meeting with the FDA in June 2017, we proposed to the FDA that data from Study 03-133 may be pooled with data</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from Study 101 and utilized for our planned BLA submission.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Study 03-133. In addition to the pivotal efficacy data currently available for these 93 patients, we also have safety data showing no significant long-term toxicities for more than 200 patients from multiple clinical trials including patients with other cancer types such as DIPG and DSRCT. We are planning to treat an additional 18 patients in a multi-center Phase 3 trial (Study 101) for the purposes of pharmacokinetic and dosimetry comparability between study sites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 xml:space="preserve">using </w:t>
      </w:r>
      <w:r>
        <w:rPr>
          <w:rFonts w:ascii="Arial" w:cs="Arial" w:eastAsia="Arial" w:hAnsi="Arial"/>
          <w:sz w:val="26"/>
          <w:szCs w:val="26"/>
          <w:color w:val="auto"/>
          <w:vertAlign w:val="superscript"/>
        </w:rPr>
        <w:t>131</w:t>
      </w:r>
      <w:r>
        <w:rPr>
          <w:rFonts w:ascii="Arial" w:cs="Arial" w:eastAsia="Arial" w:hAnsi="Arial"/>
          <w:sz w:val="16"/>
          <w:szCs w:val="16"/>
          <w:color w:val="auto"/>
        </w:rPr>
        <w:t>I-omburtamab from our cGMP commercial manufacturer, versus drug product previously produced by MSK. Study 101 has also been designed to satisfy the confirmatory study and post-marketing requirement by the FDA, and, as a result, we will continue to recruit 14 more patients in addition to the initial 18</w:t>
      </w:r>
    </w:p>
    <w:p>
      <w:pPr>
        <w:spacing w:after="0" w:line="2" w:lineRule="exact"/>
        <w:rPr>
          <w:sz w:val="20"/>
          <w:szCs w:val="20"/>
          <w:color w:val="auto"/>
        </w:rPr>
      </w:pPr>
    </w:p>
    <w:p>
      <w:pPr>
        <w:ind w:right="60"/>
        <w:spacing w:after="0" w:line="209" w:lineRule="auto"/>
        <w:rPr>
          <w:sz w:val="20"/>
          <w:szCs w:val="20"/>
          <w:color w:val="auto"/>
        </w:rPr>
      </w:pPr>
      <w:r>
        <w:rPr>
          <w:rFonts w:ascii="Arial" w:cs="Arial" w:eastAsia="Arial" w:hAnsi="Arial"/>
          <w:sz w:val="18"/>
          <w:szCs w:val="18"/>
          <w:color w:val="auto"/>
        </w:rPr>
        <w:t xml:space="preserve">patients required for the BLA submission. We expect to 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treatment of patients with CNS/LM from NB in the second half of 2018.</w:t>
      </w:r>
    </w:p>
    <w:p>
      <w:pPr>
        <w:spacing w:after="0" w:line="213"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 xml:space="preserve">Study 03-133: Phase I Study of Intrathecal Radioimmunotherapy using </w:t>
      </w:r>
      <w:r>
        <w:rPr>
          <w:rFonts w:ascii="Arial" w:cs="Arial" w:eastAsia="Arial" w:hAnsi="Arial"/>
          <w:sz w:val="24"/>
          <w:szCs w:val="24"/>
          <w:i w:val="1"/>
          <w:iCs w:val="1"/>
          <w:color w:val="auto"/>
          <w:vertAlign w:val="superscript"/>
        </w:rPr>
        <w:t>131</w:t>
      </w:r>
      <w:r>
        <w:rPr>
          <w:rFonts w:ascii="Arial" w:cs="Arial" w:eastAsia="Arial" w:hAnsi="Arial"/>
          <w:sz w:val="15"/>
          <w:szCs w:val="15"/>
          <w:i w:val="1"/>
          <w:iCs w:val="1"/>
          <w:color w:val="auto"/>
        </w:rPr>
        <w:t>I-omburtamab for Central Nervous System/Leptomeningeal Neoplasms</w:t>
      </w:r>
    </w:p>
    <w:p>
      <w:pPr>
        <w:spacing w:after="0" w:line="196" w:lineRule="exact"/>
        <w:rPr>
          <w:sz w:val="20"/>
          <w:szCs w:val="20"/>
          <w:color w:val="auto"/>
        </w:rPr>
      </w:pPr>
    </w:p>
    <w:p>
      <w:pPr>
        <w:ind w:right="260" w:firstLine="611"/>
        <w:spacing w:after="0" w:line="241" w:lineRule="auto"/>
        <w:rPr>
          <w:sz w:val="20"/>
          <w:szCs w:val="20"/>
          <w:color w:val="auto"/>
        </w:rPr>
      </w:pPr>
      <w:r>
        <w:rPr>
          <w:rFonts w:ascii="Arial" w:cs="Arial" w:eastAsia="Arial" w:hAnsi="Arial"/>
          <w:sz w:val="16"/>
          <w:szCs w:val="16"/>
          <w:color w:val="auto"/>
        </w:rPr>
        <w:t xml:space="preserve">The trial was originally designed as a Phase 1 clinical dose escalation study followed by cohort expansion at the recommended dose. To determine the MTD, patients received up to 70 mCi </w:t>
      </w:r>
      <w:r>
        <w:rPr>
          <w:rFonts w:ascii="Arial" w:cs="Arial" w:eastAsia="Arial" w:hAnsi="Arial"/>
          <w:sz w:val="26"/>
          <w:szCs w:val="26"/>
          <w:color w:val="auto"/>
          <w:vertAlign w:val="superscript"/>
        </w:rPr>
        <w:t>131</w:t>
      </w:r>
      <w:r>
        <w:rPr>
          <w:rFonts w:ascii="Arial" w:cs="Arial" w:eastAsia="Arial" w:hAnsi="Arial"/>
          <w:sz w:val="16"/>
          <w:szCs w:val="16"/>
          <w:color w:val="auto"/>
        </w:rPr>
        <w:t>I-omburtamab as outpatients. Although not DLT, myelosuppression was observed in patients who had received</w:t>
      </w:r>
    </w:p>
    <w:p>
      <w:pPr>
        <w:spacing w:after="0" w:line="1" w:lineRule="exact"/>
        <w:rPr>
          <w:sz w:val="20"/>
          <w:szCs w:val="20"/>
          <w:color w:val="auto"/>
        </w:rPr>
      </w:pPr>
    </w:p>
    <w:p>
      <w:pPr>
        <w:ind w:right="340"/>
        <w:spacing w:after="0" w:line="234" w:lineRule="auto"/>
        <w:rPr>
          <w:sz w:val="20"/>
          <w:szCs w:val="20"/>
          <w:color w:val="auto"/>
        </w:rPr>
      </w:pPr>
      <w:r>
        <w:rPr>
          <w:rFonts w:ascii="Arial" w:cs="Arial" w:eastAsia="Arial" w:hAnsi="Arial"/>
          <w:sz w:val="16"/>
          <w:szCs w:val="16"/>
          <w:color w:val="auto"/>
        </w:rPr>
        <w:t xml:space="preserve">craniospinal radiation and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at dose levels of 60 and 70 mCi, as a result a 50 mCi dose was chosen for subsequent enrollment. Once the therapeutic dose of 50 mCi was established, an extension phase was implemented by a protocol amendment. At our meeting with the FDA in June 2017, we proposed to the FDA that data from Study 03-133 may be pooled with data from Study 101 and utilized for our planned BLA.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in Study 03-133. Of these 93 patients, 81 had been treated with 50 mCi </w:t>
      </w:r>
      <w:r>
        <w:rPr>
          <w:rFonts w:ascii="Arial" w:cs="Arial" w:eastAsia="Arial" w:hAnsi="Arial"/>
          <w:sz w:val="26"/>
          <w:szCs w:val="26"/>
          <w:color w:val="auto"/>
          <w:vertAlign w:val="superscript"/>
        </w:rPr>
        <w:t>131</w:t>
      </w:r>
      <w:r>
        <w:rPr>
          <w:rFonts w:ascii="Arial" w:cs="Arial" w:eastAsia="Arial" w:hAnsi="Arial"/>
          <w:sz w:val="16"/>
          <w:szCs w:val="16"/>
          <w:color w:val="auto"/>
        </w:rPr>
        <w:t>I-</w:t>
      </w:r>
    </w:p>
    <w:p>
      <w:pPr>
        <w:spacing w:after="0" w:line="4" w:lineRule="exact"/>
        <w:rPr>
          <w:sz w:val="20"/>
          <w:szCs w:val="20"/>
          <w:color w:val="auto"/>
        </w:rPr>
      </w:pPr>
    </w:p>
    <w:p>
      <w:pPr>
        <w:ind w:right="160"/>
        <w:spacing w:after="0" w:line="187" w:lineRule="auto"/>
        <w:rPr>
          <w:sz w:val="20"/>
          <w:szCs w:val="20"/>
          <w:color w:val="auto"/>
        </w:rPr>
      </w:pPr>
      <w:r>
        <w:rPr>
          <w:rFonts w:ascii="Arial" w:cs="Arial" w:eastAsia="Arial" w:hAnsi="Arial"/>
          <w:sz w:val="18"/>
          <w:szCs w:val="18"/>
          <w:color w:val="auto"/>
        </w:rPr>
        <w:t xml:space="preserve">omburtamab. We expect that the safety portion of the BLA will be comprised of data from more than 200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or </w:t>
      </w:r>
      <w:r>
        <w:rPr>
          <w:rFonts w:ascii="Arial" w:cs="Arial" w:eastAsia="Arial" w:hAnsi="Arial"/>
          <w:sz w:val="29"/>
          <w:szCs w:val="29"/>
          <w:color w:val="auto"/>
          <w:vertAlign w:val="superscript"/>
        </w:rPr>
        <w:t>124</w:t>
      </w:r>
      <w:r>
        <w:rPr>
          <w:rFonts w:ascii="Arial" w:cs="Arial" w:eastAsia="Arial" w:hAnsi="Arial"/>
          <w:sz w:val="18"/>
          <w:szCs w:val="18"/>
          <w:color w:val="auto"/>
        </w:rPr>
        <w:t>I-omburtamab across multiple indications. Study 03-133 has been held open for recruitment even after the August 2017 data cutoff date so that we may be able to continue to offer this promising treatment to patients.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In addition to satisfying certain other criteria, patients must have a histologically confirmed diagnosis of a malignancy known to be reactive to omburtamab, a B7-H3 binding antibody. Furthermore, patients must have CNS/LM from NB disease which is refractory to conventional therapies or for which no conventional therapy exists, or a relapsed brain tumor with a predilection for LM dissemination (primitive neuroectodermal tumor, rhabdoid tumor, medulloblastoma).</w:t>
      </w:r>
    </w:p>
    <w:p>
      <w:pPr>
        <w:spacing w:after="0" w:line="197" w:lineRule="exact"/>
        <w:rPr>
          <w:sz w:val="20"/>
          <w:szCs w:val="20"/>
          <w:color w:val="auto"/>
        </w:rPr>
      </w:pPr>
    </w:p>
    <w:p>
      <w:pPr>
        <w:ind w:right="60" w:firstLine="615"/>
        <w:spacing w:after="0" w:line="343" w:lineRule="auto"/>
        <w:rPr>
          <w:sz w:val="20"/>
          <w:szCs w:val="20"/>
          <w:color w:val="auto"/>
        </w:rPr>
      </w:pPr>
      <w:r>
        <w:rPr>
          <w:rFonts w:ascii="Arial" w:cs="Arial" w:eastAsia="Arial" w:hAnsi="Arial"/>
          <w:sz w:val="15"/>
          <w:szCs w:val="15"/>
          <w:color w:val="auto"/>
        </w:rPr>
        <w:t xml:space="preserve">Before enrollment in Study 03-133, most patients underwent biopsy or debulking surgery to remove brain metastases as much as possible, followed by radiation therapy and chemotherapy. A majority of the patients were also treated with an anti-GD2 immunotherapy such as naxitamab to control systemic disease after completing the </w:t>
      </w:r>
      <w:r>
        <w:rPr>
          <w:rFonts w:ascii="Arial" w:cs="Arial" w:eastAsia="Arial" w:hAnsi="Arial"/>
          <w:sz w:val="24"/>
          <w:szCs w:val="24"/>
          <w:color w:val="auto"/>
          <w:vertAlign w:val="superscript"/>
        </w:rPr>
        <w:t>131</w:t>
      </w:r>
      <w:r>
        <w:rPr>
          <w:rFonts w:ascii="Arial" w:cs="Arial" w:eastAsia="Arial" w:hAnsi="Arial"/>
          <w:sz w:val="15"/>
          <w:szCs w:val="15"/>
          <w:color w:val="auto"/>
        </w:rPr>
        <w:t>I-omburtamab treatment under Study 03-133. All patients had an intraventricular device implanted before enrollment in the study.</w:t>
      </w:r>
    </w:p>
    <w:p>
      <w:pPr>
        <w:spacing w:after="0" w:line="17" w:lineRule="exact"/>
        <w:rPr>
          <w:sz w:val="20"/>
          <w:szCs w:val="20"/>
          <w:color w:val="auto"/>
        </w:rPr>
      </w:pPr>
    </w:p>
    <w:p>
      <w:pPr>
        <w:ind w:right="200" w:firstLine="605"/>
        <w:spacing w:after="0" w:line="259" w:lineRule="auto"/>
        <w:rPr>
          <w:sz w:val="20"/>
          <w:szCs w:val="20"/>
          <w:color w:val="auto"/>
        </w:rPr>
      </w:pPr>
      <w:r>
        <w:rPr>
          <w:rFonts w:ascii="Arial" w:cs="Arial" w:eastAsia="Arial" w:hAnsi="Arial"/>
          <w:sz w:val="18"/>
          <w:szCs w:val="18"/>
          <w:color w:val="auto"/>
        </w:rPr>
        <w:t>Approximately 80% of all CNS/LM from NB patients presenting at MSK since the initiation of the study were included in the study and the remaining patients were primarily excluded due to the fact that they had already received maximum dose of previous radiotherapy to CNS, or had progressive systemic disease.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560" w:firstLine="615"/>
        <w:spacing w:after="0" w:line="234" w:lineRule="auto"/>
        <w:rPr>
          <w:sz w:val="20"/>
          <w:szCs w:val="20"/>
          <w:color w:val="auto"/>
        </w:rPr>
      </w:pPr>
      <w:r>
        <w:rPr>
          <w:rFonts w:ascii="Arial" w:cs="Arial" w:eastAsia="Arial" w:hAnsi="Arial"/>
          <w:sz w:val="18"/>
          <w:szCs w:val="18"/>
          <w:color w:val="auto"/>
        </w:rPr>
        <w:t xml:space="preserve">Patients are treated with up to two cycles (consisting of two treatment and dosimetry doses)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administered through intrathecal infusion via an Ommaya reservoir by which the drug is distributed at the intrathecal space to the entire CSF, (as shown in the figure on the left below). A treatment cycle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under Study 03-133 proceeds as follows:</w:t>
      </w:r>
    </w:p>
    <w:p>
      <w:pPr>
        <w:spacing w:after="0" w:line="86"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35"/>
          <w:szCs w:val="35"/>
          <w:color w:val="auto"/>
          <w:vertAlign w:val="superscript"/>
        </w:rPr>
      </w:pPr>
      <w:r>
        <w:rPr>
          <w:rFonts w:ascii="Arial" w:cs="Arial" w:eastAsia="Arial" w:hAnsi="Arial"/>
          <w:sz w:val="18"/>
          <w:szCs w:val="18"/>
          <w:color w:val="auto"/>
        </w:rPr>
        <w:t xml:space="preserve">Week 1: </w:t>
      </w:r>
      <w:r>
        <w:rPr>
          <w:rFonts w:ascii="Arial" w:cs="Arial" w:eastAsia="Arial" w:hAnsi="Arial"/>
          <w:sz w:val="29"/>
          <w:szCs w:val="29"/>
          <w:color w:val="auto"/>
          <w:vertAlign w:val="superscript"/>
        </w:rPr>
        <w:t>131</w:t>
      </w:r>
      <w:r>
        <w:rPr>
          <w:rFonts w:ascii="Arial" w:cs="Arial" w:eastAsia="Arial" w:hAnsi="Arial"/>
          <w:sz w:val="18"/>
          <w:szCs w:val="18"/>
          <w:color w:val="auto"/>
        </w:rPr>
        <w:t>I-omburtamab (dosimetry dose: 2-mCi imaging test dose);</w:t>
      </w:r>
    </w:p>
    <w:p>
      <w:pPr>
        <w:spacing w:after="0" w:line="97"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1"/>
        </w:numPr>
        <w:rPr>
          <w:rFonts w:ascii="Arial" w:cs="Arial" w:eastAsia="Arial" w:hAnsi="Arial"/>
          <w:sz w:val="35"/>
          <w:szCs w:val="35"/>
          <w:color w:val="auto"/>
          <w:vertAlign w:val="superscript"/>
        </w:rPr>
      </w:pPr>
      <w:r>
        <w:rPr>
          <w:rFonts w:ascii="Arial" w:cs="Arial" w:eastAsia="Arial" w:hAnsi="Arial"/>
          <w:sz w:val="18"/>
          <w:szCs w:val="18"/>
          <w:color w:val="auto"/>
        </w:rPr>
        <w:t xml:space="preserve">Week 2: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dose: 30-50 mCi depending on age);</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Weeks 3 and 4: observation period;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Week 5: post-treatment evaluation comprised of magnetic resonance imaging, or MRI, of the head and spine, CSF cytology.</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p>
      <w:pPr>
        <w:jc w:val="center"/>
        <w:ind w:left="1380"/>
        <w:spacing w:after="0"/>
        <w:rPr>
          <w:sz w:val="20"/>
          <w:szCs w:val="20"/>
          <w:color w:val="auto"/>
        </w:rPr>
      </w:pPr>
      <w:r>
        <w:rPr>
          <w:rFonts w:ascii="Arial" w:cs="Arial" w:eastAsia="Arial" w:hAnsi="Arial"/>
          <w:sz w:val="16"/>
          <w:szCs w:val="16"/>
          <w:b w:val="1"/>
          <w:bCs w:val="1"/>
          <w:color w:val="auto"/>
        </w:rPr>
        <w:t>Administration of our radiolabeled omburtamab via</w:t>
      </w:r>
    </w:p>
    <w:p>
      <w:pPr>
        <w:spacing w:after="0" w:line="44" w:lineRule="exact"/>
        <w:rPr>
          <w:sz w:val="20"/>
          <w:szCs w:val="20"/>
          <w:color w:val="auto"/>
        </w:rPr>
      </w:pPr>
    </w:p>
    <w:p>
      <w:pPr>
        <w:jc w:val="center"/>
        <w:ind w:left="1380"/>
        <w:spacing w:after="0"/>
        <w:rPr>
          <w:sz w:val="20"/>
          <w:szCs w:val="20"/>
          <w:color w:val="auto"/>
        </w:rPr>
      </w:pPr>
      <w:r>
        <w:rPr>
          <w:rFonts w:ascii="Arial" w:cs="Arial" w:eastAsia="Arial" w:hAnsi="Arial"/>
          <w:sz w:val="18"/>
          <w:szCs w:val="18"/>
          <w:b w:val="1"/>
          <w:bCs w:val="1"/>
          <w:color w:val="auto"/>
        </w:rPr>
        <w:t>Ommaya reservoir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161290</wp:posOffset>
            </wp:positionV>
            <wp:extent cx="2084070" cy="1929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84070" cy="192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PET scan of distribution of our radiolabeled omburtamab</w:t>
      </w:r>
    </w:p>
    <w:p>
      <w:pPr>
        <w:spacing w:after="0" w:line="44"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two hours after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161290</wp:posOffset>
            </wp:positionV>
            <wp:extent cx="1235075" cy="20840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35075" cy="20840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620"/>
            <w:col w:w="5480"/>
          </w:cols>
          <w:pgMar w:left="240" w:top="1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firstLine="611"/>
        <w:spacing w:after="0" w:line="332" w:lineRule="auto"/>
        <w:rPr>
          <w:sz w:val="20"/>
          <w:szCs w:val="20"/>
          <w:color w:val="auto"/>
        </w:rPr>
      </w:pPr>
      <w:r>
        <w:rPr>
          <w:rFonts w:ascii="Arial" w:cs="Arial" w:eastAsia="Arial" w:hAnsi="Arial"/>
          <w:sz w:val="16"/>
          <w:szCs w:val="16"/>
          <w:color w:val="auto"/>
        </w:rPr>
        <w:t>The diagram on the left depicts how our radiolabeled omburtamab can be administered via the Ommaya reservoir and catheter into the deep ventricles of the brain where the CSF is produced. From the ventricles, our radiolabeled omburtamab will flow with the CSF and spread throughout the entire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CNS compartment potentially binding and killing B7-H3 positive cancer cells it may find on its way. The diagram on the right is a PET scan showing the distribution of our radiolabeled omburtamab two hours after administration where it has flowed from the central ventricles throughout the entire CNS compartment.</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5860" w:hanging="532"/>
        <w:spacing w:after="0" w:line="338" w:lineRule="auto"/>
        <w:tabs>
          <w:tab w:leader="none" w:pos="1080" w:val="left"/>
        </w:tabs>
        <w:numPr>
          <w:ilvl w:val="0"/>
          <w:numId w:val="92"/>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clinical toxicities of intrathecal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i w:val="1"/>
          <w:iCs w:val="1"/>
          <w:color w:val="auto"/>
        </w:rPr>
        <w:t>Secondary Objective</w:t>
      </w:r>
    </w:p>
    <w:p>
      <w:pPr>
        <w:spacing w:after="0" w:line="72"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collect neurocognitive and long-term follow-up data.</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440" w:firstLine="615"/>
        <w:spacing w:after="0" w:line="259" w:lineRule="auto"/>
        <w:rPr>
          <w:sz w:val="20"/>
          <w:szCs w:val="20"/>
          <w:color w:val="auto"/>
        </w:rPr>
      </w:pPr>
      <w:r>
        <w:rPr>
          <w:rFonts w:ascii="Arial" w:cs="Arial" w:eastAsia="Arial" w:hAnsi="Arial"/>
          <w:sz w:val="15"/>
          <w:szCs w:val="15"/>
          <w:color w:val="auto"/>
        </w:rPr>
        <w:t xml:space="preserve">No MTD was reached in the dose escalation portion of the trial. Although not a DLT, myelosuppression was observed in patients who had received craniospinal radiation and </w:t>
      </w:r>
      <w:r>
        <w:rPr>
          <w:rFonts w:ascii="Arial" w:cs="Arial" w:eastAsia="Arial" w:hAnsi="Arial"/>
          <w:sz w:val="24"/>
          <w:szCs w:val="24"/>
          <w:color w:val="auto"/>
          <w:vertAlign w:val="superscript"/>
        </w:rPr>
        <w:t>131</w:t>
      </w:r>
      <w:r>
        <w:rPr>
          <w:rFonts w:ascii="Arial" w:cs="Arial" w:eastAsia="Arial" w:hAnsi="Arial"/>
          <w:sz w:val="15"/>
          <w:szCs w:val="15"/>
          <w:color w:val="auto"/>
        </w:rPr>
        <w:t>I-omburtamab at dose levels six and seven (60 and 70 mCi, respectively). As a result, a dose of 50 mCi was chosen for the</w:t>
      </w:r>
    </w:p>
    <w:p>
      <w:pPr>
        <w:spacing w:after="0" w:line="2" w:lineRule="exact"/>
        <w:rPr>
          <w:sz w:val="20"/>
          <w:szCs w:val="20"/>
          <w:color w:val="auto"/>
        </w:rPr>
      </w:pPr>
    </w:p>
    <w:p>
      <w:pPr>
        <w:ind w:right="500"/>
        <w:spacing w:after="0" w:line="206" w:lineRule="auto"/>
        <w:rPr>
          <w:sz w:val="20"/>
          <w:szCs w:val="20"/>
          <w:color w:val="auto"/>
        </w:rPr>
      </w:pPr>
      <w:r>
        <w:rPr>
          <w:rFonts w:ascii="Arial" w:cs="Arial" w:eastAsia="Arial" w:hAnsi="Arial"/>
          <w:sz w:val="18"/>
          <w:szCs w:val="18"/>
          <w:color w:val="auto"/>
        </w:rPr>
        <w:t xml:space="preserve">expansion cohort. Among the 93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a total of 293 injections were administered and myelosuppression was observed in approximately 83 patients.</w:t>
      </w:r>
    </w:p>
    <w:p>
      <w:pPr>
        <w:spacing w:after="0" w:line="213" w:lineRule="exact"/>
        <w:rPr>
          <w:sz w:val="20"/>
          <w:szCs w:val="20"/>
          <w:color w:val="auto"/>
        </w:rPr>
      </w:pPr>
    </w:p>
    <w:p>
      <w:pPr>
        <w:ind w:right="220" w:firstLine="615"/>
        <w:spacing w:after="0" w:line="237" w:lineRule="auto"/>
        <w:rPr>
          <w:sz w:val="20"/>
          <w:szCs w:val="20"/>
          <w:color w:val="auto"/>
        </w:rPr>
      </w:pPr>
      <w:r>
        <w:rPr>
          <w:rFonts w:ascii="Arial" w:cs="Arial" w:eastAsia="Arial" w:hAnsi="Arial"/>
          <w:sz w:val="16"/>
          <w:szCs w:val="16"/>
          <w:i w:val="1"/>
          <w:iCs w:val="1"/>
          <w:color w:val="auto"/>
        </w:rPr>
        <w:t xml:space="preserve">Long-term toxicities: </w:t>
      </w:r>
      <w:r>
        <w:rPr>
          <w:rFonts w:ascii="Arial" w:cs="Arial" w:eastAsia="Arial" w:hAnsi="Arial"/>
          <w:sz w:val="16"/>
          <w:szCs w:val="16"/>
          <w:color w:val="auto"/>
        </w:rPr>
        <w:t>There were no significant long-term toxicities directly attributed to</w:t>
      </w:r>
      <w:r>
        <w:rPr>
          <w:rFonts w:ascii="Arial" w:cs="Arial" w:eastAsia="Arial" w:hAnsi="Arial"/>
          <w:sz w:val="16"/>
          <w:szCs w:val="16"/>
          <w:i w:val="1"/>
          <w:iCs w:val="1"/>
          <w:color w:val="auto"/>
        </w:rPr>
        <w:t xml:space="preserve"> </w:t>
      </w:r>
      <w:r>
        <w:rPr>
          <w:rFonts w:ascii="Arial" w:cs="Arial" w:eastAsia="Arial" w:hAnsi="Arial"/>
          <w:sz w:val="26"/>
          <w:szCs w:val="26"/>
          <w:color w:val="auto"/>
          <w:vertAlign w:val="superscript"/>
        </w:rPr>
        <w:t>131</w:t>
      </w:r>
      <w:r>
        <w:rPr>
          <w:rFonts w:ascii="Arial" w:cs="Arial" w:eastAsia="Arial" w:hAnsi="Arial"/>
          <w:sz w:val="16"/>
          <w:szCs w:val="16"/>
          <w:color w:val="auto"/>
        </w:rPr>
        <w:t>I-omburtamab. There was no increased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radionecrosis; specifically, neurologic deficits secondary to radionecrosis have not been observed in long-term survivors. However, among long-term survivors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with a history of prior high dose induction chemotherapy, myeloablative regimens, craniospinal radiation therapy and </w:t>
      </w:r>
      <w:r>
        <w:rPr>
          <w:rFonts w:ascii="Arial" w:cs="Arial" w:eastAsia="Arial" w:hAnsi="Arial"/>
          <w:sz w:val="28"/>
          <w:szCs w:val="28"/>
          <w:color w:val="auto"/>
          <w:vertAlign w:val="superscript"/>
        </w:rPr>
        <w:t>131</w:t>
      </w:r>
      <w:r>
        <w:rPr>
          <w:rFonts w:ascii="Arial" w:cs="Arial" w:eastAsia="Arial" w:hAnsi="Arial"/>
          <w:sz w:val="17"/>
          <w:szCs w:val="17"/>
          <w:color w:val="auto"/>
        </w:rPr>
        <w:t>I-omburtamab, observed toxicity included short stature and growth hormone deficiency (n=11), hypothyroidism (n=11), cataracts (n=2), persistence of a seizure disorder since CNS NB onset (n=1), and one patient with both an osteochondroma and meningioma (n=1). Unrelated to omburtamab, there were four long-term events causing death in patients who were otherwise in remission due to infection (n=1), pulmonary fibrosis (n=1), and treatment related mortality for secondary leukemia (n=2). Cognitive deficits were noted in three infants who received additional tutorial assistance in school.</w:t>
      </w:r>
    </w:p>
    <w:p>
      <w:pPr>
        <w:spacing w:after="0" w:line="208" w:lineRule="exact"/>
        <w:rPr>
          <w:sz w:val="20"/>
          <w:szCs w:val="20"/>
          <w:color w:val="auto"/>
        </w:rPr>
      </w:pPr>
    </w:p>
    <w:p>
      <w:pPr>
        <w:jc w:val="both"/>
        <w:ind w:right="120" w:firstLine="615"/>
        <w:spacing w:after="0" w:line="332" w:lineRule="auto"/>
        <w:rPr>
          <w:sz w:val="20"/>
          <w:szCs w:val="20"/>
          <w:color w:val="auto"/>
        </w:rPr>
      </w:pPr>
      <w:r>
        <w:rPr>
          <w:rFonts w:ascii="Arial" w:cs="Arial" w:eastAsia="Arial" w:hAnsi="Arial"/>
          <w:sz w:val="16"/>
          <w:szCs w:val="16"/>
          <w:color w:val="auto"/>
        </w:rPr>
        <w:t>Eighty-one SAEs were reported in CNS/LM from NB patients of which 44 were definitely, possibly or probably treatment-related SAEs. Among the 44 treatment-related SAEs, 36 were Grade 4, six were Grade 3 and two were Grade 2. The most common SAEs were hematological, including BM suppression.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jc w:val="both"/>
        <w:ind w:right="120" w:firstLine="615"/>
        <w:spacing w:after="0" w:line="306" w:lineRule="auto"/>
        <w:rPr>
          <w:sz w:val="20"/>
          <w:szCs w:val="20"/>
          <w:color w:val="auto"/>
        </w:rPr>
      </w:pPr>
      <w:r>
        <w:rPr>
          <w:rFonts w:ascii="Arial" w:cs="Arial" w:eastAsia="Arial" w:hAnsi="Arial"/>
          <w:sz w:val="16"/>
          <w:szCs w:val="16"/>
          <w:color w:val="auto"/>
        </w:rPr>
        <w:t>Data reported as of August 2017 indicates that the median OS for the 93 patients with R/R NB who have CNS or LM at relapse treated under Study 03-133 was 47 months. Of these 93 patients, 51, or approximately 55%, remained alive from the time of CNS/LM from NB relapse. We believe that the median OS may continue to increase. Based on calculations per the Kaplan-Meier Plot, the estimated three-year OS is 56% and the estimated five-year OS is 43%.</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 previous presentation of ASCO, an analysis of 80 patients showed that 38 patients died. Twenty, or approximately 53%, of these patients were</w:t>
      </w:r>
    </w:p>
    <w:p>
      <w:pPr>
        <w:spacing w:after="0" w:line="38" w:lineRule="exact"/>
        <w:rPr>
          <w:sz w:val="20"/>
          <w:szCs w:val="20"/>
          <w:color w:val="auto"/>
        </w:rPr>
      </w:pPr>
    </w:p>
    <w:p>
      <w:pPr>
        <w:ind w:right="660"/>
        <w:spacing w:after="0" w:line="209" w:lineRule="auto"/>
        <w:rPr>
          <w:sz w:val="20"/>
          <w:szCs w:val="20"/>
          <w:color w:val="auto"/>
        </w:rPr>
      </w:pPr>
      <w:r>
        <w:rPr>
          <w:rFonts w:ascii="Arial" w:cs="Arial" w:eastAsia="Arial" w:hAnsi="Arial"/>
          <w:sz w:val="18"/>
          <w:szCs w:val="18"/>
          <w:color w:val="auto"/>
        </w:rPr>
        <w:t xml:space="preserve">attributed to reasons unrelated to any recurrence of CNS/LM from NB disease. We believe this is further indication of the potential effectiveness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treating CNS/LM from NB.</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Median Overall Survival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22950" cy="2830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2295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 w:hanging="532"/>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MSK HC = NB patients with CNS / LM treated at MSK prior to 2003.</w:t>
      </w:r>
    </w:p>
    <w:p>
      <w:pPr>
        <w:spacing w:after="0" w:line="185" w:lineRule="exact"/>
        <w:rPr>
          <w:rFonts w:ascii="Arial" w:cs="Arial" w:eastAsia="Arial" w:hAnsi="Arial"/>
          <w:sz w:val="14"/>
          <w:szCs w:val="14"/>
          <w:color w:val="auto"/>
        </w:rPr>
      </w:pPr>
    </w:p>
    <w:p>
      <w:pPr>
        <w:ind w:left="540" w:hanging="532"/>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22"/>
          <w:szCs w:val="22"/>
          <w:color w:val="auto"/>
          <w:vertAlign w:val="superscript"/>
        </w:rPr>
        <w:t>131</w:t>
      </w:r>
      <w:r>
        <w:rPr>
          <w:rFonts w:ascii="Arial" w:cs="Arial" w:eastAsia="Arial" w:hAnsi="Arial"/>
          <w:sz w:val="14"/>
          <w:szCs w:val="14"/>
          <w:color w:val="auto"/>
        </w:rPr>
        <w:t>I-omburtamab = Patients with CNS / LM treated under Study 03-133.</w:t>
      </w:r>
    </w:p>
    <w:p>
      <w:pPr>
        <w:spacing w:after="0" w:line="146" w:lineRule="exact"/>
        <w:rPr>
          <w:sz w:val="20"/>
          <w:szCs w:val="20"/>
          <w:color w:val="auto"/>
        </w:rPr>
      </w:pPr>
    </w:p>
    <w:p>
      <w:pPr>
        <w:ind w:firstLine="611"/>
        <w:spacing w:after="0" w:line="305" w:lineRule="auto"/>
        <w:rPr>
          <w:sz w:val="20"/>
          <w:szCs w:val="20"/>
          <w:color w:val="auto"/>
        </w:rPr>
      </w:pPr>
      <w:r>
        <w:rPr>
          <w:rFonts w:ascii="Arial" w:cs="Arial" w:eastAsia="Arial" w:hAnsi="Arial"/>
          <w:sz w:val="15"/>
          <w:szCs w:val="15"/>
          <w:color w:val="auto"/>
        </w:rPr>
        <w:t>The figure above compares median OS data from Study 03-133 with historical controls (described previously). Historical patient data extracted from three sources revealed median OS of 8.7 months in the literature, 4.7 months in the German NB Trials, and 5.5 months in the MSK historical cohort prior to the</w:t>
      </w:r>
    </w:p>
    <w:p>
      <w:pPr>
        <w:ind w:right="40"/>
        <w:spacing w:after="0" w:line="227" w:lineRule="auto"/>
        <w:rPr>
          <w:sz w:val="20"/>
          <w:szCs w:val="20"/>
          <w:color w:val="auto"/>
        </w:rPr>
      </w:pPr>
      <w:r>
        <w:rPr>
          <w:rFonts w:ascii="Arial" w:cs="Arial" w:eastAsia="Arial" w:hAnsi="Arial"/>
          <w:sz w:val="18"/>
          <w:szCs w:val="18"/>
          <w:color w:val="auto"/>
        </w:rPr>
        <w:t xml:space="preserve">introduction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treatment. These results further demonstrate the lack of an established, effective therapy for these patients that we believe can potentially be addressed by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92"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Kaplan Meier chart below to the left shows the historical comparable data from the restricted analysis of our recent review of published literature discussed above. Of the 58 patients, there were only three cases of survival beyond three years.</w:t>
      </w:r>
    </w:p>
    <w:p>
      <w:pPr>
        <w:spacing w:after="0" w:line="187" w:lineRule="exact"/>
        <w:rPr>
          <w:sz w:val="20"/>
          <w:szCs w:val="20"/>
          <w:color w:val="auto"/>
        </w:rPr>
      </w:pPr>
    </w:p>
    <w:p>
      <w:pPr>
        <w:ind w:right="360" w:firstLine="611"/>
        <w:spacing w:after="0" w:line="255" w:lineRule="auto"/>
        <w:rPr>
          <w:sz w:val="20"/>
          <w:szCs w:val="20"/>
          <w:color w:val="auto"/>
        </w:rPr>
      </w:pPr>
      <w:r>
        <w:rPr>
          <w:rFonts w:ascii="Arial" w:cs="Arial" w:eastAsia="Arial" w:hAnsi="Arial"/>
          <w:sz w:val="15"/>
          <w:szCs w:val="15"/>
          <w:color w:val="auto"/>
        </w:rPr>
        <w:t xml:space="preserve">The Kaplan Meier chart below to the right shows median OS following the introduction of </w:t>
      </w:r>
      <w:r>
        <w:rPr>
          <w:rFonts w:ascii="Arial" w:cs="Arial" w:eastAsia="Arial" w:hAnsi="Arial"/>
          <w:sz w:val="24"/>
          <w:szCs w:val="24"/>
          <w:color w:val="auto"/>
          <w:vertAlign w:val="superscript"/>
        </w:rPr>
        <w:t>131</w:t>
      </w:r>
      <w:r>
        <w:rPr>
          <w:rFonts w:ascii="Arial" w:cs="Arial" w:eastAsia="Arial" w:hAnsi="Arial"/>
          <w:sz w:val="15"/>
          <w:szCs w:val="15"/>
          <w:color w:val="auto"/>
        </w:rPr>
        <w:t>I-omburtamab treatment. This represents 93 treated patients from Study 03-133 as at August 2017. The estimated three-year median OS was 56% and the five-year median OS was 43%. Survivors have been</w:t>
      </w:r>
    </w:p>
    <w:p>
      <w:pPr>
        <w:spacing w:after="0" w:line="1" w:lineRule="exact"/>
        <w:rPr>
          <w:sz w:val="20"/>
          <w:szCs w:val="20"/>
          <w:color w:val="auto"/>
        </w:rPr>
      </w:pPr>
    </w:p>
    <w:p>
      <w:pPr>
        <w:ind w:right="320"/>
        <w:spacing w:after="0" w:line="209" w:lineRule="auto"/>
        <w:rPr>
          <w:sz w:val="20"/>
          <w:szCs w:val="20"/>
          <w:color w:val="auto"/>
        </w:rPr>
      </w:pPr>
      <w:r>
        <w:rPr>
          <w:rFonts w:ascii="Arial" w:cs="Arial" w:eastAsia="Arial" w:hAnsi="Arial"/>
          <w:sz w:val="18"/>
          <w:szCs w:val="18"/>
          <w:color w:val="auto"/>
        </w:rPr>
        <w:t xml:space="preserve">followed for up to 11.1 years, with a current mean duration of follow up of 2.6 years. Fifty-one, or approximately 55%, of the 93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remained alive at their last follow up.</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 w:lineRule="exact"/>
        <w:rPr>
          <w:sz w:val="20"/>
          <w:szCs w:val="20"/>
          <w:color w:val="auto"/>
        </w:rPr>
      </w:pPr>
    </w:p>
    <w:p>
      <w:pPr>
        <w:ind w:left="2460"/>
        <w:spacing w:after="0"/>
        <w:tabs>
          <w:tab w:leader="none" w:pos="7160" w:val="left"/>
        </w:tabs>
        <w:rPr>
          <w:sz w:val="20"/>
          <w:szCs w:val="20"/>
          <w:color w:val="auto"/>
        </w:rPr>
      </w:pPr>
      <w:r>
        <w:rPr>
          <w:rFonts w:ascii="Arial" w:cs="Arial" w:eastAsia="Arial" w:hAnsi="Arial"/>
          <w:sz w:val="18"/>
          <w:szCs w:val="18"/>
          <w:color w:val="auto"/>
        </w:rPr>
        <w:t>Historical Cases (n=58)</w:t>
      </w:r>
      <w:r>
        <w:rPr>
          <w:sz w:val="20"/>
          <w:szCs w:val="20"/>
          <w:color w:val="auto"/>
        </w:rPr>
        <w:tab/>
      </w:r>
      <w:r>
        <w:rPr>
          <w:rFonts w:ascii="Arial" w:cs="Arial" w:eastAsia="Arial" w:hAnsi="Arial"/>
          <w:sz w:val="20"/>
          <w:szCs w:val="20"/>
          <w:color w:val="auto"/>
          <w:vertAlign w:val="superscript"/>
        </w:rPr>
        <w:t>131</w:t>
      </w:r>
      <w:r>
        <w:rPr>
          <w:rFonts w:ascii="Arial" w:cs="Arial" w:eastAsia="Arial" w:hAnsi="Arial"/>
          <w:sz w:val="24"/>
          <w:szCs w:val="24"/>
          <w:color w:val="auto"/>
          <w:vertAlign w:val="subscript"/>
        </w:rPr>
        <w:t>I-omburtamab (n=93)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270510</wp:posOffset>
            </wp:positionV>
            <wp:extent cx="5763260" cy="1912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6326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80" w:right="160"/>
        <w:spacing w:after="0" w:line="212" w:lineRule="auto"/>
        <w:rPr>
          <w:sz w:val="20"/>
          <w:szCs w:val="20"/>
          <w:color w:val="auto"/>
        </w:rPr>
      </w:pPr>
      <w:r>
        <w:rPr>
          <w:rFonts w:ascii="Arial" w:cs="Arial" w:eastAsia="Arial" w:hAnsi="Arial"/>
          <w:sz w:val="18"/>
          <w:szCs w:val="18"/>
          <w:i w:val="1"/>
          <w:iCs w:val="1"/>
          <w:color w:val="auto"/>
        </w:rPr>
        <w:t xml:space="preserve">Study 101: A Multicenter Phase 2/3 Trial of the Efficacy and Safety of Intracerebroventricular Radioimmunotherapy using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Neuroblastoma Central Nervous System/Leptomeningeal Metastases</w:t>
      </w:r>
    </w:p>
    <w:p>
      <w:pPr>
        <w:spacing w:after="0" w:line="210" w:lineRule="exact"/>
        <w:rPr>
          <w:sz w:val="20"/>
          <w:szCs w:val="20"/>
          <w:color w:val="auto"/>
        </w:rPr>
      </w:pPr>
    </w:p>
    <w:p>
      <w:pPr>
        <w:ind w:firstLine="615"/>
        <w:spacing w:after="0" w:line="254" w:lineRule="auto"/>
        <w:rPr>
          <w:sz w:val="20"/>
          <w:szCs w:val="20"/>
          <w:color w:val="auto"/>
        </w:rPr>
      </w:pPr>
      <w:r>
        <w:rPr>
          <w:rFonts w:ascii="Arial" w:cs="Arial" w:eastAsia="Arial" w:hAnsi="Arial"/>
          <w:sz w:val="16"/>
          <w:szCs w:val="16"/>
          <w:color w:val="auto"/>
        </w:rPr>
        <w:t xml:space="preserve">Study 101 is a pivotal Phase 2/3 single-arm, open-label, non-randomized, multi-center efficacy, safety, pharmacokinetics and dosimetry trial of intracerebroventricular </w:t>
      </w:r>
      <w:r>
        <w:rPr>
          <w:rFonts w:ascii="Arial" w:cs="Arial" w:eastAsia="Arial" w:hAnsi="Arial"/>
          <w:sz w:val="25"/>
          <w:szCs w:val="25"/>
          <w:color w:val="auto"/>
          <w:vertAlign w:val="superscript"/>
        </w:rPr>
        <w:t>131</w:t>
      </w:r>
      <w:r>
        <w:rPr>
          <w:rFonts w:ascii="Arial" w:cs="Arial" w:eastAsia="Arial" w:hAnsi="Arial"/>
          <w:sz w:val="16"/>
          <w:szCs w:val="16"/>
          <w:color w:val="auto"/>
        </w:rPr>
        <w:t xml:space="preserve">I-omburtamab in pediatric patients with R/R NB who have CNS or LM. Patients will receive up to two cycles of </w:t>
      </w:r>
      <w:r>
        <w:rPr>
          <w:rFonts w:ascii="Arial" w:cs="Arial" w:eastAsia="Arial" w:hAnsi="Arial"/>
          <w:sz w:val="25"/>
          <w:szCs w:val="25"/>
          <w:color w:val="auto"/>
          <w:vertAlign w:val="superscript"/>
        </w:rPr>
        <w:t>131</w:t>
      </w:r>
      <w:r>
        <w:rPr>
          <w:rFonts w:ascii="Arial" w:cs="Arial" w:eastAsia="Arial" w:hAnsi="Arial"/>
          <w:sz w:val="16"/>
          <w:szCs w:val="16"/>
          <w:color w:val="auto"/>
        </w:rPr>
        <w:t>I-omburtamab. This study is expected to commence in the first quarter of 2018, and we plan to treat an initial 18 patients for BLA submission purposes. The purpose of the study</w:t>
      </w:r>
    </w:p>
    <w:p>
      <w:pPr>
        <w:spacing w:after="0" w:line="1" w:lineRule="exact"/>
        <w:rPr>
          <w:sz w:val="20"/>
          <w:szCs w:val="20"/>
          <w:color w:val="auto"/>
        </w:rPr>
      </w:pPr>
    </w:p>
    <w:p>
      <w:pPr>
        <w:jc w:val="both"/>
        <w:ind w:right="100"/>
        <w:spacing w:after="0" w:line="227" w:lineRule="auto"/>
        <w:rPr>
          <w:sz w:val="20"/>
          <w:szCs w:val="20"/>
          <w:color w:val="auto"/>
        </w:rPr>
      </w:pPr>
      <w:r>
        <w:rPr>
          <w:rFonts w:ascii="Arial" w:cs="Arial" w:eastAsia="Arial" w:hAnsi="Arial"/>
          <w:sz w:val="18"/>
          <w:szCs w:val="18"/>
          <w:color w:val="auto"/>
        </w:rPr>
        <w:t xml:space="preserve">is to demonstrate pharmacokinetic and dosimetry comparability between study sites using </w:t>
      </w:r>
      <w:r>
        <w:rPr>
          <w:rFonts w:ascii="Arial" w:cs="Arial" w:eastAsia="Arial" w:hAnsi="Arial"/>
          <w:sz w:val="29"/>
          <w:szCs w:val="29"/>
          <w:color w:val="auto"/>
          <w:vertAlign w:val="superscript"/>
        </w:rPr>
        <w:t>131</w:t>
      </w:r>
      <w:r>
        <w:rPr>
          <w:rFonts w:ascii="Arial" w:cs="Arial" w:eastAsia="Arial" w:hAnsi="Arial"/>
          <w:sz w:val="18"/>
          <w:szCs w:val="18"/>
          <w:color w:val="auto"/>
        </w:rPr>
        <w:t>I-omburtamab from our cGMP commercial manufacturer and drug product previously produced by MSK. Study 101 has also been designed to satisfy the confirmatory study and post-marketing requirement by the FDA, and as a result, we will continue to recruit 14 more patients in addition to the initial 18 patients. We expect to submit the BLA for CNS/LM from NB in pediatric patients and expect to complete this submission in the second half of 2018.</w:t>
      </w:r>
    </w:p>
    <w:p>
      <w:pPr>
        <w:spacing w:after="0" w:line="212" w:lineRule="exact"/>
        <w:rPr>
          <w:sz w:val="20"/>
          <w:szCs w:val="20"/>
          <w:color w:val="auto"/>
        </w:rPr>
      </w:pPr>
    </w:p>
    <w:p>
      <w:pPr>
        <w:ind w:right="20" w:firstLine="605"/>
        <w:spacing w:after="0" w:line="287" w:lineRule="auto"/>
        <w:rPr>
          <w:sz w:val="20"/>
          <w:szCs w:val="20"/>
          <w:color w:val="auto"/>
        </w:rPr>
      </w:pPr>
      <w:r>
        <w:rPr>
          <w:rFonts w:ascii="Arial" w:cs="Arial" w:eastAsia="Arial" w:hAnsi="Arial"/>
          <w:sz w:val="17"/>
          <w:szCs w:val="17"/>
          <w:color w:val="auto"/>
        </w:rPr>
        <w:t xml:space="preserve">An interim analysis will be performed when 18 patients have completed evaluations at week six, at which dosimetry and pharmacokinetics objective and available safety and efficacy data will be assessed. Data from this analysis will also be combined with the data from Study 03-133 to support a potential accelerated approval for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the treatment of pediatric patients with R/R NB who have CNS or LM.</w:t>
      </w:r>
    </w:p>
    <w:p>
      <w:pPr>
        <w:spacing w:after="0" w:line="52" w:lineRule="exact"/>
        <w:rPr>
          <w:sz w:val="20"/>
          <w:szCs w:val="20"/>
          <w:color w:val="auto"/>
        </w:rPr>
      </w:pPr>
    </w:p>
    <w:p>
      <w:pPr>
        <w:ind w:right="260" w:firstLine="615"/>
        <w:spacing w:after="0" w:line="332" w:lineRule="auto"/>
        <w:rPr>
          <w:sz w:val="20"/>
          <w:szCs w:val="20"/>
          <w:color w:val="auto"/>
        </w:rPr>
      </w:pPr>
      <w:r>
        <w:rPr>
          <w:rFonts w:ascii="Arial" w:cs="Arial" w:eastAsia="Arial" w:hAnsi="Arial"/>
          <w:sz w:val="16"/>
          <w:szCs w:val="16"/>
          <w:color w:val="auto"/>
        </w:rPr>
        <w:t>Safety and efficacy data will be investigated with short-term follow-up at 26 weeks after treatment and with long-term follow-up for up to three years following treatment. Final analysis will be performed when all 32 treated patients have completed long-term follow-up (three years or until death).</w:t>
      </w:r>
    </w:p>
    <w:p>
      <w:pPr>
        <w:spacing w:after="0" w:line="139"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Median OS at three years and its 95% CI will be estimated using Kaplan-Meier methods. Efficacy will be achieved if the lower limit of the 95% CI of three-year median OS exceeds 10%. PFS will also be analyzed using Kaplan-Meier methods.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400" w:firstLine="615"/>
        <w:spacing w:after="0" w:line="268" w:lineRule="auto"/>
        <w:rPr>
          <w:sz w:val="20"/>
          <w:szCs w:val="20"/>
          <w:color w:val="auto"/>
        </w:rPr>
      </w:pPr>
      <w:r>
        <w:rPr>
          <w:rFonts w:ascii="Arial" w:cs="Arial" w:eastAsia="Arial" w:hAnsi="Arial"/>
          <w:sz w:val="18"/>
          <w:szCs w:val="18"/>
          <w:color w:val="auto"/>
        </w:rPr>
        <w:t>In addition to satisfying certain other criteria, patients must be less than 18 years of age at the time of screening. Patients must have a histologically confirmed diagnosis of CNS/LM from NB with relapse.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300" w:firstLine="605"/>
        <w:spacing w:after="0" w:line="212" w:lineRule="auto"/>
        <w:rPr>
          <w:sz w:val="20"/>
          <w:szCs w:val="20"/>
          <w:color w:val="auto"/>
        </w:rPr>
      </w:pPr>
      <w:r>
        <w:rPr>
          <w:rFonts w:ascii="Arial" w:cs="Arial" w:eastAsia="Arial" w:hAnsi="Arial"/>
          <w:sz w:val="18"/>
          <w:szCs w:val="18"/>
          <w:color w:val="auto"/>
        </w:rPr>
        <w:t xml:space="preserve">A single treatment cycle will last five weeks and will include premedication, intracerebroventricular </w:t>
      </w:r>
      <w:r>
        <w:rPr>
          <w:rFonts w:ascii="Arial" w:cs="Arial" w:eastAsia="Arial" w:hAnsi="Arial"/>
          <w:sz w:val="29"/>
          <w:szCs w:val="29"/>
          <w:color w:val="auto"/>
          <w:vertAlign w:val="superscript"/>
        </w:rPr>
        <w:t>131</w:t>
      </w:r>
      <w:r>
        <w:rPr>
          <w:rFonts w:ascii="Arial" w:cs="Arial" w:eastAsia="Arial" w:hAnsi="Arial"/>
          <w:sz w:val="18"/>
          <w:szCs w:val="18"/>
          <w:color w:val="auto"/>
        </w:rPr>
        <w:t>I-omburtamab administration (one dosimetry dose and one treatment dose), an observation period, and post-treatment evaluations (see figure below).</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One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cycle for Study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without objective PD are eligible for a second dosing cycle.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7760" w:hanging="532"/>
        <w:spacing w:after="0" w:line="501"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To determine OS rate at three years.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determine ORR up to three years.</w:t>
      </w:r>
    </w:p>
    <w:p>
      <w:pPr>
        <w:spacing w:after="0" w:line="219"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PFS at six months after the first therapeutic dose of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assess radiation doses delivered to the blood and 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assess the frequency, type, of adverse events and human anti-mouse antibodies, or HAMA, response 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assess the effects on cognitive functions.</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124</w:t>
      </w:r>
      <w:r>
        <w:rPr>
          <w:rFonts w:ascii="Arial" w:cs="Arial" w:eastAsia="Arial" w:hAnsi="Arial"/>
          <w:sz w:val="18"/>
          <w:szCs w:val="18"/>
          <w:b w:val="1"/>
          <w:bCs w:val="1"/>
          <w:i w:val="1"/>
          <w:iCs w:val="1"/>
          <w:color w:val="auto"/>
        </w:rPr>
        <w:t>I-omburtamab for the Treatment of Diffuse Intrinsic Pontine Glioma</w:t>
      </w:r>
    </w:p>
    <w:p>
      <w:pPr>
        <w:spacing w:after="0" w:line="139" w:lineRule="exact"/>
        <w:rPr>
          <w:sz w:val="20"/>
          <w:szCs w:val="20"/>
          <w:color w:val="auto"/>
        </w:rPr>
      </w:pPr>
    </w:p>
    <w:p>
      <w:pPr>
        <w:ind w:firstLine="615"/>
        <w:spacing w:after="0" w:line="245" w:lineRule="auto"/>
        <w:rPr>
          <w:sz w:val="20"/>
          <w:szCs w:val="20"/>
          <w:color w:val="auto"/>
        </w:rPr>
      </w:pPr>
      <w:r>
        <w:rPr>
          <w:rFonts w:ascii="Arial" w:cs="Arial" w:eastAsia="Arial" w:hAnsi="Arial"/>
          <w:sz w:val="24"/>
          <w:szCs w:val="24"/>
          <w:color w:val="auto"/>
          <w:vertAlign w:val="superscript"/>
        </w:rPr>
        <w:t>124</w:t>
      </w:r>
      <w:r>
        <w:rPr>
          <w:rFonts w:ascii="Arial" w:cs="Arial" w:eastAsia="Arial" w:hAnsi="Arial"/>
          <w:sz w:val="15"/>
          <w:szCs w:val="15"/>
          <w:color w:val="auto"/>
        </w:rPr>
        <w:t xml:space="preserve">I-omburtamab is currently being evaluated in an ongoing Phase 1/ 2 clinical trial (Study 11-011) for the treatment of DIPG. In contrast to Iodine-131, which emits electrons, Iodine-124 is a positron-emitting iodine isotope. This enables measurement of iodine uptake using PET scans, which we believe is important when using radiotherapy in a critical organ such as pons, where overdosing may have serious consequences. In 2016, </w:t>
      </w:r>
      <w:r>
        <w:rPr>
          <w:rFonts w:ascii="Arial" w:cs="Arial" w:eastAsia="Arial" w:hAnsi="Arial"/>
          <w:sz w:val="24"/>
          <w:szCs w:val="24"/>
          <w:color w:val="auto"/>
          <w:vertAlign w:val="superscript"/>
        </w:rPr>
        <w:t>124</w:t>
      </w:r>
      <w:r>
        <w:rPr>
          <w:rFonts w:ascii="Arial" w:cs="Arial" w:eastAsia="Arial" w:hAnsi="Arial"/>
          <w:sz w:val="15"/>
          <w:szCs w:val="15"/>
          <w:color w:val="auto"/>
        </w:rPr>
        <w:t>I-omburtamab received RPDD</w:t>
      </w:r>
    </w:p>
    <w:p>
      <w:pPr>
        <w:spacing w:after="0" w:line="2"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 xml:space="preserve">from the FDA for the treatment of DIPG. As of October 2017, we have treated 33 patients with DIPG with </w:t>
      </w:r>
      <w:r>
        <w:rPr>
          <w:rFonts w:ascii="Arial" w:cs="Arial" w:eastAsia="Arial" w:hAnsi="Arial"/>
          <w:sz w:val="24"/>
          <w:szCs w:val="24"/>
          <w:color w:val="auto"/>
          <w:vertAlign w:val="superscript"/>
        </w:rPr>
        <w:t>124</w:t>
      </w:r>
      <w:r>
        <w:rPr>
          <w:rFonts w:ascii="Arial" w:cs="Arial" w:eastAsia="Arial" w:hAnsi="Arial"/>
          <w:sz w:val="15"/>
          <w:szCs w:val="15"/>
          <w:color w:val="auto"/>
        </w:rPr>
        <w:t xml:space="preserve">I-omburtamab. Interim clinical results from the dose escalation portion of the study, which were reported at the American Society of Clinical Oncology, or ASCO, in June 2017, demonstrated that convention-enhanced delivery, or CED, of </w:t>
      </w:r>
      <w:r>
        <w:rPr>
          <w:rFonts w:ascii="Arial" w:cs="Arial" w:eastAsia="Arial" w:hAnsi="Arial"/>
          <w:sz w:val="24"/>
          <w:szCs w:val="24"/>
          <w:color w:val="auto"/>
          <w:vertAlign w:val="superscript"/>
        </w:rPr>
        <w:t>124</w:t>
      </w:r>
      <w:r>
        <w:rPr>
          <w:rFonts w:ascii="Arial" w:cs="Arial" w:eastAsia="Arial" w:hAnsi="Arial"/>
          <w:sz w:val="15"/>
          <w:szCs w:val="15"/>
          <w:color w:val="auto"/>
        </w:rPr>
        <w:t>I-omburtamab in the brainstem of children with DIPG appears to be a generally feasible and safe approach for drug delivery,</w:t>
      </w:r>
    </w:p>
    <w:p>
      <w:pPr>
        <w:spacing w:after="0" w:line="2" w:lineRule="exact"/>
        <w:rPr>
          <w:sz w:val="20"/>
          <w:szCs w:val="20"/>
          <w:color w:val="auto"/>
        </w:rPr>
      </w:pPr>
    </w:p>
    <w:p>
      <w:pPr>
        <w:ind w:right="260"/>
        <w:spacing w:after="0" w:line="216" w:lineRule="auto"/>
        <w:rPr>
          <w:sz w:val="20"/>
          <w:szCs w:val="20"/>
          <w:color w:val="auto"/>
        </w:rPr>
      </w:pPr>
      <w:r>
        <w:rPr>
          <w:rFonts w:ascii="Arial" w:cs="Arial" w:eastAsia="Arial" w:hAnsi="Arial"/>
          <w:sz w:val="17"/>
          <w:szCs w:val="17"/>
          <w:color w:val="auto"/>
        </w:rPr>
        <w:t xml:space="preserve">based on an evaluation using distribution and pharmacokinetics. A single dose of 4mCi </w:t>
      </w:r>
      <w:r>
        <w:rPr>
          <w:rFonts w:ascii="Arial" w:cs="Arial" w:eastAsia="Arial" w:hAnsi="Arial"/>
          <w:sz w:val="28"/>
          <w:szCs w:val="28"/>
          <w:color w:val="auto"/>
          <w:vertAlign w:val="superscript"/>
        </w:rPr>
        <w:t>124</w:t>
      </w:r>
      <w:r>
        <w:rPr>
          <w:rFonts w:ascii="Arial" w:cs="Arial" w:eastAsia="Arial" w:hAnsi="Arial"/>
          <w:sz w:val="17"/>
          <w:szCs w:val="17"/>
          <w:color w:val="auto"/>
        </w:rPr>
        <w:t>I-omburtamab was generally considered safe. We plan on reporting additional interim clinical results in the first half of 2018. We believe that we may qualify for a sBLA, assuming positive pivotal data.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Diffuse Intrinsic Pontine Glioma</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DIPG is a highly aggressive, malignant and difficult to treat brain tumor that forms from the glial (supportive) cells of the brain. The tumor grows in the area of the brainstem, called the pons, a critical area of the brain. Pons are involved in regulating critical body functions such as respiration and consciousness. They also house cranial nerves that facilitate essential functions such as eye movements,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chewing, swallowing, facial expressions, hearing and balance, and assists in the transmission of messages between the various structures of brain and the spinal cord.</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DIPG typically affects children between the ages of five to nine years old and is the most common brainstem tumor in children, representing 75% to 80% of pediatric brainstem tumors. There are an estimated 300 children diagnosed with DIPG per year in the United States. One published research analysis evaluating DIPG specimens using immunohistochemistry demonstrated that 100% (nine out of nine) of the tested specimens were B7-H3 positive. While DIPG accounts for approximately 10% to 15% of brain tumors in the pediatric population, it constitutes approximately 80% of brain tumor-related deaths. Assuming similar prevalence as in the United States, we estimate approximately 450 new pediatric patients diagnosed with DIPG per year in Europe.</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Glioma—Current Treatment Landscape and Associated Limitations</w:t>
      </w:r>
    </w:p>
    <w:p>
      <w:pPr>
        <w:spacing w:after="0" w:line="138" w:lineRule="exact"/>
        <w:rPr>
          <w:sz w:val="20"/>
          <w:szCs w:val="20"/>
          <w:color w:val="auto"/>
        </w:rPr>
      </w:pPr>
    </w:p>
    <w:p>
      <w:pPr>
        <w:ind w:right="100" w:firstLine="615"/>
        <w:spacing w:after="0" w:line="253" w:lineRule="auto"/>
        <w:rPr>
          <w:sz w:val="20"/>
          <w:szCs w:val="20"/>
          <w:color w:val="auto"/>
        </w:rPr>
      </w:pPr>
      <w:r>
        <w:rPr>
          <w:rFonts w:ascii="Arial" w:cs="Arial" w:eastAsia="Arial" w:hAnsi="Arial"/>
          <w:sz w:val="18"/>
          <w:szCs w:val="18"/>
          <w:color w:val="auto"/>
        </w:rPr>
        <w:t>DIPG grows diffusely and infiltrates healthy tissue in the critical structures of the brainstem and surgical treatment is not possible. The standard of care for the past three decades for children with newly diagnosed DIPG has been focal radiation therapy. Radiotherapy provides temporary improvement or stabilization of symptoms and extends median OS by an average of approximately three months. Within three to eight months after completion of radiation therapy, most children with DIPG have clinical or radiographic evidence of PD. Due to the strong likelihood of the development of PD in the vast majority of children with DIPG, many receive adjuvant chemotherapy at some point during their disease course in an attempt to improve survival. Despite numerous investigational trials, including those evaluating the efficacy of hyperfractionated radiotherapy and high-dose chemotherapy, the limited survival of patients with DIPG remains unchanged.</w:t>
      </w:r>
    </w:p>
    <w:p>
      <w:pPr>
        <w:spacing w:after="0" w:line="201" w:lineRule="exact"/>
        <w:rPr>
          <w:sz w:val="20"/>
          <w:szCs w:val="20"/>
          <w:color w:val="auto"/>
        </w:rPr>
      </w:pPr>
    </w:p>
    <w:p>
      <w:pPr>
        <w:ind w:right="700" w:firstLine="611"/>
        <w:spacing w:after="0" w:line="259" w:lineRule="auto"/>
        <w:rPr>
          <w:sz w:val="20"/>
          <w:szCs w:val="20"/>
          <w:color w:val="auto"/>
        </w:rPr>
      </w:pPr>
      <w:r>
        <w:rPr>
          <w:rFonts w:ascii="Arial" w:cs="Arial" w:eastAsia="Arial" w:hAnsi="Arial"/>
          <w:sz w:val="18"/>
          <w:szCs w:val="18"/>
          <w:color w:val="auto"/>
        </w:rPr>
        <w:t>The prognosis for DIPG remains very poor and the median OS of children with DIPG is less than one year from diagnosis and no meaningful improvement in median OS has been realized in more than three decades. The prognosis for children with DIPG is significantly worse than that of other brainstem tumors.</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Glioma—Clinical Development Program</w:t>
      </w:r>
    </w:p>
    <w:p>
      <w:pPr>
        <w:spacing w:after="0" w:line="139" w:lineRule="exact"/>
        <w:rPr>
          <w:sz w:val="20"/>
          <w:szCs w:val="20"/>
          <w:color w:val="auto"/>
        </w:rPr>
      </w:pPr>
    </w:p>
    <w:p>
      <w:pPr>
        <w:ind w:right="280" w:firstLine="615"/>
        <w:spacing w:after="0" w:line="21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 is currently being evaluated in an ongoing Phase1 clinical study (Study 11-011) for the treatment of DIPG and we plan on reporting additional clinical results in 2018.</w:t>
      </w:r>
    </w:p>
    <w:p>
      <w:pPr>
        <w:spacing w:after="0" w:line="211" w:lineRule="exact"/>
        <w:rPr>
          <w:sz w:val="20"/>
          <w:szCs w:val="20"/>
          <w:color w:val="auto"/>
        </w:rPr>
      </w:pPr>
    </w:p>
    <w:p>
      <w:pPr>
        <w:ind w:left="1080" w:right="80"/>
        <w:spacing w:after="0" w:line="212" w:lineRule="auto"/>
        <w:rPr>
          <w:sz w:val="20"/>
          <w:szCs w:val="20"/>
          <w:color w:val="auto"/>
        </w:rPr>
      </w:pPr>
      <w:r>
        <w:rPr>
          <w:rFonts w:ascii="Arial" w:cs="Arial" w:eastAsia="Arial" w:hAnsi="Arial"/>
          <w:sz w:val="18"/>
          <w:szCs w:val="18"/>
          <w:i w:val="1"/>
          <w:iCs w:val="1"/>
          <w:color w:val="auto"/>
        </w:rPr>
        <w:t xml:space="preserve">Study 11-011: A Phase I Study of Convection-Enhanced Delivery of </w:t>
      </w: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Patients with Non-Progressive Diffuse Pontine Gliomas Previously Treated with External Beam Radiation Therapy</w:t>
      </w:r>
    </w:p>
    <w:p>
      <w:pPr>
        <w:spacing w:after="0" w:line="211" w:lineRule="exact"/>
        <w:rPr>
          <w:sz w:val="20"/>
          <w:szCs w:val="20"/>
          <w:color w:val="auto"/>
        </w:rPr>
      </w:pPr>
    </w:p>
    <w:p>
      <w:pPr>
        <w:ind w:right="20" w:firstLine="615"/>
        <w:spacing w:after="0" w:line="222" w:lineRule="auto"/>
        <w:rPr>
          <w:sz w:val="20"/>
          <w:szCs w:val="20"/>
          <w:color w:val="auto"/>
        </w:rPr>
      </w:pPr>
      <w:r>
        <w:rPr>
          <w:rFonts w:ascii="Arial" w:cs="Arial" w:eastAsia="Arial" w:hAnsi="Arial"/>
          <w:sz w:val="18"/>
          <w:szCs w:val="18"/>
          <w:color w:val="auto"/>
        </w:rPr>
        <w:t xml:space="preserve">MSK is conducting a Phase 1, dose escalation study of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in children with non-progressive DIPG previously treated with external beam radiation therapy. The study commenced in December 2011 and as of October 2017, 33 patients had been enrolled. We expect to enroll a total of 64 patients.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80" w:firstLine="615"/>
        <w:spacing w:after="0" w:line="259" w:lineRule="auto"/>
        <w:rPr>
          <w:sz w:val="20"/>
          <w:szCs w:val="20"/>
          <w:color w:val="auto"/>
        </w:rPr>
      </w:pPr>
      <w:r>
        <w:rPr>
          <w:rFonts w:ascii="Arial" w:cs="Arial" w:eastAsia="Arial" w:hAnsi="Arial"/>
          <w:sz w:val="18"/>
          <w:szCs w:val="18"/>
          <w:color w:val="auto"/>
        </w:rPr>
        <w:t>In addition to satisfying certain other criteria, patients must be two years of age or older, and 21 years of age or younger. Patients must have non-PD DIPG previously treated with external beam radiation therapy. At least four weeks but not more than 14 weeks must have elapsed from the completion of radiotherapy.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firstLine="611"/>
        <w:spacing w:after="0" w:line="232" w:lineRule="auto"/>
        <w:rPr>
          <w:sz w:val="20"/>
          <w:szCs w:val="20"/>
          <w:color w:val="auto"/>
        </w:rPr>
      </w:pPr>
      <w:r>
        <w:rPr>
          <w:rFonts w:ascii="Arial" w:cs="Arial" w:eastAsia="Arial" w:hAnsi="Arial"/>
          <w:sz w:val="16"/>
          <w:szCs w:val="16"/>
          <w:color w:val="auto"/>
        </w:rPr>
        <w:t xml:space="preserve">The intervention is a surgical procedure using interstitial infusion of </w:t>
      </w:r>
      <w:r>
        <w:rPr>
          <w:rFonts w:ascii="Arial" w:cs="Arial" w:eastAsia="Arial" w:hAnsi="Arial"/>
          <w:sz w:val="25"/>
          <w:szCs w:val="25"/>
          <w:color w:val="auto"/>
          <w:vertAlign w:val="superscript"/>
        </w:rPr>
        <w:t>124</w:t>
      </w:r>
      <w:r>
        <w:rPr>
          <w:rFonts w:ascii="Arial" w:cs="Arial" w:eastAsia="Arial" w:hAnsi="Arial"/>
          <w:sz w:val="16"/>
          <w:szCs w:val="16"/>
          <w:color w:val="auto"/>
        </w:rPr>
        <w:t xml:space="preserve">I-omburtamab into the brainstem tumor. It is performed by stereotactic placement of a small caliber infusion cannula into the tumor followed by a slow infusion CED of </w:t>
      </w:r>
      <w:r>
        <w:rPr>
          <w:rFonts w:ascii="Arial" w:cs="Arial" w:eastAsia="Arial" w:hAnsi="Arial"/>
          <w:sz w:val="25"/>
          <w:szCs w:val="25"/>
          <w:color w:val="auto"/>
          <w:vertAlign w:val="superscript"/>
        </w:rPr>
        <w:t>124</w:t>
      </w:r>
      <w:r>
        <w:rPr>
          <w:rFonts w:ascii="Arial" w:cs="Arial" w:eastAsia="Arial" w:hAnsi="Arial"/>
          <w:sz w:val="16"/>
          <w:szCs w:val="16"/>
          <w:color w:val="auto"/>
        </w:rPr>
        <w:t>I-omburtamab, which was initially administered at doses ranging from 0.25 mCi to 4.0 mCi. Study 11-011 was subsequently amended for further dose escalation cohorts (using 6, 8, 10 and 12 mCi/injection, respectively).</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3020" w:hanging="532"/>
        <w:spacing w:after="0" w:line="338" w:lineRule="auto"/>
        <w:tabs>
          <w:tab w:leader="none" w:pos="1080" w:val="left"/>
        </w:tabs>
        <w:numPr>
          <w:ilvl w:val="0"/>
          <w:numId w:val="95"/>
        </w:numPr>
        <w:rPr>
          <w:rFonts w:ascii="Arial" w:cs="Arial" w:eastAsia="Arial" w:hAnsi="Arial"/>
          <w:sz w:val="35"/>
          <w:szCs w:val="35"/>
          <w:color w:val="auto"/>
          <w:vertAlign w:val="superscript"/>
        </w:rPr>
      </w:pPr>
      <w:r>
        <w:rPr>
          <w:rFonts w:ascii="Arial" w:cs="Arial" w:eastAsia="Arial" w:hAnsi="Arial"/>
          <w:sz w:val="18"/>
          <w:szCs w:val="18"/>
          <w:color w:val="auto"/>
        </w:rPr>
        <w:t xml:space="preserve">To determine the MTD of </w:t>
      </w: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administered via interstitial infusion in patients with DIPG. </w:t>
      </w:r>
      <w:r>
        <w:rPr>
          <w:rFonts w:ascii="Arial" w:cs="Arial" w:eastAsia="Arial" w:hAnsi="Arial"/>
          <w:sz w:val="18"/>
          <w:szCs w:val="18"/>
          <w:i w:val="1"/>
          <w:iCs w:val="1"/>
          <w:color w:val="auto"/>
        </w:rPr>
        <w:t>Secondary Objectives</w:t>
      </w:r>
    </w:p>
    <w:p>
      <w:pPr>
        <w:spacing w:after="0" w:line="7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5"/>
        </w:numPr>
        <w:rPr>
          <w:rFonts w:ascii="Arial" w:cs="Arial" w:eastAsia="Arial" w:hAnsi="Arial"/>
          <w:sz w:val="32"/>
          <w:szCs w:val="32"/>
          <w:color w:val="auto"/>
          <w:vertAlign w:val="superscript"/>
        </w:rPr>
      </w:pPr>
      <w:r>
        <w:rPr>
          <w:rFonts w:ascii="Arial" w:cs="Arial" w:eastAsia="Arial" w:hAnsi="Arial"/>
          <w:sz w:val="16"/>
          <w:szCs w:val="16"/>
          <w:color w:val="auto"/>
        </w:rPr>
        <w:t xml:space="preserve">To estimate tissue radiation doses and volumes of therapeutic distribution following </w:t>
      </w:r>
      <w:r>
        <w:rPr>
          <w:rFonts w:ascii="Arial" w:cs="Arial" w:eastAsia="Arial" w:hAnsi="Arial"/>
          <w:sz w:val="27"/>
          <w:szCs w:val="27"/>
          <w:color w:val="auto"/>
          <w:vertAlign w:val="superscript"/>
        </w:rPr>
        <w:t>124</w:t>
      </w:r>
      <w:r>
        <w:rPr>
          <w:rFonts w:ascii="Arial" w:cs="Arial" w:eastAsia="Arial" w:hAnsi="Arial"/>
          <w:sz w:val="16"/>
          <w:szCs w:val="16"/>
          <w:color w:val="auto"/>
        </w:rPr>
        <w:t>I-omburtamab interstitial infusion in the brainstem.</w:t>
      </w:r>
    </w:p>
    <w:p>
      <w:pPr>
        <w:spacing w:after="0" w:line="97" w:lineRule="exact"/>
        <w:rPr>
          <w:rFonts w:ascii="Arial" w:cs="Arial" w:eastAsia="Arial" w:hAnsi="Arial"/>
          <w:sz w:val="32"/>
          <w:szCs w:val="32"/>
          <w:color w:val="auto"/>
          <w:vertAlign w:val="superscript"/>
        </w:rPr>
      </w:pPr>
    </w:p>
    <w:p>
      <w:pPr>
        <w:ind w:left="1080" w:hanging="532"/>
        <w:spacing w:after="0"/>
        <w:tabs>
          <w:tab w:leader="none" w:pos="1080" w:val="left"/>
        </w:tabs>
        <w:numPr>
          <w:ilvl w:val="0"/>
          <w:numId w:val="95"/>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the toxicity profile associated with </w:t>
      </w:r>
      <w:r>
        <w:rPr>
          <w:rFonts w:ascii="Arial" w:cs="Arial" w:eastAsia="Arial" w:hAnsi="Arial"/>
          <w:sz w:val="29"/>
          <w:szCs w:val="29"/>
          <w:color w:val="auto"/>
          <w:vertAlign w:val="superscript"/>
        </w:rPr>
        <w:t>124</w:t>
      </w:r>
      <w:r>
        <w:rPr>
          <w:rFonts w:ascii="Arial" w:cs="Arial" w:eastAsia="Arial" w:hAnsi="Arial"/>
          <w:sz w:val="18"/>
          <w:szCs w:val="18"/>
          <w:color w:val="auto"/>
        </w:rPr>
        <w:t>I-omburtamab administered via CED to the brainstem.</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analyze OS.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explore radiological parameters such as magnetic resonance, or MR, spectroscopy and delta T2 as potential indicators of response.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explore lesion dosimetry estimates obtained from serial PET/CT or PET/MR with clinical profile, performance status score and OS.</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noted above, interim data was presented at the June 2017 annual meeting of ASCO, which demonstrated that CED appears to be a feasible and safe</w:t>
      </w:r>
    </w:p>
    <w:p>
      <w:pPr>
        <w:spacing w:after="0" w:line="50" w:lineRule="exact"/>
        <w:rPr>
          <w:sz w:val="20"/>
          <w:szCs w:val="20"/>
          <w:color w:val="auto"/>
        </w:rPr>
      </w:pPr>
    </w:p>
    <w:p>
      <w:pPr>
        <w:ind w:right="860"/>
        <w:spacing w:after="0" w:line="209" w:lineRule="auto"/>
        <w:rPr>
          <w:sz w:val="20"/>
          <w:szCs w:val="20"/>
          <w:color w:val="auto"/>
        </w:rPr>
      </w:pPr>
      <w:r>
        <w:rPr>
          <w:rFonts w:ascii="Arial" w:cs="Arial" w:eastAsia="Arial" w:hAnsi="Arial"/>
          <w:sz w:val="18"/>
          <w:szCs w:val="18"/>
          <w:color w:val="auto"/>
        </w:rPr>
        <w:t xml:space="preserve">approach for drug delivery in the brainstem of children with DIPG as evaluated using distribution and pharmacokinetics. A single dose of 4 mCi </w:t>
      </w:r>
      <w:r>
        <w:rPr>
          <w:rFonts w:ascii="Arial" w:cs="Arial" w:eastAsia="Arial" w:hAnsi="Arial"/>
          <w:sz w:val="29"/>
          <w:szCs w:val="29"/>
          <w:color w:val="auto"/>
          <w:vertAlign w:val="superscript"/>
        </w:rPr>
        <w:t>124</w:t>
      </w:r>
      <w:r>
        <w:rPr>
          <w:rFonts w:ascii="Arial" w:cs="Arial" w:eastAsia="Arial" w:hAnsi="Arial"/>
          <w:sz w:val="18"/>
          <w:szCs w:val="18"/>
          <w:color w:val="auto"/>
        </w:rPr>
        <w:t>I-omburtamab was considered generally safe.</w:t>
      </w:r>
    </w:p>
    <w:p>
      <w:pPr>
        <w:spacing w:after="0" w:line="212" w:lineRule="exact"/>
        <w:rPr>
          <w:sz w:val="20"/>
          <w:szCs w:val="20"/>
          <w:color w:val="auto"/>
        </w:rPr>
      </w:pPr>
    </w:p>
    <w:p>
      <w:pPr>
        <w:ind w:right="320" w:firstLine="611"/>
        <w:spacing w:after="0" w:line="283" w:lineRule="auto"/>
        <w:rPr>
          <w:sz w:val="20"/>
          <w:szCs w:val="20"/>
          <w:color w:val="auto"/>
        </w:rPr>
      </w:pPr>
      <w:r>
        <w:rPr>
          <w:rFonts w:ascii="Arial" w:cs="Arial" w:eastAsia="Arial" w:hAnsi="Arial"/>
          <w:sz w:val="16"/>
          <w:szCs w:val="16"/>
          <w:color w:val="auto"/>
        </w:rPr>
        <w:t>The principal investigator for Study 11-011, in collaboration with the Pediatric Brain Tumor Consortium, is currently drafting a feasibility study to expand the experiences from Study 11-011 to other sites. This study will be a non-randomized, multi-center, feasibility trial using CED in the brainstem of children with DIPG. Each patient will have previously received external beam radiotherapy to the brainstem and will not have shown clear evidence of tumor progression following this therapy. Diagnostic and eligibility decisions for patients entering the study will be made by a multidisciplinary pediatric neuro-</w:t>
      </w:r>
    </w:p>
    <w:p>
      <w:pPr>
        <w:spacing w:after="0" w:line="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oncology team at the treating site. Eligibility and surgical planning will be centrally reviewed. Patients will undergo a single treatment using CED of </w:t>
      </w:r>
      <w:r>
        <w:rPr>
          <w:rFonts w:ascii="Arial" w:cs="Arial" w:eastAsia="Arial" w:hAnsi="Arial"/>
          <w:sz w:val="26"/>
          <w:szCs w:val="26"/>
          <w:color w:val="auto"/>
          <w:vertAlign w:val="superscript"/>
        </w:rPr>
        <w:t>124</w:t>
      </w:r>
      <w:r>
        <w:rPr>
          <w:rFonts w:ascii="Arial" w:cs="Arial" w:eastAsia="Arial" w:hAnsi="Arial"/>
          <w:sz w:val="16"/>
          <w:szCs w:val="16"/>
          <w:color w:val="auto"/>
        </w:rPr>
        <w:t>I-omburtamab (4mCi). MRI and PET will be used for confirmation of appropriate drug distribution patterns. Perioperative morbidity, device performance (catheter for antibody delivery in pons), and patient tolerance after CED treatment will be monitored. OS and time to recurrence will be monitored. Advanced MR-based algorithms will be used to monitor for geometric response. Serial liquid biopsies (serum, urine, CSF) will be explored as a correlate of tumor response.</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Treatment of Desmoplastic Small Round Cell Tumor</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24"/>
          <w:szCs w:val="24"/>
          <w:color w:val="auto"/>
          <w:vertAlign w:val="superscript"/>
        </w:rPr>
        <w:t>131</w:t>
      </w:r>
      <w:r>
        <w:rPr>
          <w:rFonts w:ascii="Arial" w:cs="Arial" w:eastAsia="Arial" w:hAnsi="Arial"/>
          <w:sz w:val="15"/>
          <w:szCs w:val="15"/>
          <w:color w:val="auto"/>
        </w:rPr>
        <w:t>I-omburtamab is currently being evaluated in an ongoing Phase 1 clinical study (Study 09-090) for the treatment of DSRCT. Preliminary data from 34</w:t>
      </w:r>
    </w:p>
    <w:p>
      <w:pPr>
        <w:ind w:right="300"/>
        <w:spacing w:after="0" w:line="206" w:lineRule="auto"/>
        <w:rPr>
          <w:sz w:val="20"/>
          <w:szCs w:val="20"/>
          <w:color w:val="auto"/>
        </w:rPr>
      </w:pPr>
      <w:r>
        <w:rPr>
          <w:rFonts w:ascii="Arial" w:cs="Arial" w:eastAsia="Arial" w:hAnsi="Arial"/>
          <w:sz w:val="18"/>
          <w:szCs w:val="18"/>
          <w:color w:val="auto"/>
        </w:rPr>
        <w:t xml:space="preserve">out of the planned 45 patients demonstrated that treatment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was generally safe and well tolerated by the patients, as assessed by the trial investigators. No DLTs were observed and a MTD was not reached. In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addition, there was no significant myelosuppression and stem cell rescue was not required. We plan on reporting additional interim clinical results in the first half of 2018. We believe that we may qualify for a sBLA, assuming positive pivotal data.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Desmoplastic Small Round Cell Tumor</w:t>
      </w:r>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DSRCT is a rare and aggressive type of a soft tissue cancer (sarcoma) that primarily affects children and young adults and is more common in males. It is formed by small, round cancer cells surrounded by scar-like tissue and is often found in the peritoneum (the tissue that lines the inside of the abdomen and pelvis). Most patients present with abdominal or pelvic tumors, with subsequent metastases to distant lymph nodes, BM and lungs. Due to the rarity of this neoplasm, no large population based studies exist. Analysis presented in literature suggests there are approximately 100 patients diagnosed with DSRCT per year in the United States. Assuming similar prevalence as in the United States, we estimate approximately 150 patients diagnosed with DSRCT per year in Europe. A published report examining DSRCT samples using immunohistochemistry showed that 44 of 46 (or 96%) of tumor samples were B7-H3 positive.</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Tumor—Current Treatment Landscape and Associated Limitations</w:t>
      </w:r>
    </w:p>
    <w:p>
      <w:pPr>
        <w:spacing w:after="0" w:line="13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Patients are typically managed with aggressive multimodal therapy, including neoadjuvant chemotherapy, maximal surgical debulking, intraperitoneal, or IP, chemotherapy in some cases, adjuvant whole abdominopelvic radiation therapy, and stem cell or BM transplant. Studies have shown that use of intense alkylator therapy and gross total resection have been associated with limited improvements in patient survival; thus, there is still a significant unmet clinical need. Because DSRCT most commonly presents as a multicentric abdominal mass, complete upfront resection is not often possible. DSRCTs are chemosensitive, but often recur, necessitating multimodality therapy with radiotherapy, surgery, and/or high dose chemotherapy with stem cell rescue. Additionally, research shows that with a five-year OS rate of less than 15%, patients almost invariably relapse.</w:t>
      </w:r>
    </w:p>
    <w:p>
      <w:pPr>
        <w:spacing w:after="0" w:line="174" w:lineRule="exact"/>
        <w:rPr>
          <w:sz w:val="20"/>
          <w:szCs w:val="20"/>
          <w:color w:val="auto"/>
        </w:rPr>
      </w:pPr>
    </w:p>
    <w:p>
      <w:pPr>
        <w:ind w:right="580" w:firstLine="605"/>
        <w:spacing w:after="0" w:line="332" w:lineRule="auto"/>
        <w:rPr>
          <w:sz w:val="20"/>
          <w:szCs w:val="20"/>
          <w:color w:val="auto"/>
        </w:rPr>
      </w:pPr>
      <w:r>
        <w:rPr>
          <w:rFonts w:ascii="Arial" w:cs="Arial" w:eastAsia="Arial" w:hAnsi="Arial"/>
          <w:sz w:val="16"/>
          <w:szCs w:val="16"/>
          <w:color w:val="auto"/>
        </w:rPr>
        <w:t>Although many strategies have been attempted, survival in patients with DSRCT remains poor. A review of the published research, including two retrospective studies performed by MSK, suggests that the median OS of DSRCT patients ranges from 17 to 25 months.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Tumor—Clinical Development Program</w:t>
      </w:r>
    </w:p>
    <w:p>
      <w:pPr>
        <w:spacing w:after="0" w:line="139" w:lineRule="exact"/>
        <w:rPr>
          <w:sz w:val="20"/>
          <w:szCs w:val="20"/>
          <w:color w:val="auto"/>
        </w:rPr>
      </w:pPr>
    </w:p>
    <w:p>
      <w:pPr>
        <w:ind w:right="180" w:firstLine="615"/>
        <w:spacing w:after="0" w:line="222" w:lineRule="auto"/>
        <w:rPr>
          <w:sz w:val="20"/>
          <w:szCs w:val="20"/>
          <w:color w:val="auto"/>
        </w:rPr>
      </w:pPr>
      <w:r>
        <w:rPr>
          <w:rFonts w:ascii="Arial" w:cs="Arial" w:eastAsia="Arial" w:hAnsi="Arial"/>
          <w:sz w:val="18"/>
          <w:szCs w:val="18"/>
          <w:color w:val="auto"/>
        </w:rPr>
        <w:t xml:space="preserve">Currently,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being evaluated in an ongoing clinical study (Study 09-090) for the treatment of DSRCT. After completing the BLA submission for CNS/LM from NB, we intend to discuss with the FDA the protocol for the continuation and expansion of this DSRCT study. We believe that we may qualify for a sBLA, assuming positive pivotal data.</w:t>
      </w:r>
    </w:p>
    <w:p>
      <w:pPr>
        <w:spacing w:after="0" w:line="213" w:lineRule="exact"/>
        <w:rPr>
          <w:sz w:val="20"/>
          <w:szCs w:val="20"/>
          <w:color w:val="auto"/>
        </w:rPr>
      </w:pPr>
    </w:p>
    <w:p>
      <w:pPr>
        <w:ind w:left="1080" w:right="340"/>
        <w:spacing w:after="0" w:line="212" w:lineRule="auto"/>
        <w:rPr>
          <w:sz w:val="20"/>
          <w:szCs w:val="20"/>
          <w:color w:val="auto"/>
        </w:rPr>
      </w:pPr>
      <w:r>
        <w:rPr>
          <w:rFonts w:ascii="Arial" w:cs="Arial" w:eastAsia="Arial" w:hAnsi="Arial"/>
          <w:sz w:val="18"/>
          <w:szCs w:val="18"/>
          <w:i w:val="1"/>
          <w:iCs w:val="1"/>
          <w:color w:val="auto"/>
        </w:rPr>
        <w:t xml:space="preserve">Study 09-090: Phase I Study of Intraperitoneal Radioimmunotherapy with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Patients with Desmoplastic Small Round Cell Tumors and Other Solid Tumors Involving the Peritoneum</w:t>
      </w:r>
    </w:p>
    <w:p>
      <w:pPr>
        <w:spacing w:after="0" w:line="211" w:lineRule="exact"/>
        <w:rPr>
          <w:sz w:val="20"/>
          <w:szCs w:val="20"/>
          <w:color w:val="auto"/>
        </w:rPr>
      </w:pPr>
    </w:p>
    <w:p>
      <w:pPr>
        <w:jc w:val="both"/>
        <w:ind w:right="40" w:firstLine="615"/>
        <w:spacing w:after="0" w:line="222" w:lineRule="auto"/>
        <w:rPr>
          <w:sz w:val="20"/>
          <w:szCs w:val="20"/>
          <w:color w:val="auto"/>
        </w:rPr>
      </w:pPr>
      <w:r>
        <w:rPr>
          <w:rFonts w:ascii="Arial" w:cs="Arial" w:eastAsia="Arial" w:hAnsi="Arial"/>
          <w:sz w:val="18"/>
          <w:szCs w:val="18"/>
          <w:color w:val="auto"/>
        </w:rPr>
        <w:t xml:space="preserve">MSK is conducting a clinical study of IP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treatment of patients with DSRCT and other B7-H3 positive solid tumors metastatic to the peritoneum. The primary purpose of the study is to define the toxicity and the MTD, assess the pharmacokinetics, and assess response of DSRCT and other solid tumors. The study commenced in April 2010 and as of October 2017, 47 patients had been enrolled.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200" w:firstLine="615"/>
        <w:spacing w:after="0" w:line="300" w:lineRule="auto"/>
        <w:rPr>
          <w:sz w:val="20"/>
          <w:szCs w:val="20"/>
          <w:color w:val="auto"/>
        </w:rPr>
      </w:pPr>
      <w:r>
        <w:rPr>
          <w:rFonts w:ascii="Arial" w:cs="Arial" w:eastAsia="Arial" w:hAnsi="Arial"/>
          <w:sz w:val="17"/>
          <w:szCs w:val="17"/>
          <w:color w:val="auto"/>
        </w:rPr>
        <w:t xml:space="preserve">In addition to satisfying certain other criteria, patients must be over one year old and able to cooperate with radiation safety restrictions during therapy period. Patients must have a diagnosis of </w:t>
      </w:r>
      <w:r>
        <w:rPr>
          <w:rFonts w:ascii="Arial" w:cs="Arial" w:eastAsia="Arial" w:hAnsi="Arial"/>
          <w:sz w:val="28"/>
          <w:szCs w:val="28"/>
          <w:color w:val="auto"/>
          <w:vertAlign w:val="superscript"/>
        </w:rPr>
        <w:t>131</w:t>
      </w:r>
      <w:r>
        <w:rPr>
          <w:rFonts w:ascii="Arial" w:cs="Arial" w:eastAsia="Arial" w:hAnsi="Arial"/>
          <w:sz w:val="17"/>
          <w:szCs w:val="17"/>
          <w:color w:val="auto"/>
        </w:rPr>
        <w:t>I-omburtamab reactive DSCRT or solid tumors that involve the peritoneum.</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320" w:firstLine="611"/>
        <w:spacing w:after="0" w:line="237" w:lineRule="auto"/>
        <w:rPr>
          <w:sz w:val="20"/>
          <w:szCs w:val="20"/>
          <w:color w:val="auto"/>
        </w:rPr>
      </w:pPr>
      <w:r>
        <w:rPr>
          <w:rFonts w:ascii="Arial" w:cs="Arial" w:eastAsia="Arial" w:hAnsi="Arial"/>
          <w:sz w:val="17"/>
          <w:szCs w:val="17"/>
          <w:color w:val="auto"/>
        </w:rPr>
        <w:t xml:space="preserve">The study was designed as an open-label single-arm dose escalation study to evaluate IP </w:t>
      </w:r>
      <w:r>
        <w:rPr>
          <w:rFonts w:ascii="Arial" w:cs="Arial" w:eastAsia="Arial" w:hAnsi="Arial"/>
          <w:sz w:val="28"/>
          <w:szCs w:val="28"/>
          <w:color w:val="auto"/>
          <w:vertAlign w:val="superscript"/>
        </w:rPr>
        <w:t>131</w:t>
      </w:r>
      <w:r>
        <w:rPr>
          <w:rFonts w:ascii="Arial" w:cs="Arial" w:eastAsia="Arial" w:hAnsi="Arial"/>
          <w:sz w:val="17"/>
          <w:szCs w:val="17"/>
          <w:color w:val="auto"/>
        </w:rPr>
        <w:t>I-omburtamab, which was administered at doses ranging from 30 mCi/m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to 90 mCi/m</w:t>
      </w:r>
      <w:r>
        <w:rPr>
          <w:rFonts w:ascii="Arial" w:cs="Arial" w:eastAsia="Arial" w:hAnsi="Arial"/>
          <w:sz w:val="28"/>
          <w:szCs w:val="28"/>
          <w:color w:val="auto"/>
          <w:vertAlign w:val="superscript"/>
        </w:rPr>
        <w:t>2</w:t>
      </w:r>
      <w:r>
        <w:rPr>
          <w:rFonts w:ascii="Arial" w:cs="Arial" w:eastAsia="Arial" w:hAnsi="Arial"/>
          <w:sz w:val="17"/>
          <w:szCs w:val="17"/>
          <w:color w:val="auto"/>
        </w:rPr>
        <w:t>. The expansion cohort comprised an additional 10 patients who were dosed at 80 mCi/m</w:t>
      </w:r>
      <w:r>
        <w:rPr>
          <w:rFonts w:ascii="Arial" w:cs="Arial" w:eastAsia="Arial" w:hAnsi="Arial"/>
          <w:sz w:val="28"/>
          <w:szCs w:val="28"/>
          <w:color w:val="auto"/>
          <w:vertAlign w:val="superscript"/>
        </w:rPr>
        <w:t>2</w:t>
      </w:r>
      <w:r>
        <w:rPr>
          <w:rFonts w:ascii="Arial" w:cs="Arial" w:eastAsia="Arial" w:hAnsi="Arial"/>
          <w:sz w:val="17"/>
          <w:szCs w:val="17"/>
          <w:color w:val="auto"/>
        </w:rPr>
        <w:t>.</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6100" w:hanging="532"/>
        <w:spacing w:after="0" w:line="338" w:lineRule="auto"/>
        <w:tabs>
          <w:tab w:leader="none" w:pos="1080" w:val="left"/>
        </w:tabs>
        <w:numPr>
          <w:ilvl w:val="0"/>
          <w:numId w:val="96"/>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toxicity and the MTD of IP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i w:val="1"/>
          <w:iCs w:val="1"/>
          <w:color w:val="auto"/>
        </w:rPr>
        <w:t>Secondary Objectives</w:t>
      </w:r>
    </w:p>
    <w:p>
      <w:pPr>
        <w:spacing w:after="0" w:line="52"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6"/>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pharmacokinetics for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8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6"/>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response of DSRCT and other solid tumors to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89" w:lineRule="exact"/>
        <w:rPr>
          <w:rFonts w:ascii="Arial" w:cs="Arial" w:eastAsia="Arial" w:hAnsi="Arial"/>
          <w:sz w:val="35"/>
          <w:szCs w:val="35"/>
          <w:color w:val="auto"/>
          <w:vertAlign w:val="superscript"/>
        </w:rPr>
      </w:pPr>
    </w:p>
    <w:p>
      <w:pPr>
        <w:spacing w:after="0"/>
        <w:rPr>
          <w:rFonts w:ascii="Arial" w:cs="Arial" w:eastAsia="Arial" w:hAnsi="Arial"/>
          <w:sz w:val="35"/>
          <w:szCs w:val="35"/>
          <w:color w:val="auto"/>
          <w:vertAlign w:val="superscript"/>
        </w:rPr>
      </w:pPr>
      <w:r>
        <w:rPr>
          <w:rFonts w:ascii="Arial" w:cs="Arial" w:eastAsia="Arial" w:hAnsi="Arial"/>
          <w:sz w:val="18"/>
          <w:szCs w:val="18"/>
          <w:u w:val="single" w:color="auto"/>
          <w:color w:val="auto"/>
        </w:rPr>
        <w:t>Safety Results</w:t>
      </w:r>
    </w:p>
    <w:p>
      <w:pPr>
        <w:spacing w:after="0" w:line="226" w:lineRule="exact"/>
        <w:rPr>
          <w:sz w:val="20"/>
          <w:szCs w:val="20"/>
          <w:color w:val="auto"/>
        </w:rPr>
      </w:pPr>
    </w:p>
    <w:p>
      <w:pPr>
        <w:ind w:right="100" w:firstLine="615"/>
        <w:spacing w:after="0" w:line="255" w:lineRule="auto"/>
        <w:rPr>
          <w:sz w:val="20"/>
          <w:szCs w:val="20"/>
          <w:color w:val="auto"/>
        </w:rPr>
      </w:pPr>
      <w:r>
        <w:rPr>
          <w:rFonts w:ascii="Arial" w:cs="Arial" w:eastAsia="Arial" w:hAnsi="Arial"/>
          <w:sz w:val="15"/>
          <w:szCs w:val="15"/>
          <w:color w:val="auto"/>
        </w:rPr>
        <w:t xml:space="preserve">Preliminary results from the 34 patients demonstrated that treatment with </w:t>
      </w:r>
      <w:r>
        <w:rPr>
          <w:rFonts w:ascii="Arial" w:cs="Arial" w:eastAsia="Arial" w:hAnsi="Arial"/>
          <w:sz w:val="24"/>
          <w:szCs w:val="24"/>
          <w:color w:val="auto"/>
          <w:vertAlign w:val="superscript"/>
        </w:rPr>
        <w:t>131</w:t>
      </w:r>
      <w:r>
        <w:rPr>
          <w:rFonts w:ascii="Arial" w:cs="Arial" w:eastAsia="Arial" w:hAnsi="Arial"/>
          <w:sz w:val="15"/>
          <w:szCs w:val="15"/>
          <w:color w:val="auto"/>
        </w:rPr>
        <w:t>I-omburtamab was generally well tolerated by the patients as assessed by the trial investigators. No DLTs were observed and a MTD was not reached. In addition, there was no significant myelosuppression and stem cell rescue was not</w:t>
      </w:r>
    </w:p>
    <w:p>
      <w:pPr>
        <w:spacing w:after="0" w:line="1" w:lineRule="exact"/>
        <w:rPr>
          <w:sz w:val="20"/>
          <w:szCs w:val="20"/>
          <w:color w:val="auto"/>
        </w:rPr>
      </w:pPr>
    </w:p>
    <w:p>
      <w:pPr>
        <w:ind w:right="600"/>
        <w:spacing w:after="0" w:line="209" w:lineRule="auto"/>
        <w:rPr>
          <w:sz w:val="20"/>
          <w:szCs w:val="20"/>
          <w:color w:val="auto"/>
        </w:rPr>
      </w:pPr>
      <w:r>
        <w:rPr>
          <w:rFonts w:ascii="Arial" w:cs="Arial" w:eastAsia="Arial" w:hAnsi="Arial"/>
          <w:sz w:val="18"/>
          <w:szCs w:val="18"/>
          <w:color w:val="auto"/>
        </w:rPr>
        <w:t xml:space="preserve">required. We believe that the initial data from the first group of patients supports continued investigation of the benefit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this patient population.</w:t>
      </w:r>
    </w:p>
    <w:p>
      <w:pPr>
        <w:spacing w:after="0" w:line="212"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table below presents safety data from Study 03-133 conducted from January 2004 through August 2017. The outlined information in the below table refers to patients treated in Study 03-133.</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Omburtamab—Clinical Overview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Patient Profile and AEs (Jan 2004 - Aug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062980" cy="3310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6298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hanging="532"/>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Includes ATRT, choroid plexus cancer, ovarian cancer, retinoblastoma.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Safety</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non-clinical studies evaluating the pharmacology and toxicology of omburtamab have demonstrated that omburtamab has an acceptable safety profile, with no significant toxicity observed in different species, including rats and non-human primates. Omburtamab has preferential affinity for a spectrum of cancerous tissues that express B7-H3, with minimal binding to normal tissues. Omburtamab specifically targets the membrane of cancer cells. We believe that the lack of cross-reactivity with normal human tissue, specifically within the brain, and the localized binding of omburtamab to the membranes of cancer cells that express B7-H3, makes omburtamab a viable candidate for a targeted radiotherapy.</w:t>
      </w:r>
    </w:p>
    <w:p>
      <w:pPr>
        <w:spacing w:after="0" w:line="170"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The safety and feasibility of dosing with either naked or radiolabeled omburtamab has been demonstrated using different routes of administration and in different species. In mice, rats, and monkeys naked and/or radiolabeled omburtamab appeared to be well-tolerated when administered intravenously, intracerebroventricularly, or via interstitial infusion into the brain parenchyma. Furthermore, since omburtamab does not react with normal human brain tissue, intracerebroventricular treatment with omburtamab has been shown to be generally well tolerated by human pediatric patients in a number of clinical trials.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Omburtamab—DTPA Overview</w:t>
      </w:r>
    </w:p>
    <w:p>
      <w:pPr>
        <w:spacing w:after="0" w:line="231" w:lineRule="exact"/>
        <w:rPr>
          <w:sz w:val="20"/>
          <w:szCs w:val="20"/>
          <w:color w:val="auto"/>
        </w:rPr>
      </w:pPr>
    </w:p>
    <w:p>
      <w:pPr>
        <w:ind w:right="40" w:firstLine="611"/>
        <w:spacing w:after="0" w:line="229" w:lineRule="auto"/>
        <w:rPr>
          <w:sz w:val="20"/>
          <w:szCs w:val="20"/>
          <w:color w:val="auto"/>
        </w:rPr>
      </w:pPr>
      <w:r>
        <w:rPr>
          <w:rFonts w:ascii="Arial" w:cs="Arial" w:eastAsia="Arial" w:hAnsi="Arial"/>
          <w:sz w:val="18"/>
          <w:szCs w:val="18"/>
          <w:color w:val="auto"/>
        </w:rPr>
        <w:t xml:space="preserve">We intend to leverage our expertise with omburtamab to develop product candidates for the treatment of indications associated with larger adult patient populations. We believe that our clinical experience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41 patients with tumors such as sarcoma, melanoma and medulloblastoma supports this objective. Our first such product candidate targeted towards larger patient populations is DTPA-conjugated omburtamab radiolabeled with Lutetium-177, which is currently</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 xml:space="preserve">in pre-clinical development for the treatment of B7-H3 positive LM from solid tumors. DTPA (diethylenetriamine pentaacetate) is an organic molecule that acts as a chelator of metals such as Lutetium. DTPA can bind to radioactive materials to decrease the amount of time it takes to flush the radioactive material from the body. The resulting product candidate, omburtamab-DTPA-Lutetium-177 conjugate, or </w:t>
      </w:r>
      <w:r>
        <w:rPr>
          <w:rFonts w:ascii="Arial" w:cs="Arial" w:eastAsia="Arial" w:hAnsi="Arial"/>
          <w:sz w:val="24"/>
          <w:szCs w:val="24"/>
          <w:color w:val="auto"/>
          <w:vertAlign w:val="superscript"/>
        </w:rPr>
        <w:t>177</w:t>
      </w:r>
      <w:r>
        <w:rPr>
          <w:rFonts w:ascii="Arial" w:cs="Arial" w:eastAsia="Arial" w:hAnsi="Arial"/>
          <w:sz w:val="15"/>
          <w:szCs w:val="15"/>
          <w:color w:val="auto"/>
        </w:rPr>
        <w:t>Lu-omburtamab-DTPA, can be distributed directly to hospitals, already</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 xml:space="preserve">conjugated and ready to use. It may then be administered to patients as a single-step push dose via an Ommaya reservoir, similar to the administration of </w:t>
      </w:r>
      <w:r>
        <w:rPr>
          <w:rFonts w:ascii="Arial" w:cs="Arial" w:eastAsia="Arial" w:hAnsi="Arial"/>
          <w:sz w:val="24"/>
          <w:szCs w:val="24"/>
          <w:color w:val="auto"/>
          <w:vertAlign w:val="superscript"/>
        </w:rPr>
        <w:t>131</w:t>
      </w:r>
      <w:r>
        <w:rPr>
          <w:rFonts w:ascii="Arial" w:cs="Arial" w:eastAsia="Arial" w:hAnsi="Arial"/>
          <w:sz w:val="15"/>
          <w:szCs w:val="15"/>
          <w:color w:val="auto"/>
        </w:rPr>
        <w:t xml:space="preserve">I-omburtamab in CNS/LM from NB. We believe this is an important advantage because radiopharmacies within hospitals have limited capacity for radiolabeling. Therefore, we believe that a more easily available ready to use radiolabeled antibody such as </w:t>
      </w:r>
      <w:r>
        <w:rPr>
          <w:rFonts w:ascii="Arial" w:cs="Arial" w:eastAsia="Arial" w:hAnsi="Arial"/>
          <w:sz w:val="24"/>
          <w:szCs w:val="24"/>
          <w:color w:val="auto"/>
          <w:vertAlign w:val="superscript"/>
        </w:rPr>
        <w:t>177</w:t>
      </w:r>
      <w:r>
        <w:rPr>
          <w:rFonts w:ascii="Arial" w:cs="Arial" w:eastAsia="Arial" w:hAnsi="Arial"/>
          <w:sz w:val="15"/>
          <w:szCs w:val="15"/>
          <w:color w:val="auto"/>
        </w:rPr>
        <w:t>Lu-omburtamab-DTPA could be used more frequently, thereby</w:t>
      </w:r>
    </w:p>
    <w:p>
      <w:pPr>
        <w:spacing w:after="0" w:line="2" w:lineRule="exact"/>
        <w:rPr>
          <w:sz w:val="20"/>
          <w:szCs w:val="20"/>
          <w:color w:val="auto"/>
        </w:rPr>
      </w:pPr>
    </w:p>
    <w:p>
      <w:pPr>
        <w:spacing w:after="0" w:line="206" w:lineRule="auto"/>
        <w:rPr>
          <w:sz w:val="20"/>
          <w:szCs w:val="20"/>
          <w:color w:val="auto"/>
        </w:rPr>
      </w:pPr>
      <w:r>
        <w:rPr>
          <w:rFonts w:ascii="Arial" w:cs="Arial" w:eastAsia="Arial" w:hAnsi="Arial"/>
          <w:sz w:val="18"/>
          <w:szCs w:val="18"/>
          <w:color w:val="auto"/>
        </w:rPr>
        <w:t xml:space="preserve">significantly expanding our patient population beyond children. We expect to file an IND 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for treatment of B7-H3 positive LM from solid tumors in late 2018 or early 2019.</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Overview of B7-H3 Positive Central Nervous System/Leptomeningeal Metastases from Solid Tumors</w:t>
      </w:r>
    </w:p>
    <w:p>
      <w:pPr>
        <w:spacing w:after="0" w:line="225" w:lineRule="exact"/>
        <w:rPr>
          <w:sz w:val="20"/>
          <w:szCs w:val="20"/>
          <w:color w:val="auto"/>
        </w:rPr>
      </w:pPr>
    </w:p>
    <w:p>
      <w:pPr>
        <w:ind w:right="220" w:firstLine="605"/>
        <w:spacing w:after="0" w:line="259" w:lineRule="auto"/>
        <w:rPr>
          <w:sz w:val="20"/>
          <w:szCs w:val="20"/>
          <w:color w:val="auto"/>
        </w:rPr>
      </w:pPr>
      <w:r>
        <w:rPr>
          <w:rFonts w:ascii="Arial" w:cs="Arial" w:eastAsia="Arial" w:hAnsi="Arial"/>
          <w:sz w:val="18"/>
          <w:szCs w:val="18"/>
          <w:color w:val="auto"/>
        </w:rPr>
        <w:t>As previously described, CNS/LM is a rare and usually fatal complication of cancer in which the disease spreads to the membranes, or meninges, surrounding the brain and spinal cord. The incidence of metastatic brain tumors is estimated to be 200,000 to 300,000 people per year. Studies have shown that the most common tumors which metastasize to the brain express B7-H3.</w:t>
      </w:r>
    </w:p>
    <w:p>
      <w:pPr>
        <w:spacing w:after="0" w:line="194" w:lineRule="exact"/>
        <w:rPr>
          <w:sz w:val="20"/>
          <w:szCs w:val="20"/>
          <w:color w:val="auto"/>
        </w:rPr>
      </w:pPr>
    </w:p>
    <w:p>
      <w:pPr>
        <w:ind w:right="20" w:firstLine="605"/>
        <w:spacing w:after="0" w:line="306" w:lineRule="auto"/>
        <w:rPr>
          <w:sz w:val="20"/>
          <w:szCs w:val="20"/>
          <w:color w:val="auto"/>
        </w:rPr>
      </w:pPr>
      <w:r>
        <w:rPr>
          <w:rFonts w:ascii="Arial" w:cs="Arial" w:eastAsia="Arial" w:hAnsi="Arial"/>
          <w:sz w:val="16"/>
          <w:szCs w:val="16"/>
          <w:color w:val="auto"/>
        </w:rPr>
        <w:t>Although any cancer can metastasize to the leptomeninges, breast cancer (12% to 35%), lung cancer (10% to 26%), melanoma (5% to 25%), gastrointestinal malignancies (4% to 14%), and cancers of unknown primary (1% to 7%) are the most common causes of solid-tumor-related LM. We believe that the annual incidence of CNS/LM across all tumor types is at least 30,000 patients in the United States and Europe combined.</w:t>
      </w:r>
    </w:p>
    <w:p>
      <w:pPr>
        <w:spacing w:after="0" w:line="161" w:lineRule="exact"/>
        <w:rPr>
          <w:sz w:val="20"/>
          <w:szCs w:val="20"/>
          <w:color w:val="auto"/>
        </w:rPr>
      </w:pPr>
    </w:p>
    <w:p>
      <w:pPr>
        <w:ind w:right="160" w:firstLine="615"/>
        <w:spacing w:after="0" w:line="259" w:lineRule="auto"/>
        <w:rPr>
          <w:sz w:val="20"/>
          <w:szCs w:val="20"/>
          <w:color w:val="auto"/>
        </w:rPr>
      </w:pPr>
      <w:r>
        <w:rPr>
          <w:rFonts w:ascii="Arial" w:cs="Arial" w:eastAsia="Arial" w:hAnsi="Arial"/>
          <w:sz w:val="18"/>
          <w:szCs w:val="18"/>
          <w:color w:val="auto"/>
        </w:rPr>
        <w:t>Despite aggressive treatment, CNS/LM has a poor prognosis with less than 15% of all patients surviving one year following diagnosis. The median OS of untreated patients with CNS/LM is four to six weeks. The median OS of patients with combined treatment (often comprising surgery, radiation and/or chemotherapy) is usually less than eight months.</w:t>
      </w:r>
    </w:p>
    <w:p>
      <w:pPr>
        <w:spacing w:after="0" w:line="194" w:lineRule="exact"/>
        <w:rPr>
          <w:sz w:val="20"/>
          <w:szCs w:val="20"/>
          <w:color w:val="auto"/>
        </w:rPr>
      </w:pPr>
    </w:p>
    <w:p>
      <w:pPr>
        <w:ind w:right="280" w:firstLine="611"/>
        <w:spacing w:after="0" w:line="332" w:lineRule="auto"/>
        <w:rPr>
          <w:sz w:val="20"/>
          <w:szCs w:val="20"/>
          <w:color w:val="auto"/>
        </w:rPr>
      </w:pPr>
      <w:r>
        <w:rPr>
          <w:rFonts w:ascii="Arial" w:cs="Arial" w:eastAsia="Arial" w:hAnsi="Arial"/>
          <w:sz w:val="16"/>
          <w:szCs w:val="16"/>
          <w:color w:val="auto"/>
        </w:rPr>
        <w:t>The incidence of CNS/LM is increasing. An important factor contributing to the increasing incidence of CNS/LM is the availability of more effective systemic therapies. These therapies may increase survival time and could therefore lead to a higher incidence of metastatic disease.</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26"/>
          <w:szCs w:val="26"/>
          <w:i w:val="1"/>
          <w:iCs w:val="1"/>
          <w:color w:val="auto"/>
          <w:vertAlign w:val="superscript"/>
        </w:rPr>
        <w:t>177</w:t>
      </w:r>
      <w:r>
        <w:rPr>
          <w:rFonts w:ascii="Arial" w:cs="Arial" w:eastAsia="Arial" w:hAnsi="Arial"/>
          <w:sz w:val="16"/>
          <w:szCs w:val="16"/>
          <w:i w:val="1"/>
          <w:iCs w:val="1"/>
          <w:color w:val="auto"/>
        </w:rPr>
        <w:t>Lu-Omburtamab-DTPA in Central Nervous System/Leptomeningeal Metastases—Current Treatment Landscape and Associated Limitations</w:t>
      </w:r>
    </w:p>
    <w:p>
      <w:pPr>
        <w:spacing w:after="0" w:line="173"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Treatment of most patients with CNS/LM requires a combination of surgery, radiation, and/or chemotherapy. However, CNS/LM has been proven difficult to treat due to the localization of the tumor within the CNS compartment making complete removal by surgery difficult. Moreover, the blood-brain barrier, a membrane that selectively regulates molecules entering the brain from the blood, often inhibits drug delivery to the brain due to the inability of large molecules to cross the blood-brain barrier. Because the most common tumors that metastasize to the brain express B7-H3, in contrast with normal brain tissue that lacks B7-H3 expression, we believe that the incidence of B7-H3 expression makes omburtamab a viable antibody for targeting metastatic tumors in the CNS.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177</w:t>
      </w:r>
      <w:r>
        <w:rPr>
          <w:rFonts w:ascii="Arial" w:cs="Arial" w:eastAsia="Arial" w:hAnsi="Arial"/>
          <w:sz w:val="18"/>
          <w:szCs w:val="18"/>
          <w:i w:val="1"/>
          <w:iCs w:val="1"/>
          <w:color w:val="auto"/>
        </w:rPr>
        <w:t>Lu-Omburtamab-DTPA in Central Nervous System/Leptomeningeal Metastases—Mechanism of Action</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We are developing a Lutetium-177 conjugated omburtamab with DTPA as chelator. </w:t>
      </w:r>
      <w:r>
        <w:rPr>
          <w:rFonts w:ascii="Arial" w:cs="Arial" w:eastAsia="Arial" w:hAnsi="Arial"/>
          <w:sz w:val="26"/>
          <w:szCs w:val="26"/>
          <w:color w:val="auto"/>
          <w:vertAlign w:val="superscript"/>
        </w:rPr>
        <w:t>177</w:t>
      </w:r>
      <w:r>
        <w:rPr>
          <w:rFonts w:ascii="Arial" w:cs="Arial" w:eastAsia="Arial" w:hAnsi="Arial"/>
          <w:sz w:val="16"/>
          <w:szCs w:val="16"/>
          <w:color w:val="auto"/>
        </w:rPr>
        <w:t>Lu-omburtamab-DTPA will be given as a single-step push dose</w:t>
      </w:r>
    </w:p>
    <w:p>
      <w:pPr>
        <w:ind w:right="440"/>
        <w:spacing w:after="0" w:line="206" w:lineRule="auto"/>
        <w:rPr>
          <w:sz w:val="20"/>
          <w:szCs w:val="20"/>
          <w:color w:val="auto"/>
        </w:rPr>
      </w:pPr>
      <w:r>
        <w:rPr>
          <w:rFonts w:ascii="Arial" w:cs="Arial" w:eastAsia="Arial" w:hAnsi="Arial"/>
          <w:sz w:val="18"/>
          <w:szCs w:val="18"/>
          <w:color w:val="auto"/>
        </w:rPr>
        <w:t xml:space="preserve">administration to patients. The administration for CNS/LM will be intrathecal via an Ommaya reservoir similar to the administration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CNS/LM from NB. This form of administration will allow us to bypass the blood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brain barrier and gain direct access to the CNS/LM. Lutetium-177 is a medium-energy beta-emitter with a maximal tissue penetration of 2 mm. Its half-life is approximately 6.7 days. Lutetium-177 also emits low-energy Gamma rays, which allows scintigraphy and subsequent dosimetry with the same therapeutic</w:t>
      </w:r>
    </w:p>
    <w:p>
      <w:pPr>
        <w:spacing w:after="0" w:line="250" w:lineRule="auto"/>
        <w:rPr>
          <w:sz w:val="20"/>
          <w:szCs w:val="20"/>
          <w:color w:val="auto"/>
        </w:rPr>
      </w:pPr>
      <w:r>
        <w:rPr>
          <w:rFonts w:ascii="Arial" w:cs="Arial" w:eastAsia="Arial" w:hAnsi="Arial"/>
          <w:sz w:val="17"/>
          <w:szCs w:val="17"/>
          <w:color w:val="auto"/>
        </w:rPr>
        <w:t xml:space="preserve">compound. Lutetium-177 is bound to omburtamab by DTPA. The resulting product </w:t>
      </w:r>
      <w:r>
        <w:rPr>
          <w:rFonts w:ascii="Arial" w:cs="Arial" w:eastAsia="Arial" w:hAnsi="Arial"/>
          <w:sz w:val="28"/>
          <w:szCs w:val="28"/>
          <w:color w:val="auto"/>
          <w:vertAlign w:val="superscript"/>
        </w:rPr>
        <w:t>177</w:t>
      </w:r>
      <w:r>
        <w:rPr>
          <w:rFonts w:ascii="Arial" w:cs="Arial" w:eastAsia="Arial" w:hAnsi="Arial"/>
          <w:sz w:val="17"/>
          <w:szCs w:val="17"/>
          <w:color w:val="auto"/>
        </w:rPr>
        <w:t>Lu-omburtamab-DTPA conjugate can be distributed conjugated ready to use. Lutathera, a Lutetium-177-DOTA conjugated to an analogue of somatostatin, has already demonstrated significant clinical efficacy in patients with progressive neuro endocrine tumors, or NETs, and is approved by the EMA, and is currently under review for approval by the FDA, in this orphan indication. In a multi-center, randomized, comparator-controlled, parallel-group Phase 3 study that has been the basis for regulatory submission for Lutathera, it demonstrated a significant improvement in PFS in patients with inoperable progressive midgut NETs compared to the general standard of care, with limited acute toxic effects. The beta radiation of Lutetium-177 is similar to the beta radiation emitted from radioactive iodine, which already has demonstrated efficacy in CNS/LM from NB when conjugated to omburtamab.</w:t>
      </w:r>
    </w:p>
    <w:p>
      <w:pPr>
        <w:spacing w:after="0" w:line="206" w:lineRule="exact"/>
        <w:rPr>
          <w:sz w:val="20"/>
          <w:szCs w:val="20"/>
          <w:color w:val="auto"/>
        </w:rPr>
      </w:pPr>
    </w:p>
    <w:p>
      <w:pPr>
        <w:ind w:right="860" w:firstLine="611"/>
        <w:spacing w:after="0" w:line="332" w:lineRule="auto"/>
        <w:rPr>
          <w:sz w:val="20"/>
          <w:szCs w:val="20"/>
          <w:color w:val="auto"/>
        </w:rPr>
      </w:pPr>
      <w:r>
        <w:rPr>
          <w:rFonts w:ascii="Arial" w:cs="Arial" w:eastAsia="Arial" w:hAnsi="Arial"/>
          <w:sz w:val="16"/>
          <w:szCs w:val="16"/>
          <w:color w:val="auto"/>
        </w:rPr>
        <w:t>We believe Lutetium-177 may have a number of potential advantages over both Iodine-131 and Iodine-124. In particular, the radiolabeling of omburtamab-DTPA with Lutetium-177 involves a relatively simple one-step procedure and can be distributed conjugated ready to 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Humanized Omburtamab Overview</w:t>
      </w:r>
    </w:p>
    <w:p>
      <w:pPr>
        <w:spacing w:after="0" w:line="231"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We are also developing hu-omburtamab, a humanized version of omburtamab, for the treatment of B7-H3 positive adult solid tumors where systemic immunotherapy is needed. We expect that hu-omburtamab will be used as a radio-conjugated antibody designed to overcome limitations of murine antibodies that may induce HAMA, which may lead to decreased efficacy and increased toxicity when used for systemic immunotherapy.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Bispecific Antibody Program Overview</w:t>
      </w:r>
    </w:p>
    <w:p>
      <w:pPr>
        <w:spacing w:after="0" w:line="231" w:lineRule="exact"/>
        <w:rPr>
          <w:sz w:val="20"/>
          <w:szCs w:val="20"/>
          <w:color w:val="auto"/>
        </w:rPr>
      </w:pPr>
    </w:p>
    <w:p>
      <w:pPr>
        <w:ind w:right="100" w:firstLine="611"/>
        <w:spacing w:after="0" w:line="256" w:lineRule="auto"/>
        <w:rPr>
          <w:sz w:val="20"/>
          <w:szCs w:val="20"/>
          <w:color w:val="auto"/>
        </w:rPr>
      </w:pPr>
      <w:r>
        <w:rPr>
          <w:rFonts w:ascii="Arial" w:cs="Arial" w:eastAsia="Arial" w:hAnsi="Arial"/>
          <w:sz w:val="18"/>
          <w:szCs w:val="18"/>
          <w:color w:val="auto"/>
        </w:rPr>
        <w:t>We are advancing a promising pipeline of bivalent tumor targeting BsAbs for the treatment of cancer. We believe that our BsAbs have the potential to overcome limitations associated with existing BsAb constructs. Our first BsAb product candidate, naxitamab-BsAb, is a humanized anti-GD2 and anti-CD3 BsAb. Together with MSK, in the first half of 2018, we plan to submit an IND in order to commence a Phase 1/2 trial in patients with GD2-positive solid tumors refractory to available therapy.</w:t>
      </w:r>
    </w:p>
    <w:p>
      <w:pPr>
        <w:spacing w:after="0" w:line="197" w:lineRule="exact"/>
        <w:rPr>
          <w:sz w:val="20"/>
          <w:szCs w:val="20"/>
          <w:color w:val="auto"/>
        </w:rPr>
      </w:pPr>
    </w:p>
    <w:p>
      <w:pPr>
        <w:ind w:right="480" w:firstLine="615"/>
        <w:spacing w:after="0" w:line="268" w:lineRule="auto"/>
        <w:rPr>
          <w:sz w:val="20"/>
          <w:szCs w:val="20"/>
          <w:color w:val="auto"/>
        </w:rPr>
      </w:pPr>
      <w:r>
        <w:rPr>
          <w:rFonts w:ascii="Arial" w:cs="Arial" w:eastAsia="Arial" w:hAnsi="Arial"/>
          <w:sz w:val="18"/>
          <w:szCs w:val="18"/>
          <w:color w:val="auto"/>
        </w:rPr>
        <w:t>Our second BsAb product candidate, CD33-BsAb, is a humanized anti-CD33 and anti-CD3 BsAb. We intend to submit an IND in 2019 in order to commence a Phase 1 trial in patients with hematological cancers expressing CD33.</w:t>
      </w:r>
    </w:p>
    <w:p>
      <w:pPr>
        <w:spacing w:after="0" w:line="186"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In addition, the MSK License provides us with non-exclusive access to MSK's technology that facilitates the creation of a novel human protein tag that can dimerize, or link together, BiTEs, which we refer to as the MULTI-TAG technology platform. BiTEs are an important class of BsAbs that has shown significant promise in the treatment of cancer due to their high potency. Based on our pre-clinical studies, we believe that this novel class of BiTEs has the potential to result in better tumor-binding, longer serum half-life and significantly greater T-cell mediated killing of tumor cells without the need for continuous infusion. We plan to utilize this technology to create a diverse platform of dimerized BiTEs. We are currently working with several MULTI-TAG candidates with MSK and our goal is to be able to select a clinical candidate in 2018.</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Current Bispecific Antibody Treatment Approaches</w:t>
      </w:r>
    </w:p>
    <w:p>
      <w:pPr>
        <w:spacing w:after="0" w:line="225" w:lineRule="exact"/>
        <w:rPr>
          <w:sz w:val="20"/>
          <w:szCs w:val="20"/>
          <w:color w:val="auto"/>
        </w:rPr>
      </w:pPr>
    </w:p>
    <w:p>
      <w:pPr>
        <w:jc w:val="both"/>
        <w:ind w:right="260" w:firstLine="615"/>
        <w:spacing w:after="0" w:line="259" w:lineRule="auto"/>
        <w:rPr>
          <w:sz w:val="20"/>
          <w:szCs w:val="20"/>
          <w:color w:val="auto"/>
        </w:rPr>
      </w:pPr>
      <w:r>
        <w:rPr>
          <w:rFonts w:ascii="Arial" w:cs="Arial" w:eastAsia="Arial" w:hAnsi="Arial"/>
          <w:sz w:val="18"/>
          <w:szCs w:val="18"/>
          <w:color w:val="auto"/>
        </w:rPr>
        <w:t>BsAbs are engineered proteins capable of simultaneously binding to two different epitopes, on the same or different antigens. Through simultaneous recognition of two different targets, BsAbs can serve as mediators for the redirection of immune effector cells, such as Natural Killer cells, or NK cells, and T-cells, to tumor cells, in order to enhance tumor cell destruction. In addition, by targeting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two different receptors in combination on the same cell, BsAbs can induce modifications of cell signaling, including the inactivation of pathways. BsAbs represent an exciting approach to cancer immunotherapy because, among other factors, they have the potential to overcome the limitations of conventional monoclonal antibody approaches to treating complex cancers. Moreover, BsAbs can be mass produced without the manufacturing complications and risk of persistent systemic toxicity associated with other new immunotherapy approaches such as CAR-T therapy.</w:t>
      </w:r>
    </w:p>
    <w:p>
      <w:pPr>
        <w:spacing w:after="0" w:line="167"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BsAbs are generally divided into two classes, IgG-like molecules and non-IgG-like molecules. IgG-like BsAbs retain the traditional monoclonal antibody structure but bind to multiple antigens. Although IgG-like BsAbs generally demonstrate adequate stability and effector functions, their large size limits tissue penetration.</w:t>
      </w:r>
    </w:p>
    <w:p>
      <w:pPr>
        <w:spacing w:after="0" w:line="194"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Non-IgG-like BsAbs lack a fragment crystallizable, or Fc, region, consisting instead of chemically linked variable regions and various types of multivalent single-chain variable fragments, or scFvs. One type of non-IgG-like BsAbs are BiTEs. BiTEs are relatively small and have more efficient penetration, however, they exhibit short serum half-lives. They bind monovalently to tumor targets, which often results in suboptimal tumor binding relative to conventional IgG-like BsAbs that bind bivalently. Finally, therapeutic dosing of BiTEs is limited by the risk of excessive cytokine release in patients.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only approved BsAb in the United States is blinatumomab, a BiTE, approved for the treatment of acute lymphocytic leukemia.</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Naxitamab-BsAb Overview</w:t>
      </w:r>
    </w:p>
    <w:p>
      <w:pPr>
        <w:spacing w:after="0" w:line="225" w:lineRule="exact"/>
        <w:rPr>
          <w:sz w:val="20"/>
          <w:szCs w:val="20"/>
          <w:color w:val="auto"/>
        </w:rPr>
      </w:pPr>
    </w:p>
    <w:p>
      <w:pPr>
        <w:jc w:val="both"/>
        <w:ind w:right="20" w:firstLine="611"/>
        <w:spacing w:after="0" w:line="370" w:lineRule="auto"/>
        <w:rPr>
          <w:sz w:val="20"/>
          <w:szCs w:val="20"/>
          <w:color w:val="auto"/>
        </w:rPr>
      </w:pPr>
      <w:r>
        <w:rPr>
          <w:rFonts w:ascii="Arial" w:cs="Arial" w:eastAsia="Arial" w:hAnsi="Arial"/>
          <w:sz w:val="15"/>
          <w:szCs w:val="15"/>
          <w:color w:val="auto"/>
        </w:rPr>
        <w:t>The figure below depicts our first BsAb product candidate, naxitamab-BsAb, a fully humanized IgG-scFv format antibody, in which the anti-CD3 scFv is linked to the carboxyl end of the naxitamab IgG1 and the Fc region is mutated to help prevent cytokine release as well as complement-mediated pain side effects.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(anti-GD2 and anti-CD3) Bispecific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152400</wp:posOffset>
            </wp:positionV>
            <wp:extent cx="2272665" cy="18268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7266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that naxitamab-BsAb may have several potential advantages over other BsAbs, including:</w:t>
      </w:r>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Improved potency due to bivalency towards GD2, while maintaining functional monovalency towards CD3.</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Longer serum half-life to improve efficacy and patient convenience—molecular size of 210kD (vs. 55kD size of blinatumomab) and binding to neonatal Fc receptor result in longer serum half-life, thereby reducing the need for continuous infusion.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Better safety profile: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larger size of our molecule prevents leakage into the CNS thereby avoiding CNS neurotoxicity;</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Low affinity for CD3 molecules and functional monovalency towards CD3 reduces risk of significant cytokine release;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Lower immunogenicity as shown by the low immunogencity profile of naxitamab.</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Knockout mice, which lack murine T-cells, B-cells and NK cells, were used for human cancer xenograft studies. The picture below demonstrates a study where mice were transplanted with human M14-Luc melanoma and human peripheral blood mononuclear cells, or PBMC, or activated T-cells, or ATC, as effector cells. Tumor growth was assessed by luciferin bioluminescence.</w:t>
      </w:r>
    </w:p>
    <w:p>
      <w:pPr>
        <w:spacing w:after="0" w:line="194"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Mice, in a control group, treated with saline without effector cells (naxitamab-BsAb only), or effector cells plus ATC+naxitamab-C825, used as the control BsAb and which does not bind to T-cells, had equally rapid tumor progression. In contrast, mice treated with naxitamab-BsAb in the presence of human effector cells (ATC+naxitamab-BsAb or PBMC+naxitamab-BsAb) demonstrated nearly total tumor elimination. The picture below is a representative image at day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130810</wp:posOffset>
            </wp:positionV>
            <wp:extent cx="5866130" cy="3319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6613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Based on this pre-clinical evidence, in 2019, we expect to file an IND to commence a Phase 1/2 trial of naxitamab-BsAb in patients with GD2-positive solid tumors refractory to available therapy.</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CD33 Overview</w:t>
      </w:r>
    </w:p>
    <w:p>
      <w:pPr>
        <w:spacing w:after="0" w:line="225"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Our second BsAb product candidate, CD33-BsAb, is a humanized anti-CD33 and anti-CD3 BsAb for the treatment of hematological cancers expressing CD33, a transmembrane receptor expressed on cells of myeloid lineage. Currently we are planning to set up current Good Laboratory Practices, or GLP, and cGMP production allowing for initiation of formal pre-clinical toxicology in 2018 and potential IND filing in 2019.</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MULTI-TAG Technology Overview</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believe that our non-exclusive access to the MULTI-TAG technology will help us make further advances to our BsAb program by optimizing BiTEs. While there has been significant enthusiasm for BiTEs given their high potency and ability to penetrate more efficiently than conventional IgG-like BsAbs, their efficacy remains hampered by their size and binding characteristics. BiTEs are relatively small in size, approximately 55kD, resulting in a short serum half-life given rapid renal clearance. As a result, they require continuous infusion for several weeks in order to achieve a therapeutic response. They also bind monovalently, which often results in suboptimal tumor binding. Further, therapeutic dosing of BiTEs is limited by the risk of excessive cytokine release in patients.</w:t>
      </w:r>
    </w:p>
    <w:p>
      <w:pPr>
        <w:spacing w:after="0" w:line="198" w:lineRule="exact"/>
        <w:rPr>
          <w:sz w:val="20"/>
          <w:szCs w:val="20"/>
          <w:color w:val="auto"/>
        </w:rPr>
      </w:pPr>
    </w:p>
    <w:p>
      <w:pPr>
        <w:ind w:right="240" w:firstLine="615"/>
        <w:spacing w:after="0" w:line="254" w:lineRule="auto"/>
        <w:rPr>
          <w:sz w:val="20"/>
          <w:szCs w:val="20"/>
          <w:color w:val="auto"/>
        </w:rPr>
      </w:pPr>
      <w:r>
        <w:rPr>
          <w:rFonts w:ascii="Arial" w:cs="Arial" w:eastAsia="Arial" w:hAnsi="Arial"/>
          <w:sz w:val="18"/>
          <w:szCs w:val="18"/>
          <w:color w:val="auto"/>
        </w:rPr>
        <w:t>Using the MULTI-TAG technology, we have designed a novel protein tag of human origin that dimerizes, or links, BiTEs, in a unique conformation, which we believe may result in improved tumor binding, a longer half-life, and greater T-cell mediated tumor cell killing. We are using the MULTI-TAG technology platform to dimerize our BsAbs into proteins of approximately 120kD in size, thereby increasing serum half-life without the need for continuous infusion. The unique dimerized conformation, while binding bivalently to tumors, also binds monovalently to T-cells, which we believe, leads to limiting excessive cytokine release. Below is a graphic illustration of the MULTI-TAG technology, to which, under our MSK License, we have unlimited access to use MSK's rights in the technology for any target.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MULTI-TAG—</w:t>
      </w:r>
      <w:r>
        <w:rPr>
          <w:rFonts w:ascii="Arial" w:cs="Arial" w:eastAsia="Arial" w:hAnsi="Arial"/>
          <w:sz w:val="18"/>
          <w:szCs w:val="18"/>
          <w:b w:val="1"/>
          <w:bCs w:val="1"/>
          <w:color w:val="auto"/>
        </w:rPr>
        <w:t>Dimerization technology to enhance potency of T-cell engaging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152400</wp:posOffset>
            </wp:positionV>
            <wp:extent cx="5866130" cy="43992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are currently working with several MULTI-TAG candidates with MSK and our goal is to be able to select a clinical candidate in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Currently, we contract with third party cGMP vendors for the manufacturing of our product candidates for pre-clinical studies and clinical trials and intend to do so in the future, including for commercialization if our product candidates receive marketing approval. We do not currently own or operate any manufacturing facilities for the production of clinical or commercial quantities of our product candidates. We currently have no plans to build our own clinical or commercial scale manufacturing capabilities. To meet our projected needs for commercial manufacturing, if the need arises, third parties with whom we currently work may need to increase their scale of production or we may need to secure alternate suppliers. Although we rely on our cGMP manufacturers, we have personnel with substantial manufacturing experience to oversee our relationships with such manufacturers.</w:t>
      </w:r>
    </w:p>
    <w:p>
      <w:pPr>
        <w:spacing w:after="0" w:line="174"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 like the EMA to assure proper design, monitoring and control of manufacturing processes and facilities for human pharmaceuticals.</w:t>
      </w:r>
    </w:p>
    <w:p>
      <w:pPr>
        <w:spacing w:after="0" w:line="197" w:lineRule="exact"/>
        <w:rPr>
          <w:sz w:val="20"/>
          <w:szCs w:val="20"/>
          <w:color w:val="auto"/>
        </w:rPr>
      </w:pPr>
    </w:p>
    <w:p>
      <w:pPr>
        <w:ind w:right="160" w:firstLine="615"/>
        <w:spacing w:after="0" w:line="256" w:lineRule="auto"/>
        <w:rPr>
          <w:sz w:val="20"/>
          <w:szCs w:val="20"/>
          <w:color w:val="auto"/>
        </w:rPr>
      </w:pPr>
      <w:r>
        <w:rPr>
          <w:rFonts w:ascii="Arial" w:cs="Arial" w:eastAsia="Arial" w:hAnsi="Arial"/>
          <w:sz w:val="18"/>
          <w:szCs w:val="18"/>
          <w:color w:val="auto"/>
        </w:rPr>
        <w:t>Our current product candidates are mAbs and BsAbs. The manufacturing process for antibodies involves the genetic engineering of a parental host cell line to isolate a cell that produces the antibody. Once the cell or clone (colony of cells derived from a single cell)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97" w:lineRule="exact"/>
        <w:rPr>
          <w:sz w:val="20"/>
          <w:szCs w:val="20"/>
          <w:color w:val="auto"/>
        </w:rPr>
      </w:pPr>
    </w:p>
    <w:p>
      <w:pPr>
        <w:ind w:right="200" w:firstLine="611"/>
        <w:spacing w:after="0" w:line="291" w:lineRule="auto"/>
        <w:rPr>
          <w:sz w:val="20"/>
          <w:szCs w:val="20"/>
          <w:color w:val="auto"/>
        </w:rPr>
      </w:pPr>
      <w:r>
        <w:rPr>
          <w:rFonts w:ascii="Arial" w:cs="Arial" w:eastAsia="Arial" w:hAnsi="Arial"/>
          <w:sz w:val="16"/>
          <w:szCs w:val="16"/>
          <w:color w:val="auto"/>
        </w:rPr>
        <w:t>The drug substance is an active ingredient that is intended to furnish pharmacological activity or other direct effect in the diagnosis, cure, mitigation, treatment, or prevention of disease or to affect the structure or any function of the human body, but does not include intermediates used in the synthesis of such ingredient while the drug product is a finished dosage form.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 that stimulate the production of the antibody into the culture media. The production bioreactor is cultured for an established time period and is then harvested by filtration to remove the cells from the culture media.</w:t>
      </w:r>
    </w:p>
    <w:p>
      <w:pPr>
        <w:spacing w:after="0" w:line="174" w:lineRule="exact"/>
        <w:rPr>
          <w:sz w:val="20"/>
          <w:szCs w:val="20"/>
          <w:color w:val="auto"/>
        </w:rPr>
      </w:pPr>
    </w:p>
    <w:p>
      <w:pPr>
        <w:ind w:right="200" w:firstLine="611"/>
        <w:spacing w:after="0" w:line="294" w:lineRule="auto"/>
        <w:rPr>
          <w:sz w:val="20"/>
          <w:szCs w:val="20"/>
          <w:color w:val="auto"/>
        </w:rPr>
      </w:pPr>
      <w:r>
        <w:rPr>
          <w:rFonts w:ascii="Arial" w:cs="Arial" w:eastAsia="Arial" w:hAnsi="Arial"/>
          <w:sz w:val="16"/>
          <w:szCs w:val="16"/>
          <w:color w:val="auto"/>
        </w:rPr>
        <w:t>The antibody solution is purified through a number of steps to remove known process- and product-derived impurities. The technologies employed include ultrafiltration and column and membrane chromatography. Additional steps are performed to inactivate or remove viruses. The final step of the drug substance process adjusts the antibody concentration and produces the final formulation to be used for drug product production. The drug substance is tested to meet pre-established criteria for purity, potency and safety, and is then periodically tested to demonstrate stability upon storage as required by regulations. The drug substance is stored at prescribed temperatures, typically refrigerated or frozen.</w:t>
      </w:r>
    </w:p>
    <w:p>
      <w:pPr>
        <w:spacing w:after="0" w:line="170" w:lineRule="exact"/>
        <w:rPr>
          <w:sz w:val="20"/>
          <w:szCs w:val="20"/>
          <w:color w:val="auto"/>
        </w:rPr>
      </w:pPr>
    </w:p>
    <w:p>
      <w:pPr>
        <w:ind w:right="20" w:firstLine="611"/>
        <w:spacing w:after="0" w:line="259" w:lineRule="auto"/>
        <w:rPr>
          <w:sz w:val="20"/>
          <w:szCs w:val="20"/>
          <w:color w:val="auto"/>
        </w:rPr>
      </w:pPr>
      <w:r>
        <w:rPr>
          <w:rFonts w:ascii="Arial" w:cs="Arial" w:eastAsia="Arial" w:hAnsi="Arial"/>
          <w:sz w:val="18"/>
          <w:szCs w:val="18"/>
          <w:color w:val="auto"/>
        </w:rPr>
        <w:t>The drug product is produced by sterilization filtration of the drug substance solution, followed by aseptic filling into glass vials and then stoppered. The drug product is subjected to release testing for purity, potency and safety according to pre-established specifications. Drug product lots are periodically tested to demonstrate stability over the established storage expiry period. The drug product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is stored and shipped under temperature-controlled conditions, typically refrigerated, to sites designated for clinical trial testing, or eventually to commercial pharmaceutical logistics providers.</w:t>
      </w:r>
    </w:p>
    <w:p>
      <w:pPr>
        <w:spacing w:after="0" w:line="186"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Naxitamab is a recombinant humanized IgG1k monoclonal antibody against GD2 expressed in Chinese Hamster Ovary, or CHO, cells. One mL ampoule from the master or working cell bank is used as seeding for a 1000 L fed batch bioreactor in chemical defined media with no animal derived component. After the growths of the cells are completed the un-processed bulk from the bioreactor containing the naxitamab drug substance undergoes conditioned clarified harvests, filtration, and subsequent multi-step product purification.</w:t>
      </w:r>
    </w:p>
    <w:p>
      <w:pPr>
        <w:spacing w:after="0" w:line="197"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naxitamab drug substance in manufactured by Patheon UK Limited in Groningen, The Netherlands and the naxitamab drug product is manufactured at Patheon Manufacturing Services LLC in Greenville, North Carolina, or collectively Patheon, in compliance with cGMP regulations and no excipients of human or animal origin have been used. The naxitamab drug product is packaged in 10 mL ISO 10R glass vials and frozen.</w:t>
      </w:r>
    </w:p>
    <w:p>
      <w:pPr>
        <w:spacing w:after="0" w:line="161" w:lineRule="exact"/>
        <w:rPr>
          <w:sz w:val="20"/>
          <w:szCs w:val="20"/>
          <w:color w:val="auto"/>
        </w:rPr>
      </w:pPr>
    </w:p>
    <w:p>
      <w:pPr>
        <w:ind w:right="60" w:firstLine="615"/>
        <w:spacing w:after="0" w:line="298" w:lineRule="auto"/>
        <w:rPr>
          <w:sz w:val="20"/>
          <w:szCs w:val="20"/>
          <w:color w:val="auto"/>
        </w:rPr>
      </w:pPr>
      <w:r>
        <w:rPr>
          <w:rFonts w:ascii="Arial" w:cs="Arial" w:eastAsia="Arial" w:hAnsi="Arial"/>
          <w:sz w:val="16"/>
          <w:szCs w:val="16"/>
          <w:color w:val="auto"/>
        </w:rPr>
        <w:t>Omburtamab is a murine IgG1 monoclonal antibody against B7-H3. The antibody is manufactured in a 200 L bioreactor in chemical defined media with no animal derived components. After harvests, clarification of the fermentation and a multi-step purification process, the final drug substance is ready for radiolabeling. This non-radiolabeled omburtamab is packaged in 2 mL ISO 2R glass vials and frozen. The drug substance is manufactured by EMD Millipore Corporation, or EMD, in Martillac, France, and the omburtamab drug product is manufactured by Patheon in Ferentino, Italy.</w:t>
      </w:r>
    </w:p>
    <w:p>
      <w:pPr>
        <w:spacing w:after="0" w:line="167"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While we believe that Patheon and EMD are capable of producing sufficient quantities of drug product to support our currently planned clinical trials for naxitamab and omburtamab, we also believe that there are a number of alternative third-party manufacturers that have similar capabilities that would be capable of providing sufficient quantities of drug product for our planned clinical trials. However, should Patheon and/or EMD not be able to provide sufficient quantities of drug product for our planned clinical trials, we would be required to seek another contract manufacturer to provide this drug product, likely resulting in a delay in such trials.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w:t>
      </w:r>
    </w:p>
    <w:p>
      <w:pPr>
        <w:spacing w:after="0" w:line="231" w:lineRule="exact"/>
        <w:rPr>
          <w:sz w:val="20"/>
          <w:szCs w:val="20"/>
          <w:color w:val="auto"/>
        </w:rPr>
      </w:pPr>
    </w:p>
    <w:p>
      <w:pPr>
        <w:ind w:right="140" w:firstLine="611"/>
        <w:spacing w:after="0" w:line="256" w:lineRule="auto"/>
        <w:rPr>
          <w:sz w:val="20"/>
          <w:szCs w:val="20"/>
          <w:color w:val="auto"/>
        </w:rPr>
      </w:pPr>
      <w:r>
        <w:rPr>
          <w:rFonts w:ascii="Arial" w:cs="Arial" w:eastAsia="Arial" w:hAnsi="Arial"/>
          <w:sz w:val="18"/>
          <w:szCs w:val="18"/>
          <w:color w:val="auto"/>
        </w:rPr>
        <w:t>The sales call points for our late-stage product candidates in the United States and the European Union are highly concentrated around a few major hospitals and, therefore, can be effectively serviced with a small commercial organization. Both our existing clinical trials at all the relevant sites, as well as our partnership with MSK, have already afforded us the opportunity to identify patients for our product candidates, if approved. We believe these factors position us well for commercialization.</w:t>
      </w:r>
    </w:p>
    <w:p>
      <w:pPr>
        <w:spacing w:after="0" w:line="197" w:lineRule="exact"/>
        <w:rPr>
          <w:sz w:val="20"/>
          <w:szCs w:val="20"/>
          <w:color w:val="auto"/>
        </w:rPr>
      </w:pPr>
    </w:p>
    <w:p>
      <w:pPr>
        <w:ind w:right="20" w:firstLine="615"/>
        <w:spacing w:after="0" w:line="318" w:lineRule="auto"/>
        <w:rPr>
          <w:sz w:val="20"/>
          <w:szCs w:val="20"/>
          <w:color w:val="auto"/>
        </w:rPr>
      </w:pPr>
      <w:r>
        <w:rPr>
          <w:rFonts w:ascii="Arial" w:cs="Arial" w:eastAsia="Arial" w:hAnsi="Arial"/>
          <w:sz w:val="15"/>
          <w:szCs w:val="15"/>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establish a specialty sales force and develop an organizational infrastructure to support the network of relevant hospitals, cancer centers, oncologists and other physicians as well as provide support to patients, care-givers and other healthcare providers. We plan to commercialize our future product candidates in the United States and Europe ourselves, and will evaluate strategic collaborations in select territories in order to maximize the potential of our product candidates.</w:t>
      </w:r>
    </w:p>
    <w:p>
      <w:pPr>
        <w:spacing w:after="0" w:line="154" w:lineRule="exact"/>
        <w:rPr>
          <w:sz w:val="20"/>
          <w:szCs w:val="20"/>
          <w:color w:val="auto"/>
        </w:rPr>
      </w:pPr>
    </w:p>
    <w:p>
      <w:pPr>
        <w:ind w:right="200" w:firstLine="605"/>
        <w:spacing w:after="0" w:line="259" w:lineRule="auto"/>
        <w:rPr>
          <w:sz w:val="20"/>
          <w:szCs w:val="20"/>
          <w:color w:val="auto"/>
        </w:rPr>
      </w:pPr>
      <w:r>
        <w:rPr>
          <w:rFonts w:ascii="Arial" w:cs="Arial" w:eastAsia="Arial" w:hAnsi="Arial"/>
          <w:sz w:val="18"/>
          <w:szCs w:val="18"/>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00" w:firstLine="611"/>
        <w:spacing w:after="0" w:line="255" w:lineRule="auto"/>
        <w:rPr>
          <w:sz w:val="20"/>
          <w:szCs w:val="20"/>
          <w:color w:val="auto"/>
        </w:rPr>
      </w:pPr>
      <w:r>
        <w:rPr>
          <w:rFonts w:ascii="Arial" w:cs="Arial" w:eastAsia="Arial" w:hAnsi="Arial"/>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97"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4"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Specifically, MacroGenics, Inc. and Daiichi Sankyo Co. are developing antibodies against B7-H3. In addition, United Therapeutics Corporation has commercialized Unituxin (dinutuximab), an antibody against GD2, in the United States and we believe EUSA Pharma (UK) Ltd. plans to commercialize a similar antibody (dinutuximab beta) under the name Isquette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immunotherapy. We additionally rely on data 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81" w:lineRule="exact"/>
        <w:rPr>
          <w:sz w:val="20"/>
          <w:szCs w:val="20"/>
          <w:color w:val="auto"/>
        </w:rPr>
      </w:pPr>
    </w:p>
    <w:p>
      <w:pPr>
        <w:ind w:right="460" w:firstLine="611"/>
        <w:spacing w:after="0" w:line="332" w:lineRule="auto"/>
        <w:rPr>
          <w:sz w:val="20"/>
          <w:szCs w:val="20"/>
          <w:color w:val="auto"/>
        </w:rPr>
      </w:pPr>
      <w:r>
        <w:rPr>
          <w:rFonts w:ascii="Arial" w:cs="Arial" w:eastAsia="Arial" w:hAnsi="Arial"/>
          <w:sz w:val="16"/>
          <w:szCs w:val="16"/>
          <w:color w:val="auto"/>
        </w:rPr>
        <w:t>We have in-licensed numerous patents and patent applications and substantial know-how relating to the development and commercialization of our immunotherapy product candidates, including related manufacturing processes and technology. These in-licensed patents and patent applications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claim the inventions of investigators at MSK, as described in more detail in the section herein entitled "Business—Intellectual Property—MSK Agreements."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of December 31, 2017, our patent portfolio included:</w:t>
      </w:r>
    </w:p>
    <w:p>
      <w:pPr>
        <w:spacing w:after="0" w:line="239" w:lineRule="exact"/>
        <w:rPr>
          <w:sz w:val="20"/>
          <w:szCs w:val="20"/>
          <w:color w:val="auto"/>
        </w:rPr>
      </w:pPr>
    </w:p>
    <w:p>
      <w:pPr>
        <w:ind w:left="1080" w:right="100" w:hanging="532"/>
        <w:spacing w:after="0" w:line="310" w:lineRule="auto"/>
        <w:tabs>
          <w:tab w:leader="none" w:pos="10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For our naxitamab patent portfolio, we have an exclusive license from MSK to MSK's rights in two patent families. The first family consists of patents and patent applications with composition of matter claims covering humanized or chimeric antibodies or fragments thereof comprising specific sequences and capable of binding to GD2, and includes two U.S. patents, one Australian patent, two New Zealand patents, one Chinese patent, one Japanese patent, one pending patent application in the United States and six pending patent applications in other jurisdictions, including Europe, Canada, Japan, South Korea, Hong Kong and India. We expect that any patents that issue in this first family will expire in June 2031. The second family consists of applications with composition of matter claims covering high affinity anti-GD2 antibodies, and includes one pending patent application in the United States and nine pending patent applications in other jurisdictions, including Europe, Canada, Australia, China, Japan, South Korea, Hong Kong, Brazil and Russia. We expect that any patents that issue in this second family will expire in March 2034.</w:t>
      </w:r>
    </w:p>
    <w:p>
      <w:pPr>
        <w:spacing w:after="0" w:line="189" w:lineRule="exact"/>
        <w:rPr>
          <w:rFonts w:ascii="Arial" w:cs="Arial" w:eastAsia="Arial" w:hAnsi="Arial"/>
          <w:sz w:val="15"/>
          <w:szCs w:val="15"/>
          <w:color w:val="auto"/>
        </w:rPr>
      </w:pPr>
    </w:p>
    <w:p>
      <w:pPr>
        <w:ind w:left="1080" w:right="80" w:hanging="532"/>
        <w:spacing w:after="0" w:line="287"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our omburtamab patent portfolio, we have an exclusive license from MSK to MSK's rights in two patent families. The first family consists of patents and patent applications with composition of matter claims covering antibodies produced by a distinct hybridoma cell line, antibodies comprising specific sequences, polypeptides comprising specific sequences, and process claims covering a method of inhibiting the growth of tumor cells, a method for imaging a tumor in a subject and a method for treating a mammalian subject, and includes seven U.S. patents, one German patent, one Spanish patent, one French patent, one patent in Great Britain, one Italian patent, two Canadian patents, one pending patent application in the United States and one pending patent application in Europe. We expect that any patents that issue in this first family will expire between October 2021 and January 2026. The second family consists of patents and patent applications with process claims covering a method of improving the prognosis or prolonging the survival of a subject bearing a tumor, and includes one Chinese patent, one Indian patent, and two pending patent applications in other jurisdictions, including Europe, and Canada. We expect that any patents that issue in this second family will expire in March 2028.</w:t>
      </w:r>
    </w:p>
    <w:p>
      <w:pPr>
        <w:spacing w:after="0" w:line="190"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our hu-omburtamab patent portfolio, we have an exclusive license from MSK to MSK's rights in one patent family consisting of patent applications with composition of matter claims covering antibody agents that bind specifically to protein 2Ig-B7H3 or 4Ig-B7H3, and includes one pending patent application in the United States and 12 pending patent applications in other jurisdictions, including Europe, Canada, Australia, New Zealand, China, Japan, South Korea, Eurasia, India, Brazil, South Africa, and Hong Kong. We expect that any patents that issue in this family will expire in August 2035.</w:t>
      </w:r>
    </w:p>
    <w:p>
      <w:pPr>
        <w:spacing w:after="0" w:line="210" w:lineRule="exact"/>
        <w:rPr>
          <w:rFonts w:ascii="Arial" w:cs="Arial" w:eastAsia="Arial" w:hAnsi="Arial"/>
          <w:sz w:val="18"/>
          <w:szCs w:val="18"/>
          <w:color w:val="auto"/>
        </w:rPr>
      </w:pPr>
    </w:p>
    <w:p>
      <w:pPr>
        <w:ind w:left="1080" w:hanging="532"/>
        <w:spacing w:after="0" w:line="25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Our Multimerization Technology patent portfolio, which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relates to naxitamab-BsAb, includes one patent family under which we have a partly exclusive license to MSK's rights in the patent application. The license is exclusive for MSK's rights in the patents rights of this family that claim products, such as bispecific antibodies which are also claimed by other patent rights licensed from MSK, and non-exclusive for patents rights of this family that claim a product that is not claimed by another patent right licensed from MSK. This family consists of patents and patent applications with composition of matter claims covering bispecific binding agents comprised of two fusion proteins, and includes one U.S. patent, one pending patent application in the United States and nine pending patent applications in other jurisdictions, including Europe, Canada, Australia, China, Japan, South Korea, Hong Kong, Russia and Brazil. We expect that any patents that issue in this first family will expire in March 2034.</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6"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CD33 antibody patent portfolio, which includes one patent family under which we have an exclusive license from MSK to MSK's rights in the patent application. This family consists of one U.S. provisional patent application relating to anti Siglec-3 (CD33) antibodies generated from a specific principal investigator's laboratory at MSK. We expect that any patents that issue in this family will expire in April 2038, assuming a future Patent Cooperation Treaty filing.</w:t>
      </w:r>
    </w:p>
    <w:p>
      <w:pPr>
        <w:spacing w:after="0" w:line="197" w:lineRule="exact"/>
        <w:rPr>
          <w:sz w:val="20"/>
          <w:szCs w:val="20"/>
          <w:color w:val="auto"/>
        </w:rPr>
      </w:pPr>
    </w:p>
    <w:p>
      <w:pPr>
        <w:ind w:right="20" w:firstLine="611"/>
        <w:spacing w:after="0" w:line="301" w:lineRule="auto"/>
        <w:rPr>
          <w:sz w:val="20"/>
          <w:szCs w:val="20"/>
          <w:color w:val="auto"/>
        </w:rPr>
      </w:pPr>
      <w:r>
        <w:rPr>
          <w:rFonts w:ascii="Arial" w:cs="Arial" w:eastAsia="Arial" w:hAnsi="Arial"/>
          <w:sz w:val="15"/>
          <w:szCs w:val="15"/>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w:t>
      </w:r>
    </w:p>
    <w:p>
      <w:pPr>
        <w:spacing w:after="0" w:line="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14 years from the date of product approval, only one patent applicable to each regulatory review period may be extended and only those claims covering the 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163"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Similar provisions are available in the European Union and certain other non-U.S. jurisdictions to extend the term of a patent that covers an approved drug. In the future, if and when our product candidates receive approval by the FDA or non-U.S.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However, we cannot provide any assurances that any such patent term extension of a non-U.S. patent will be obtained and, even if obtained, the duration of such extension.</w:t>
      </w:r>
    </w:p>
    <w:p>
      <w:pPr>
        <w:spacing w:after="0" w:line="170" w:lineRule="exact"/>
        <w:rPr>
          <w:sz w:val="20"/>
          <w:szCs w:val="20"/>
          <w:color w:val="auto"/>
        </w:rPr>
      </w:pPr>
    </w:p>
    <w:p>
      <w:pPr>
        <w:ind w:right="20" w:firstLine="605"/>
        <w:spacing w:after="0" w:line="259" w:lineRule="auto"/>
        <w:rPr>
          <w:sz w:val="20"/>
          <w:szCs w:val="20"/>
          <w:color w:val="auto"/>
        </w:rPr>
      </w:pPr>
      <w:r>
        <w:rPr>
          <w:rFonts w:ascii="Arial" w:cs="Arial" w:eastAsia="Arial" w:hAnsi="Arial"/>
          <w:sz w:val="18"/>
          <w:szCs w:val="18"/>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94"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Generally, as noted above, our in-licensed issued patents in all jurisdictions will expire on dates ranging from 2021 to 2031. If patents are issued on our pending patent applications, the resulting patents are projected to expire on dates ranging from 2021 to 2035 (2038 assuming the future filing of a priority claiming Patent Cooperation Treaty application). However, the actual protection afforded by a patent varies on a product-by-product basis, from country-to-country, and depends upon many factors, including the type of patent, the scope of its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coverage, the availability of regulatory-related extensions, the availability of legal remedies in a particular country, and the validity and enforceability of the patent.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We have filed an application with the USPTO to secure trademark registration for the "Y-mAbs" mark. We currently rely on our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 However, we have not yet registered any of our trademarks, trade names or service marks with the USPTO. If we do not secure successfully register trademark registration for our trademarks, including the "Y-mAbs" mark, we may encounter difficulty in enforcing, or be unable to enforce, our rights in our trademarks, trade names and service marks against third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intellectual property and proprietary technology, inventions, improvements and products, please see the section on "Risk Factors—Risks Related to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MSK Agreements</w:t>
      </w:r>
    </w:p>
    <w:p>
      <w:pPr>
        <w:spacing w:after="0" w:line="225"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On August 20, 2015, we entered into the MSK License,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know-how, and nonexclusive with respect to MSK's rights in such know-how and related intellectual property rights. The patents and patent applications covered by the MSK License are directed, in part, to the naxitamab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anti-dilution rights to MSK as further described below. In addition, we are required to pay to MSK certain royalty and milestone payments. We recorded a total expense of $285,700 for the shares of common stock issued to MSK in 2015 based on the estimated fair value of the shares of common stock of $0.20 per share at issuance date.</w:t>
      </w:r>
    </w:p>
    <w:p>
      <w:pPr>
        <w:spacing w:after="0" w:line="177" w:lineRule="exact"/>
        <w:rPr>
          <w:sz w:val="20"/>
          <w:szCs w:val="20"/>
          <w:color w:val="auto"/>
        </w:rPr>
      </w:pPr>
    </w:p>
    <w:p>
      <w:pPr>
        <w:ind w:right="40" w:firstLine="615"/>
        <w:spacing w:after="0" w:line="268" w:lineRule="auto"/>
        <w:rPr>
          <w:sz w:val="20"/>
          <w:szCs w:val="20"/>
          <w:color w:val="auto"/>
        </w:rPr>
      </w:pPr>
      <w:r>
        <w:rPr>
          <w:rFonts w:ascii="Arial" w:cs="Arial" w:eastAsia="Arial" w:hAnsi="Arial"/>
          <w:sz w:val="18"/>
          <w:szCs w:val="18"/>
          <w:color w:val="auto"/>
        </w:rPr>
        <w:t>Pursuant to our MSK License and MSK CD33 License, as of December 31, 2017, we have rights to approximately 10 issued U.S. patents, approximately six pending U.S. patent applications,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patents and patent applications in jurisdictions outside the United States. Upon entering the MSK License, we made an upfront payment to MSK, and we are required to make to MSK certain royalty payments, including minimum annual royalty payments commencing on the fifth anniversary of the MSK License, which are fully creditable against earned royalties.</w:t>
      </w:r>
    </w:p>
    <w:p>
      <w:pPr>
        <w:spacing w:after="0" w:line="194" w:lineRule="exact"/>
        <w:rPr>
          <w:sz w:val="20"/>
          <w:szCs w:val="20"/>
          <w:color w:val="auto"/>
        </w:rPr>
      </w:pPr>
    </w:p>
    <w:p>
      <w:pPr>
        <w:ind w:right="220" w:firstLine="611"/>
        <w:spacing w:after="0" w:line="303" w:lineRule="auto"/>
        <w:rPr>
          <w:sz w:val="20"/>
          <w:szCs w:val="20"/>
          <w:color w:val="auto"/>
        </w:rPr>
      </w:pPr>
      <w:r>
        <w:rPr>
          <w:rFonts w:ascii="Arial" w:cs="Arial" w:eastAsia="Arial" w:hAnsi="Arial"/>
          <w:sz w:val="15"/>
          <w:szCs w:val="15"/>
          <w:color w:val="auto"/>
        </w:rPr>
        <w:t>The MSK License requires us to pay to MSK mid to high single-digit royalties based on annual net sales of licensed products or the performance of licensed services by us and our affiliates and sublicensees. We are required to pay annual minimum royalties of $80,000 over the royalty term, starting in 2020, which amounts are non-refundable but are creditable against royalty payments otherwise due thereunder. Total expensed minimum royalty payments under the</w:t>
      </w:r>
    </w:p>
    <w:p>
      <w:pPr>
        <w:spacing w:after="0" w:line="1"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MSK License were $1,200,000 in 2016 and $</w:t>
      </w:r>
      <w:r>
        <w:rPr>
          <w:sz w:val="20"/>
          <w:szCs w:val="20"/>
          <w:color w:val="auto"/>
        </w:rPr>
        <w:tab/>
      </w:r>
      <w:r>
        <w:rPr>
          <w:rFonts w:ascii="Arial" w:cs="Arial" w:eastAsia="Arial" w:hAnsi="Arial"/>
          <w:sz w:val="15"/>
          <w:szCs w:val="15"/>
          <w:color w:val="auto"/>
        </w:rPr>
        <w:t>in 2017, all of which were recorded as long-term accrued liabilities as of December 31, 2016 and December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 2017, respectively, upon determination that the payment of such minimum royalties was probable and the amount was estimable. We are also obligated to pay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MSK certain clinical, regulatory and sales-based milestone payments under the MSK License, which payments become due upon achievement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regulatory or sales-based milestones. Certain of these clinical and regulatory milestone payments become due at the earlier of completion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activity or the date indicated in the MSK License. Total potential clinical and regulatory milestones potentially due under the MSK License 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$2,450,000 and $9,000,000, respectively. There are also sales-based milestones that become due should we achieve certain amounts of sales of licensed products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license arrangement with MSK, with total potential sales-based milestones potentially due of $20,000,000. We have not entered into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sublicenses related to the MSK License. As product candidates progress through clinical development, regulatory approval and commercialization,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will come due either as a result of the milestones having been met or the passage of time even if the milestones have not been met. We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owe MSK mid to high single digit royalties on commercial sales of our approved products, including an annual fixed minimum royalty of $80,000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royalty term starting in 2020 whether or not product sales are ever achieved. In addition, to the extent we enter into sublicense arrangements, we are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to MSK a percentage of certain payments that we receive from sublicensees of the rights licensed to us by MSK, which percentage will be based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we receive such payments or the achievement of certain clinical milestones. Additionally, the terms of our MSK License and MSK CD33 License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MSK is entitled to receive 40-50% of any income generated from the sale of any PRV or the sale of any other comparable incentives provided by any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jurisdiction that we may receive.</w:t>
      </w:r>
    </w:p>
    <w:p>
      <w:pPr>
        <w:spacing w:after="0" w:line="219"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MSK License will expire, on a country-by-country basis, and on a licensed-product-by-licensed-product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70"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In connection with these arrangements, on August 20, 2015 we also entered into a letter agreement with MSK pursuant to which we issued to MSK 1,428,500 shares of our common stock and agreed that if in the future we issued any shares of its capital stock, we would issue sufficient shares of common stock to MSK such that at all times prior to us obtaining equity financing equal to or greater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than $25,000,000 in the aggregate, MSK shall hold shares of our common stock equal to 12.5% of the issued and outstanding shares of common stock (assuming full conversion or exercise of all outstanding preferred stock and other convertible securities, rights, options and warrants). Following issuances of our common stock in 2016, we issued to MSK an additional 479,328 on May 20, 2016 and 520,601 shares on August 20, 2016 in order for MSK to maintain the 12.5% ownership interest. As of December 31, 2016, MSK no longer has the right to receive additional shares of our common stock under the MSK License. Our failure to meet certain conditions under the MSK License could cause the related license to such licensed product to be canceled and could result in termination of the MSK License by MSK.</w:t>
      </w:r>
    </w:p>
    <w:p>
      <w:pPr>
        <w:spacing w:after="0" w:line="198"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color w:val="auto"/>
        </w:rPr>
        <w:t>On November 10, 2015, we entered into the Sponsored Research Agreement, or the SRA, with MSK pursuant to which we committed to provide aggregate research funding to MSK of certain amounts annually for a term of five years. The research will be conducted in accordance with a written plan and budget approved by the parties. We have been granted a non-exclusive, non-commercial, non-transferable, royalty-free license to use any inventions or discoveries developed by MSK personnel that is within the scope of the information resulting from the project, for our internal, non-commercial research purposes. We have also been granted a first option to negotiate an exclusive or non-exclusive commercial license to MSK's rights in inventions developed by MSK personnel and a first option to negotiate an exclusive license to MSK's rights in inventions jointly developed by MSK and our personnel. The term of the SRA shall continue until the activities set forth in each statement of work entered into under the SRA are completed. The SRA may be terminated by either party upon prior written notice. During 2016, we incurred research and development expenses of $1,099,000 under the SRA.</w:t>
      </w:r>
    </w:p>
    <w:p>
      <w:pPr>
        <w:spacing w:after="0" w:line="172"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On September 20, 2016, we entered into a Master Data Services Agreement, or the MDSA, with MSK pursuant to which we committed to make certain payments to MSK annually in exchange for certain services, including transfer of clinical data and databases, regulatory files and other know-how to us by employees at MSK who are specifically assigned to assist with such services to us. Either party may terminate the MDSA upon prior written notice in the event of an uncured material breach. During 2016, we incurred expenses of $265,000 under the MDSA.</w:t>
      </w:r>
    </w:p>
    <w:p>
      <w:pPr>
        <w:spacing w:after="0" w:line="167" w:lineRule="exact"/>
        <w:rPr>
          <w:sz w:val="20"/>
          <w:szCs w:val="20"/>
          <w:color w:val="auto"/>
        </w:rPr>
      </w:pPr>
    </w:p>
    <w:p>
      <w:pPr>
        <w:ind w:right="40" w:firstLine="605"/>
        <w:spacing w:after="0" w:line="288" w:lineRule="auto"/>
        <w:rPr>
          <w:sz w:val="20"/>
          <w:szCs w:val="20"/>
          <w:color w:val="auto"/>
        </w:rPr>
      </w:pPr>
      <w:r>
        <w:rPr>
          <w:rFonts w:ascii="Arial" w:cs="Arial" w:eastAsia="Arial" w:hAnsi="Arial"/>
          <w:sz w:val="16"/>
          <w:szCs w:val="16"/>
          <w:color w:val="auto"/>
        </w:rPr>
        <w:t>Also, on June 21, 2017, we entered into the Investigator-Sponsored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non-exclusive, non-transferable, worldwide, royalty-free license, without right to sublicense, to use any inventions or discoveries developed by personnel of each such party, that is within the scope of the information resulting from the relevant study, for the other party's internal, non-commercial research purposes until such Invention is commercially available. We have also been granted a first option to negotiate an exclusive or non-exclusive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w:t>
      </w:r>
    </w:p>
    <w:p>
      <w:pPr>
        <w:spacing w:after="0" w:line="174" w:lineRule="exact"/>
        <w:rPr>
          <w:sz w:val="20"/>
          <w:szCs w:val="20"/>
          <w:color w:val="auto"/>
        </w:rPr>
      </w:pPr>
    </w:p>
    <w:p>
      <w:pPr>
        <w:ind w:right="460" w:firstLine="615"/>
        <w:spacing w:after="0" w:line="294" w:lineRule="auto"/>
        <w:rPr>
          <w:sz w:val="20"/>
          <w:szCs w:val="20"/>
          <w:color w:val="auto"/>
        </w:rPr>
      </w:pPr>
      <w:r>
        <w:rPr>
          <w:rFonts w:ascii="Arial" w:cs="Arial" w:eastAsia="Arial" w:hAnsi="Arial"/>
          <w:sz w:val="16"/>
          <w:szCs w:val="16"/>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 project up to the date of termination including all non-cancelable obligations following receipt from MSK of any completed or in-process deliverables in connection with the project.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On November 13, 2017, we entered into a license agreement, or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in connection with certain CD33 antibodies generated in a specific principal investigator's laboratory at MSK and constructs thereof. The MSK CD33 License is exclusive with respect to such patent rights and tangible materials within such know-how, and nonexclusive with respect to MSK's rights in such know-how and related intellectual property rights. As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if any, including a fixed minimum royalty whether or not product sales are ever achieved. Total potential milestones due under the MSK CD33 License are $550,000, $500,000 and $7,500,000 for clinical, regulatory and sales based milestones, respectively. In addition, the MSK CD33 License contains minimum royalty payments that become due beginning in year 10 of $40,000 per year prior, subject to increase and creditable against any royalty payments due based on sales in the future. We are required to pay mid to high single digit royalties on sales of licensed products. We also agreed to pay MSK approximately $1,360,000 for research services related to the intellectual property licensed under the MSK CD33 License. The research services are expected to occur over the two year period immediately following the date of the MSK CD33 License.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40" w:firstLine="611"/>
        <w:spacing w:after="0" w:line="253"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62"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cGLP regulation;</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Good Clinical Practices, or cGCPs; and</w:t>
      </w:r>
    </w:p>
    <w:p>
      <w:pPr>
        <w:spacing w:after="0" w:line="174"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which must be updated annually when significant changes are made.</w:t>
      </w:r>
    </w:p>
    <w:p>
      <w:pPr>
        <w:spacing w:after="0" w:line="186"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2"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39" w:lineRule="exact"/>
        <w:rPr>
          <w:sz w:val="20"/>
          <w:szCs w:val="20"/>
          <w:color w:val="auto"/>
        </w:rPr>
      </w:pPr>
    </w:p>
    <w:p>
      <w:pPr>
        <w:jc w:val="both"/>
        <w:ind w:left="1080" w:right="300" w:hanging="532"/>
        <w:spacing w:after="0" w:line="306"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Phase 1</w:t>
      </w:r>
      <w:r>
        <w:rPr>
          <w:rFonts w:ascii="Arial" w:cs="Arial" w:eastAsia="Arial" w:hAnsi="Arial"/>
          <w:sz w:val="16"/>
          <w:szCs w:val="16"/>
          <w:color w:val="auto"/>
        </w:rPr>
        <w:t>—The investigational product is initially introduced into healthy human patients with the target disease or condition. These studies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test the safety, dosage tolerance, absorption, metabolism and distribution of the investigational product in humans, the side effects associated with increasing doses, and, if possible, to gain early evidence on effectiveness.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06"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—The investigational product is administered to a limited patient population with a specified disease or condition to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87" w:lineRule="exact"/>
        <w:rPr>
          <w:rFonts w:ascii="Arial" w:cs="Arial" w:eastAsia="Arial" w:hAnsi="Arial"/>
          <w:sz w:val="16"/>
          <w:szCs w:val="16"/>
          <w:color w:val="auto"/>
        </w:rPr>
      </w:pPr>
    </w:p>
    <w:p>
      <w:pPr>
        <w:ind w:left="1080" w:right="360" w:hanging="532"/>
        <w:spacing w:after="0" w:line="256"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 statistically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7"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Once a BLA has been submitted, the FDA's goal is to review the application within 10 months after it accepts the application for filing, or, if the application relates to an unmet medical need in a serious or life-threatening indication, six months after the FDA accepts the application for filing.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67"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74" w:lineRule="exact"/>
        <w:rPr>
          <w:sz w:val="20"/>
          <w:szCs w:val="20"/>
          <w:color w:val="auto"/>
        </w:rPr>
      </w:pPr>
    </w:p>
    <w:p>
      <w:pPr>
        <w:ind w:right="180" w:firstLine="605"/>
        <w:spacing w:after="0" w:line="288"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174" w:lineRule="exact"/>
        <w:rPr>
          <w:sz w:val="20"/>
          <w:szCs w:val="20"/>
          <w:color w:val="auto"/>
        </w:rPr>
      </w:pPr>
    </w:p>
    <w:p>
      <w:pPr>
        <w:jc w:val="both"/>
        <w:ind w:right="360" w:firstLine="615"/>
        <w:spacing w:after="0" w:line="259" w:lineRule="auto"/>
        <w:rPr>
          <w:sz w:val="20"/>
          <w:szCs w:val="20"/>
          <w:color w:val="auto"/>
        </w:rPr>
      </w:pPr>
      <w:r>
        <w:rPr>
          <w:rFonts w:ascii="Arial" w:cs="Arial" w:eastAsia="Arial" w:hAnsi="Arial"/>
          <w:sz w:val="18"/>
          <w:szCs w:val="18"/>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rarity, or prevalence of the condition and the availability or lack of alternative treatments. Post-marketing studies or completion of ongoing studies after marketing approval are generally required to verify the biologic's clinical benefit in relationship to the surrogate objective or ultimate outcome in relationship to the clinical benefit. In addition,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end-of-Phase 2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Fast Track designation, priority review and BTD do not change the standards for approval but may expedite the development or approval process.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identify of the therapeutic agent and its potential orphan use are disclosed publicly by the FDA.</w:t>
      </w:r>
    </w:p>
    <w:p>
      <w:pPr>
        <w:spacing w:after="0" w:line="170"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72" w:lineRule="exact"/>
        <w:rPr>
          <w:sz w:val="20"/>
          <w:szCs w:val="20"/>
          <w:color w:val="auto"/>
        </w:rPr>
      </w:pPr>
    </w:p>
    <w:p>
      <w:pPr>
        <w:ind w:right="340" w:firstLine="605"/>
        <w:spacing w:after="0" w:line="332" w:lineRule="auto"/>
        <w:rPr>
          <w:sz w:val="20"/>
          <w:szCs w:val="20"/>
          <w:color w:val="auto"/>
        </w:rPr>
      </w:pPr>
      <w:r>
        <w:rPr>
          <w:rFonts w:ascii="Arial" w:cs="Arial" w:eastAsia="Arial" w:hAnsi="Arial"/>
          <w:sz w:val="16"/>
          <w:szCs w:val="16"/>
          <w:color w:val="auto"/>
        </w:rPr>
        <w:t>A designated orphan drug many not receive orphan drug exclusivity if it is approved for a use that is broader than the indication for which it received ODD. In addition, orphan drug exclusive marketing rights in the United States may be lost if the FDA later determines that the request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designation was materially defective or if the manufacturer is unable to assure sufficient quantities of the product to meet the needs of patients with the rare disease or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w:t>
      </w:r>
    </w:p>
    <w:p>
      <w:pPr>
        <w:spacing w:after="0" w:line="225"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transferrable and can be sold to any company, who in turn can redeem the PRV for priority review of a marketing application in six months, compared to the standard timeframe of approximately ten months. In December 2016, the House of Representatives approved the 21st Century Cures Act, which among other initiatives reauthorizes the PRV Program for rare pediatric diseases until 2020. A drug that receives a RPDD before October 1, 2020 continues to be eligible for a PRV if the drug is approved before October 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60" w:firstLine="605"/>
        <w:spacing w:after="0" w:line="306" w:lineRule="auto"/>
        <w:rPr>
          <w:sz w:val="20"/>
          <w:szCs w:val="20"/>
          <w:color w:val="auto"/>
        </w:rPr>
      </w:pPr>
      <w:r>
        <w:rPr>
          <w:rFonts w:ascii="Arial" w:cs="Arial" w:eastAsia="Arial" w:hAnsi="Arial"/>
          <w:sz w:val="15"/>
          <w:szCs w:val="15"/>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16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08"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products intended to treat a serious or life-threatening disease or condition, the FDA must, upon the request of an applicant, meet to discuss preparation of the initial pediatric study plan or to discuss deferral or waiver of pediatric assessments.</w:t>
      </w:r>
    </w:p>
    <w:p>
      <w:pPr>
        <w:spacing w:after="0" w:line="172"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97" w:lineRule="exact"/>
        <w:rPr>
          <w:sz w:val="20"/>
          <w:szCs w:val="20"/>
          <w:color w:val="auto"/>
        </w:rPr>
      </w:pPr>
    </w:p>
    <w:p>
      <w:pPr>
        <w:ind w:right="80" w:firstLine="611"/>
        <w:spacing w:after="0" w:line="255"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211" w:lineRule="exact"/>
        <w:rPr>
          <w:sz w:val="20"/>
          <w:szCs w:val="20"/>
          <w:color w:val="auto"/>
        </w:rPr>
      </w:pPr>
    </w:p>
    <w:p>
      <w:pPr>
        <w:ind w:left="1080" w:hanging="532"/>
        <w:spacing w:after="0" w:line="256"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224"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207" w:lineRule="exact"/>
        <w:rPr>
          <w:rFonts w:ascii="Arial" w:cs="Arial" w:eastAsia="Arial" w:hAnsi="Arial"/>
          <w:sz w:val="18"/>
          <w:szCs w:val="18"/>
          <w:color w:val="auto"/>
        </w:rPr>
      </w:pPr>
    </w:p>
    <w:p>
      <w:pPr>
        <w:ind w:left="1080" w:right="220" w:hanging="532"/>
        <w:spacing w:after="0" w:line="298"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193" w:lineRule="exact"/>
        <w:rPr>
          <w:rFonts w:ascii="Arial" w:cs="Arial" w:eastAsia="Arial" w:hAnsi="Arial"/>
          <w:sz w:val="16"/>
          <w:szCs w:val="16"/>
          <w:color w:val="auto"/>
        </w:rPr>
      </w:pPr>
    </w:p>
    <w:p>
      <w:pPr>
        <w:ind w:left="1080" w:right="80" w:hanging="532"/>
        <w:spacing w:after="0" w:line="294"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color w:val="auto"/>
        </w:rPr>
        <w:t>transfers of value to physicians and teaching hospitals and information regarding ownership and investment interests held by physicians and their immediate family members; and</w:t>
      </w:r>
    </w:p>
    <w:p>
      <w:pPr>
        <w:spacing w:after="0" w:line="199" w:lineRule="exact"/>
        <w:rPr>
          <w:sz w:val="20"/>
          <w:szCs w:val="20"/>
          <w:color w:val="auto"/>
        </w:rPr>
      </w:pPr>
    </w:p>
    <w:p>
      <w:pPr>
        <w:ind w:left="1080" w:right="56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6"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40" w:firstLine="605"/>
        <w:spacing w:after="0" w:line="298" w:lineRule="auto"/>
        <w:rPr>
          <w:sz w:val="20"/>
          <w:szCs w:val="20"/>
          <w:color w:val="auto"/>
        </w:rPr>
      </w:pPr>
      <w:r>
        <w:rPr>
          <w:rFonts w:ascii="Arial" w:cs="Arial" w:eastAsia="Arial" w:hAnsi="Arial"/>
          <w:sz w:val="16"/>
          <w:szCs w:val="16"/>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Although we currently believe that third-party payors will provide coverage and reimbursement for our product candidates, if approved, these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authorization by these authorities before the product can be marketed and sold in the European Union.</w:t>
      </w:r>
    </w:p>
    <w:p>
      <w:pPr>
        <w:spacing w:after="0" w:line="225"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7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April 2014, the new Clinical Trials Regulation, (EU) No 536/2014, or the Clinical Trials Regulation, was adopted, and is anticipated to enter into force in 2019.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4"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72" w:lineRule="exact"/>
        <w:rPr>
          <w:sz w:val="20"/>
          <w:szCs w:val="20"/>
          <w:color w:val="auto"/>
        </w:rPr>
      </w:pPr>
    </w:p>
    <w:p>
      <w:pPr>
        <w:ind w:right="400" w:firstLine="611"/>
        <w:spacing w:after="0" w:line="314" w:lineRule="auto"/>
        <w:rPr>
          <w:sz w:val="20"/>
          <w:szCs w:val="20"/>
          <w:color w:val="auto"/>
        </w:rPr>
      </w:pPr>
      <w:r>
        <w:rPr>
          <w:rFonts w:ascii="Arial" w:cs="Arial" w:eastAsia="Arial" w:hAnsi="Arial"/>
          <w:sz w:val="15"/>
          <w:szCs w:val="15"/>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59"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94" w:lineRule="exact"/>
        <w:rPr>
          <w:sz w:val="20"/>
          <w:szCs w:val="20"/>
          <w:color w:val="auto"/>
        </w:rPr>
      </w:pPr>
    </w:p>
    <w:p>
      <w:pPr>
        <w:ind w:right="40" w:firstLine="615"/>
        <w:spacing w:after="0" w:line="283"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8"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ind w:right="220" w:firstLine="611"/>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ind w:right="340" w:firstLine="615"/>
        <w:spacing w:after="0" w:line="298"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(abbreviated) application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a period of eight years. During an additional two-year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72" w:lineRule="exact"/>
        <w:rPr>
          <w:sz w:val="20"/>
          <w:szCs w:val="20"/>
          <w:color w:val="auto"/>
        </w:rPr>
      </w:pPr>
    </w:p>
    <w:p>
      <w:pPr>
        <w:ind w:firstLine="605"/>
        <w:spacing w:after="0" w:line="289"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 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72" w:lineRule="exact"/>
        <w:rPr>
          <w:sz w:val="20"/>
          <w:szCs w:val="20"/>
          <w:color w:val="auto"/>
        </w:rPr>
      </w:pPr>
    </w:p>
    <w:p>
      <w:pPr>
        <w:ind w:firstLine="615"/>
        <w:spacing w:after="0" w:line="252" w:lineRule="auto"/>
        <w:rPr>
          <w:sz w:val="20"/>
          <w:szCs w:val="20"/>
          <w:color w:val="auto"/>
        </w:rPr>
      </w:pPr>
      <w:r>
        <w:rPr>
          <w:rFonts w:ascii="Arial" w:cs="Arial" w:eastAsia="Arial" w:hAnsi="Arial"/>
          <w:sz w:val="18"/>
          <w:szCs w:val="18"/>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99" w:lineRule="exact"/>
        <w:rPr>
          <w:sz w:val="20"/>
          <w:szCs w:val="20"/>
          <w:color w:val="auto"/>
        </w:rPr>
      </w:pPr>
    </w:p>
    <w:p>
      <w:pPr>
        <w:ind w:left="1080" w:right="50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ind w:left="1080" w:right="20" w:hanging="532"/>
        <w:spacing w:after="0" w:line="254"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21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94"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Treaty of Lisbon Amending the Treaty on European Union and the Treaty Establishing the European Community. The withdrawal of the United Kingdom from the European Union will take effect either on the effective date of the withdrawal agreement or, in the absence of agreement, two years after the United Kingdom provides a notice of withdrawal pursuant to the Treaty on European Union.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380" w:firstLine="605"/>
        <w:spacing w:after="0" w:line="306" w:lineRule="auto"/>
        <w:rPr>
          <w:sz w:val="20"/>
          <w:szCs w:val="20"/>
          <w:color w:val="auto"/>
        </w:rPr>
      </w:pPr>
      <w:r>
        <w:rPr>
          <w:rFonts w:ascii="Arial" w:cs="Arial" w:eastAsia="Arial" w:hAnsi="Arial"/>
          <w:sz w:val="16"/>
          <w:szCs w:val="16"/>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61" w:lineRule="exact"/>
        <w:rPr>
          <w:sz w:val="20"/>
          <w:szCs w:val="20"/>
          <w:color w:val="auto"/>
        </w:rPr>
      </w:pPr>
    </w:p>
    <w:p>
      <w:pPr>
        <w:ind w:right="140" w:firstLine="615"/>
        <w:spacing w:after="0" w:line="332" w:lineRule="auto"/>
        <w:rPr>
          <w:sz w:val="20"/>
          <w:szCs w:val="20"/>
          <w:color w:val="auto"/>
        </w:rPr>
      </w:pPr>
      <w:r>
        <w:rPr>
          <w:rFonts w:ascii="Arial" w:cs="Arial" w:eastAsia="Arial" w:hAnsi="Arial"/>
          <w:sz w:val="16"/>
          <w:szCs w:val="16"/>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right="34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federal poverty level, thereby potentially increasing a manufacturer's Medicaid rebate liability; and</w:t>
      </w:r>
    </w:p>
    <w:p>
      <w:pPr>
        <w:spacing w:after="0" w:line="239" w:lineRule="exact"/>
        <w:rPr>
          <w:sz w:val="20"/>
          <w:szCs w:val="20"/>
          <w:color w:val="auto"/>
        </w:rPr>
      </w:pPr>
    </w:p>
    <w:p>
      <w:pPr>
        <w:ind w:left="1080" w:right="34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through 2024 unless additional Congressional action is taken.</w:t>
      </w:r>
    </w:p>
    <w:p>
      <w:pPr>
        <w:spacing w:after="0" w:line="170"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Since its enactment, there have been numerous legal challenges and Congressional actions to repeal and replace provisions of the ACA. 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60" w:firstLine="605"/>
        <w:spacing w:after="0" w:line="298" w:lineRule="auto"/>
        <w:rPr>
          <w:sz w:val="20"/>
          <w:szCs w:val="20"/>
          <w:color w:val="auto"/>
        </w:rPr>
      </w:pPr>
      <w:r>
        <w:rPr>
          <w:rFonts w:ascii="Arial" w:cs="Arial" w:eastAsia="Arial" w:hAnsi="Arial"/>
          <w:sz w:val="16"/>
          <w:szCs w:val="16"/>
          <w:color w:val="auto"/>
        </w:rPr>
        <w:t>As of December 31, 2017, we had 12 full time employees. The members of our management team are employed by both our company and Y-mAbs Therapeutics A/S, our wholly owned Danish subsidiary. As our development and commercialization plans and strategies develop, we intend to continue adding a number of additional managerial, operational, sales, marketing, financial, and other personnel. None of our employees are represented by labor unions or covered by collective bargaining agreements. We consider our relationship with our employees to be good.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color w:val="auto"/>
        </w:rPr>
        <w:t>Our corporate headquarters are located in New York, New York, where we currently lease less than 1,000 square feet of office space pursuant to a lease renewal agreement expiring in May 2018, which is automatically renewed for successive periods equal to the current term but no less than three months unless terminated by either party upon at least three months' notice to the other. In March 2018 or soon thereafter, we expect to begin the process of transitioning to a new office space where we have leased 4,312 square feet pursuant to a new lease agreement dated as of January 10, 2018, which expires five years from the date we first begin to occupy the premises.</w:t>
      </w:r>
    </w:p>
    <w:p>
      <w:pPr>
        <w:spacing w:after="0" w:line="197" w:lineRule="exact"/>
        <w:rPr>
          <w:sz w:val="20"/>
          <w:szCs w:val="20"/>
          <w:color w:val="auto"/>
        </w:rPr>
      </w:pPr>
    </w:p>
    <w:p>
      <w:pPr>
        <w:ind w:right="400" w:firstLine="615"/>
        <w:spacing w:after="0" w:line="268" w:lineRule="auto"/>
        <w:rPr>
          <w:sz w:val="20"/>
          <w:szCs w:val="20"/>
          <w:color w:val="auto"/>
        </w:rPr>
      </w:pPr>
      <w:r>
        <w:rPr>
          <w:rFonts w:ascii="Arial" w:cs="Arial" w:eastAsia="Arial" w:hAnsi="Arial"/>
          <w:sz w:val="18"/>
          <w:szCs w:val="18"/>
          <w:color w:val="auto"/>
        </w:rPr>
        <w:t>Our wholly owned Danish subsidiary, Y-mAbs Therapeutics A/S, leases approximately 1450 square feet of office space in Rungsted Kyst, Denmark pursuant to a lease agreement with one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largest shareholders dated as of May 30, 2016, which can be terminated by either party upon three months' notice. On April 1, 2018, we expect to begin the process of transitioning to a new office space where we have leased 7,373 square feet pursuant to a new lease agreement dated February 2, 2018, which expires on March 1, 2021 and may subsequently be cancelled by us with six months notice by September 2021. The landlord may not terminate the lease until March 1, 2024.</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believe that suitable additional or alternative space for either location would be available as required in the future on commercially reasonable terms.</w:t>
      </w:r>
    </w:p>
    <w:p>
      <w:pPr>
        <w:spacing w:after="0" w:line="260" w:lineRule="exact"/>
        <w:rPr>
          <w:sz w:val="20"/>
          <w:szCs w:val="20"/>
          <w:color w:val="auto"/>
        </w:rPr>
      </w:pPr>
    </w:p>
    <w:p>
      <w:pPr>
        <w:ind w:right="860" w:firstLine="611"/>
        <w:spacing w:after="0" w:line="268" w:lineRule="auto"/>
        <w:rPr>
          <w:sz w:val="20"/>
          <w:szCs w:val="20"/>
          <w:color w:val="auto"/>
        </w:rPr>
      </w:pPr>
      <w:r>
        <w:rPr>
          <w:rFonts w:ascii="Arial" w:cs="Arial" w:eastAsia="Arial" w:hAnsi="Arial"/>
          <w:sz w:val="18"/>
          <w:szCs w:val="18"/>
          <w:color w:val="auto"/>
        </w:rPr>
        <w:t>We believe that suitable additional or alternative space for both our U.S. and Danish locations would be available as required in the future on commercially reasonable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legal proceedings, and we are not aware of any pending or threatened legal proceeding against us that we believe could have an adverse effect on our business, operating results or financial condition.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executive officers and directors, and their ages and positions as of December 31, 2017 are as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83"/>
              </w:rPr>
              <w:t>Name</w:t>
            </w:r>
          </w:p>
        </w:tc>
        <w:tc>
          <w:tcPr>
            <w:tcW w:w="3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Age</w:t>
            </w:r>
          </w:p>
        </w:tc>
        <w:tc>
          <w:tcPr>
            <w:tcW w:w="514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Thomas Gad(3)</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5140" w:type="dxa"/>
            <w:vAlign w:val="bottom"/>
          </w:tcPr>
          <w:p>
            <w:pPr>
              <w:spacing w:after="0"/>
              <w:rPr>
                <w:sz w:val="20"/>
                <w:szCs w:val="20"/>
                <w:color w:val="auto"/>
              </w:rPr>
            </w:pPr>
            <w:r>
              <w:rPr>
                <w:rFonts w:ascii="Arial" w:cs="Arial" w:eastAsia="Arial" w:hAnsi="Arial"/>
                <w:sz w:val="18"/>
                <w:szCs w:val="18"/>
                <w:color w:val="auto"/>
                <w:w w:val="99"/>
              </w:rPr>
              <w:t>Founder, Chairman of the Board of Directors, President, Head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Business Development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Claus Juan Møller San Pedro, M.D., Ph.D.</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Bo Kruse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5140" w:type="dxa"/>
            <w:vAlign w:val="bottom"/>
          </w:tcPr>
          <w:p>
            <w:pPr>
              <w:spacing w:after="0"/>
              <w:rPr>
                <w:sz w:val="20"/>
                <w:szCs w:val="20"/>
                <w:color w:val="auto"/>
              </w:rPr>
            </w:pPr>
            <w:r>
              <w:rPr>
                <w:rFonts w:ascii="Arial" w:cs="Arial" w:eastAsia="Arial" w:hAnsi="Arial"/>
                <w:sz w:val="18"/>
                <w:szCs w:val="18"/>
                <w:color w:val="auto"/>
                <w:w w:val="91"/>
              </w:rPr>
              <w:t>Executive Vice President, Secretary, Treasurer, Chief Financial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Director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Torben Lund-Hansen, Ph.D.</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Head of Technical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Steen Lisby, M.D., DMSc</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Medical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Joris Wiel Jan Wilms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Chief Operating Officer</w:t>
            </w:r>
          </w:p>
        </w:tc>
        <w:tc>
          <w:tcPr>
            <w:tcW w:w="0" w:type="dxa"/>
            <w:vAlign w:val="bottom"/>
          </w:tcPr>
          <w:p>
            <w:pPr>
              <w:spacing w:after="0"/>
              <w:rPr>
                <w:sz w:val="1"/>
                <w:szCs w:val="1"/>
                <w:color w:val="auto"/>
              </w:rPr>
            </w:pPr>
          </w:p>
        </w:tc>
      </w:tr>
      <w:tr>
        <w:trPr>
          <w:trHeight w:val="430"/>
        </w:trPr>
        <w:tc>
          <w:tcPr>
            <w:tcW w:w="54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Johan Wedell-Wedellsborg(2)</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Gregory Raskin, M.D.(1)(3)</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51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Buschle, Ph.D.(2)(3)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James I. Healy, M.D.(2)</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51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Ashutosh Tyagi, M.D.(1)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David N. Gill(1)</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51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2"/>
        </w:trPr>
        <w:tc>
          <w:tcPr>
            <w:tcW w:w="340" w:type="dxa"/>
            <w:vAlign w:val="bottom"/>
            <w:tcBorders>
              <w:bottom w:val="single" w:sz="8" w:color="auto"/>
            </w:tcBorders>
            <w:gridSpan w:val="2"/>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340" w:type="dxa"/>
            <w:vAlign w:val="bottom"/>
            <w:gridSpan w:val="2"/>
          </w:tcPr>
          <w:p>
            <w:pPr>
              <w:spacing w:after="0"/>
              <w:rPr>
                <w:sz w:val="20"/>
                <w:szCs w:val="20"/>
                <w:color w:val="auto"/>
              </w:rPr>
            </w:pPr>
            <w:r>
              <w:rPr>
                <w:rFonts w:ascii="Arial" w:cs="Arial" w:eastAsia="Arial" w:hAnsi="Arial"/>
                <w:sz w:val="18"/>
                <w:szCs w:val="18"/>
                <w:color w:val="auto"/>
              </w:rPr>
              <w:t>(1)</w:t>
            </w: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Member of audit committee.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0" w:type="dxa"/>
            <w:vAlign w:val="bottom"/>
            <w:gridSpan w:val="2"/>
          </w:tcPr>
          <w:p>
            <w:pPr>
              <w:spacing w:after="0"/>
              <w:rPr>
                <w:sz w:val="20"/>
                <w:szCs w:val="20"/>
                <w:color w:val="auto"/>
              </w:rPr>
            </w:pPr>
            <w:r>
              <w:rPr>
                <w:rFonts w:ascii="Arial" w:cs="Arial" w:eastAsia="Arial" w:hAnsi="Arial"/>
                <w:sz w:val="18"/>
                <w:szCs w:val="18"/>
                <w:color w:val="auto"/>
              </w:rPr>
              <w:t>(2)</w:t>
            </w: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Member of compensation committee.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0" w:type="dxa"/>
            <w:vAlign w:val="bottom"/>
            <w:gridSpan w:val="2"/>
          </w:tcPr>
          <w:p>
            <w:pPr>
              <w:spacing w:after="0"/>
              <w:rPr>
                <w:sz w:val="20"/>
                <w:szCs w:val="20"/>
                <w:color w:val="auto"/>
              </w:rPr>
            </w:pPr>
            <w:r>
              <w:rPr>
                <w:rFonts w:ascii="Arial" w:cs="Arial" w:eastAsia="Arial" w:hAnsi="Arial"/>
                <w:sz w:val="18"/>
                <w:szCs w:val="18"/>
                <w:color w:val="auto"/>
              </w:rPr>
              <w:t>(3)</w:t>
            </w: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w w:val="99"/>
              </w:rPr>
              <w:t>Member of nominating and corporate governance committee.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80" w:firstLine="615"/>
        <w:spacing w:after="0" w:line="288" w:lineRule="auto"/>
        <w:rPr>
          <w:sz w:val="20"/>
          <w:szCs w:val="20"/>
          <w:color w:val="auto"/>
        </w:rPr>
      </w:pPr>
      <w:r>
        <w:rPr>
          <w:rFonts w:ascii="Arial" w:cs="Arial" w:eastAsia="Arial" w:hAnsi="Arial"/>
          <w:sz w:val="16"/>
          <w:szCs w:val="16"/>
          <w:b w:val="1"/>
          <w:bCs w:val="1"/>
          <w:color w:val="auto"/>
        </w:rPr>
        <w:t xml:space="preserve">Thomas Gad </w:t>
      </w:r>
      <w:r>
        <w:rPr>
          <w:rFonts w:ascii="Arial" w:cs="Arial" w:eastAsia="Arial" w:hAnsi="Arial"/>
          <w:sz w:val="16"/>
          <w:szCs w:val="16"/>
          <w:color w:val="auto"/>
        </w:rPr>
        <w:t>founded our company in April 2015 and has served as our Chairman, President and Head of Business Development and Strategy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board of directors since our inception. Mr. Gad founded our company inspired by his daughter, who went through six years of various cancer treatments before receiving breakthrough cancer immunotherapy at MSK and overcoming high-risk NB. He was also responsible for securing executive management and seed capital for our company. Mr. Gad has more than 12 years of industry experience in the pharmaceutical industry, including business development, senior management, financing and licensing negotiations and manufacturing site qualification. Mr. Gad was the founder and sole owner of Y-mAbs Holding, ApS, a personal holding company involved in research and development activities in the pharmaceutical industry from 2014 until the company was placed in liquidation proceedings in 2015. This company is unrelated to our company. He was the co-founder of Singad Pharma, a Danish specialty pharmaceutical and distribution company, from 2003 to 2013. Prior to that, Mr. Gad worked with Aspen Capital Partners/FFC A/S in investment banking from 1998 to 2003 and has extensive experience in raising capital for publicly listed companies. Mr. Gad has a Bachelor of Science in Business Administration from Pepperdine University.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firstLine="615"/>
        <w:spacing w:after="0" w:line="293" w:lineRule="auto"/>
        <w:rPr>
          <w:sz w:val="20"/>
          <w:szCs w:val="20"/>
          <w:color w:val="auto"/>
        </w:rPr>
      </w:pPr>
      <w:r>
        <w:rPr>
          <w:rFonts w:ascii="Arial" w:cs="Arial" w:eastAsia="Arial" w:hAnsi="Arial"/>
          <w:sz w:val="16"/>
          <w:szCs w:val="16"/>
          <w:b w:val="1"/>
          <w:bCs w:val="1"/>
          <w:color w:val="auto"/>
        </w:rPr>
        <w:t xml:space="preserve">Claus Juan Møller San Pedro, M.D., Ph.D. </w:t>
      </w:r>
      <w:r>
        <w:rPr>
          <w:rFonts w:ascii="Arial" w:cs="Arial" w:eastAsia="Arial" w:hAnsi="Arial"/>
          <w:sz w:val="16"/>
          <w:szCs w:val="16"/>
          <w:color w:val="auto"/>
        </w:rPr>
        <w:t>has served as our Chief Executive Officer since June 2015. Dr. Møller was the founder of Azanta A/S, or</w:t>
      </w:r>
      <w:r>
        <w:rPr>
          <w:rFonts w:ascii="Arial" w:cs="Arial" w:eastAsia="Arial" w:hAnsi="Arial"/>
          <w:sz w:val="16"/>
          <w:szCs w:val="16"/>
          <w:b w:val="1"/>
          <w:bCs w:val="1"/>
          <w:color w:val="auto"/>
        </w:rPr>
        <w:t xml:space="preserve"> </w:t>
      </w:r>
      <w:r>
        <w:rPr>
          <w:rFonts w:ascii="Arial" w:cs="Arial" w:eastAsia="Arial" w:hAnsi="Arial"/>
          <w:sz w:val="16"/>
          <w:szCs w:val="16"/>
          <w:color w:val="auto"/>
        </w:rPr>
        <w:t>Azanta, a Danish specialty biopharmaceutical company and its Chief Executive Officer from 2009 to 2015. In addition, Dr. Møller was a co-founder of Genmab A/S, or Genmab, one of the largest European biopharmaceutical companies. Dr. Møller joined Genmab in 1999, where he served as Executive Vice President and Chief Operating Officer until 2008. Dr. Møller has also held previous executive management positions at various biopharmaceutical companies, including Executive Vice President, Chief Medical and Chief Operating Officer of OXiGENE, Inc., and Medical Director of Synthélabo Scandinavia. Dr. Møller received his M.D. and Ph.D. degrees from the University of Copenhagen.</w:t>
      </w:r>
    </w:p>
    <w:p>
      <w:pPr>
        <w:spacing w:after="0" w:line="165"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b w:val="1"/>
          <w:bCs w:val="1"/>
          <w:color w:val="auto"/>
        </w:rPr>
        <w:t xml:space="preserve">Bo Kruse </w:t>
      </w:r>
      <w:r>
        <w:rPr>
          <w:rFonts w:ascii="Arial" w:cs="Arial" w:eastAsia="Arial" w:hAnsi="Arial"/>
          <w:sz w:val="18"/>
          <w:szCs w:val="18"/>
          <w:color w:val="auto"/>
        </w:rPr>
        <w:t>has served as our Executive Vice President, Secretary, Treasurer and Chief Financial Officer since June 2015. Mr. Kruse has broad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finance experience, including knowledge of capital markets, accounting and other financing activities. Prior to joining our company, Mr. Kruse was Azanta's Chief Financial Officer from 2009 to 2015. Further, Mr. Kruse served as Genmab's Vice President and Chief Financial Officer from 2005 to 2008 and Vice President and Chief Accounting Officer from 2000 to 2005. During his tenure at Genmab, Mr. Kruse was directly involved in several financing rounds, including Genmab's initial public offering in 2000. Mr. Kruse has a Master's of Science in Business Economics and Auditing from the Copenhagen Business School.</w:t>
      </w:r>
    </w:p>
    <w:p>
      <w:pPr>
        <w:spacing w:after="0" w:line="193"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b w:val="1"/>
          <w:bCs w:val="1"/>
          <w:color w:val="auto"/>
        </w:rPr>
        <w:t xml:space="preserve">Torben Lund-Hansen, Ph.D. </w:t>
      </w:r>
      <w:r>
        <w:rPr>
          <w:rFonts w:ascii="Arial" w:cs="Arial" w:eastAsia="Arial" w:hAnsi="Arial"/>
          <w:sz w:val="16"/>
          <w:szCs w:val="16"/>
          <w:color w:val="auto"/>
        </w:rPr>
        <w:t>has served as our Senior Vice President, Head of Technical Operations since January 2016. Dr. Lund-Hansen has</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experience in antibody process development, commercial manufacturing and global project management. Dr. Lund-Hansen was Vice President and Head of Manufacturing from 2002 to 2006, Vice President and Head of Manufacturing and Preclinical Saftey from 2006 to 2008, Senior Vice President, Technical Operations from 2008 to 2009 at Genmab and President and Treasurer at Genmab MN Inc. from 2008 to 2009. At Genmab, Dr. Lund-Hansen was responsible for outsourcing of clinical and commercial drug substance and drug product manufacturing. He was also President and Treasurer from 2008 to 2009 of Genmab MN Inc., a wholly owned subsidiary of Genmab located near Minneapolis-St. Paul, Minnesota. Dr. Lund-Hansen has been responsible for compiling technical Chemistry, Manufacturing, and Controls, or CMC, documentation packages submitted to global regulatory agencies followed by approval and launch of several biologics. Dr. Lund-Hansen received his M.Sc. and Ph.D. from the University of Copenhagen.</w:t>
      </w:r>
    </w:p>
    <w:p>
      <w:pPr>
        <w:spacing w:after="0" w:line="166"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b w:val="1"/>
          <w:bCs w:val="1"/>
          <w:color w:val="auto"/>
        </w:rPr>
        <w:t xml:space="preserve">Steen Lisby, M.D., DMSc </w:t>
      </w:r>
      <w:r>
        <w:rPr>
          <w:rFonts w:ascii="Arial" w:cs="Arial" w:eastAsia="Arial" w:hAnsi="Arial"/>
          <w:sz w:val="18"/>
          <w:szCs w:val="18"/>
          <w:color w:val="auto"/>
        </w:rPr>
        <w:t>joined our company in June 2017 as our Senior Vice President and Chief Medical Officer. Dr. Lisby has extensive clinical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scientific experience, and is the author of over 50 scientific peer-reviewed publications in clinical research. Previously, Dr. Lisby was Vice President, Head of Medical at Genmab A/S from 2014 to 2017 and also held other positions there including Senior Medical Director from 2010 to 2014, Medical Director from 2008 to 2010 and Medical Advisor from 2004 to 2007. Dr. Lisby received his M.D. degree from the University of Copenhagen and is a named inventor on seven patent applications.</w:t>
      </w:r>
    </w:p>
    <w:p>
      <w:pPr>
        <w:spacing w:after="0" w:line="193" w:lineRule="exact"/>
        <w:rPr>
          <w:sz w:val="20"/>
          <w:szCs w:val="20"/>
          <w:color w:val="auto"/>
        </w:rPr>
      </w:pPr>
    </w:p>
    <w:p>
      <w:pPr>
        <w:ind w:right="180" w:firstLine="615"/>
        <w:spacing w:after="0" w:line="293" w:lineRule="auto"/>
        <w:rPr>
          <w:sz w:val="20"/>
          <w:szCs w:val="20"/>
          <w:color w:val="auto"/>
        </w:rPr>
      </w:pPr>
      <w:r>
        <w:rPr>
          <w:rFonts w:ascii="Arial" w:cs="Arial" w:eastAsia="Arial" w:hAnsi="Arial"/>
          <w:sz w:val="16"/>
          <w:szCs w:val="16"/>
          <w:b w:val="1"/>
          <w:bCs w:val="1"/>
          <w:color w:val="auto"/>
        </w:rPr>
        <w:t xml:space="preserve">Joris Wiel Jan Wilms </w:t>
      </w:r>
      <w:r>
        <w:rPr>
          <w:rFonts w:ascii="Arial" w:cs="Arial" w:eastAsia="Arial" w:hAnsi="Arial"/>
          <w:sz w:val="16"/>
          <w:szCs w:val="16"/>
          <w:color w:val="auto"/>
        </w:rPr>
        <w:t>has served as our Senior Vice President and Chief Operating Officer since November 2017. Mr. Wilms joined our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2016 as Vice President and Head of Clincial Operations and has extensive industry experience in clinical development, primarily within oncology and hematology indications. Mr. Wilms was at KLIFO A/S, or KLIFO, from 2010 to 2016, where he served as Vice President—Clinical Trial Services and Pharmacovigilance Services, and at Genmab from 2004 to 2010, where he served as Associate Director of Clinical Development from 2008 to 2010. At KLIFO and Genmab, he was responsible for overseeing several first-in-human studies and pivotal clinical trials, leading to the approval of two monoclonal antibody-based products. Mr. Wilms received his M.Sc. in Pharmacy from the University of Groningen in The Netherlands.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Information regarding the members of our Board of Directors who are not also executive officers is set forth below:</w:t>
      </w:r>
    </w:p>
    <w:p>
      <w:pPr>
        <w:spacing w:after="0" w:line="225" w:lineRule="exact"/>
        <w:rPr>
          <w:sz w:val="20"/>
          <w:szCs w:val="20"/>
          <w:color w:val="auto"/>
        </w:rPr>
      </w:pPr>
    </w:p>
    <w:p>
      <w:pPr>
        <w:ind w:right="320" w:firstLine="615"/>
        <w:spacing w:after="0" w:line="254" w:lineRule="auto"/>
        <w:rPr>
          <w:sz w:val="20"/>
          <w:szCs w:val="20"/>
          <w:color w:val="auto"/>
        </w:rPr>
      </w:pPr>
      <w:r>
        <w:rPr>
          <w:rFonts w:ascii="Arial" w:cs="Arial" w:eastAsia="Arial" w:hAnsi="Arial"/>
          <w:sz w:val="18"/>
          <w:szCs w:val="18"/>
          <w:color w:val="auto"/>
        </w:rPr>
        <w:t>Johan Wedell-Wedellsborg has been a member of our Board of Directors since September 2015. Mr. Wedell-Wedellsborg has been the owner and Chairman of the Board of Weco Group A/S, or Weco, one of our principal stockholders, since May 2001. Weco is involved in shipping, investments in biotechnology companies, real estate investments and the financial services industry. Mr. Wedell-Wedellsborg is also the majority owner of WG Biotech ApS, another one of our principal stockholders. We believe that Mr. Wedell-Wedellsborg is qualified to serve on our Board of Directors due to his educational background, his extensive business experience and his experience in investing in the biotechnology and life sciences industry. Mr. Wedell-Wedellsborg is a member of our Compensation Committee.</w:t>
      </w:r>
    </w:p>
    <w:p>
      <w:pPr>
        <w:spacing w:after="0" w:line="19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Gregory Raskin, M.D. has been a member of our Board of Directors since September 2015. Dr. Raskin is Vice President, Technology Development at Memorial Sloan Kettering Cancer Center, where he has worked since 2012. Dr. Raskin holds a B.A. in Molecular Biophysics and Biochemistry and an M.D. from Yale University. We believe that Dr. Raskin is qualified to serve on our Board of Directors due to his educational background and extensive experience in working in the biotechnology and life sciences industry. Dr. Raskin is a member of our Audit Committee and our Nominating and Corporate Governance Committee.</w:t>
      </w:r>
    </w:p>
    <w:p>
      <w:pPr>
        <w:spacing w:after="0" w:line="167" w:lineRule="exact"/>
        <w:rPr>
          <w:sz w:val="20"/>
          <w:szCs w:val="20"/>
          <w:color w:val="auto"/>
        </w:rPr>
      </w:pPr>
    </w:p>
    <w:p>
      <w:pPr>
        <w:ind w:right="80" w:firstLine="615"/>
        <w:spacing w:after="0" w:line="283" w:lineRule="auto"/>
        <w:rPr>
          <w:sz w:val="20"/>
          <w:szCs w:val="20"/>
          <w:color w:val="auto"/>
        </w:rPr>
      </w:pPr>
      <w:r>
        <w:rPr>
          <w:rFonts w:ascii="Arial" w:cs="Arial" w:eastAsia="Arial" w:hAnsi="Arial"/>
          <w:sz w:val="16"/>
          <w:szCs w:val="16"/>
          <w:color w:val="auto"/>
        </w:rPr>
        <w:t>Michael Buschle, Ph.D. has been a member of our Board of Directors since October 2017, representing HBM Healthcare Investments (Cayman) Ltd., or HBM, one of our principal stockholders. Dr. Buschle has over 25 years of experience in the biotechnology and pharmaceutical industry and related research. Since June 2017, Dr. Buschle has been a consultant and venture partner of HBM Partners AG, a private equity company that focuses on biopharmaceutical and other healthcare-related companies in Europe, North America, India and other emerging markets. From April 2006 to December 2016, Dr. Buschle held various positions of increasing seniority with Glenmark Pharmaceuticals Ltd., or Glenmark, including President Biologics and Chief Scientific Officer. Prior to Glenmark, Dr. Buschle held various positions at Intercell AG, or Intercell, a biopharmaceutical company of which he was one of the Co-Founders, including Chief Scientific Officer. Prior to forming Intercell, Dr. Buschle held a position at the pharmaceutical company Boehringer Ingelheim GmbH, Vienna.</w:t>
      </w:r>
    </w:p>
    <w:p>
      <w:pPr>
        <w:ind w:right="60"/>
        <w:spacing w:after="0" w:line="290" w:lineRule="auto"/>
        <w:rPr>
          <w:sz w:val="20"/>
          <w:szCs w:val="20"/>
          <w:color w:val="auto"/>
        </w:rPr>
      </w:pPr>
      <w:r>
        <w:rPr>
          <w:rFonts w:ascii="Arial" w:cs="Arial" w:eastAsia="Arial" w:hAnsi="Arial"/>
          <w:sz w:val="16"/>
          <w:szCs w:val="16"/>
          <w:color w:val="auto"/>
        </w:rPr>
        <w:t>Dr. Buschle's scientific career has included work at the Royal Free Hospital School of Medicine, London, United Kingdom, the St. Jude Children's Research Hospital, Memphis, Tennessee and at the Boehringer Ingelheim-owned Institute of Molecular Pathology, Vienna, Austria. Dr. Buschle holds a Doctorate from the University of London and is the holder of several patents in the field of biotechnology. We believe Dr. Buschle is qualified to serve on our Board of Directors due to his educational background and extensive experience in investing and working in the biotechnology and life sciences industry, as well as his prior service as a senior-level executive in a number of pharmaceutical and biotechnology communities. Dr. Buschle is a member of our Compensation Committee and our Nominating and Corporate Governance Committee.</w:t>
      </w:r>
    </w:p>
    <w:p>
      <w:pPr>
        <w:spacing w:after="0" w:line="172" w:lineRule="exact"/>
        <w:rPr>
          <w:sz w:val="20"/>
          <w:szCs w:val="20"/>
          <w:color w:val="auto"/>
        </w:rPr>
      </w:pPr>
    </w:p>
    <w:p>
      <w:pPr>
        <w:ind w:right="180" w:firstLine="615"/>
        <w:spacing w:after="0" w:line="291" w:lineRule="auto"/>
        <w:rPr>
          <w:sz w:val="20"/>
          <w:szCs w:val="20"/>
          <w:color w:val="auto"/>
        </w:rPr>
      </w:pPr>
      <w:r>
        <w:rPr>
          <w:rFonts w:ascii="Arial" w:cs="Arial" w:eastAsia="Arial" w:hAnsi="Arial"/>
          <w:sz w:val="16"/>
          <w:szCs w:val="16"/>
          <w:color w:val="auto"/>
        </w:rPr>
        <w:t>James I. Healy, M.D., Ph.D. has served as a member of our board of directors since November 2017. Dr. Healy has been a general partner at Sofinnova Ventures, a venture capital firm, since 2000. Prior to Sofinnova Ventures, Dr. Healy held various positions at Sanderling Ventures, a venture capital firm, Bayer Healthcare Pharmaceuticals (as successor to Miles Laboratories), a research based pharmaceutical company and ISTA Pharmaceuticals, Inc., a company specializing in ophthalmic pharmaceutical products. Dr. Healy is currently on the board of directors of Ascendis Pharma A/S, Coherus BioSciences, Inc., Edge Therapeutics, Inc., Obseva SA, Natera, Inc., NuCana plc and several private companies. Previously, Dr. Healy served as a board member of Auris Medical Holding AG, Anthera Pharmaceuticals, Inc., Amarin Corporation plc, Durata Therapeutics, Inc., InterMune,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KaloBios Pharmaceuticals, Inc., Hyperion Therapeutics, Inc., and a number of private companies. Dr. Healy holds a Bachelor of Arts in Molecular Biology and Scandinavian Studies from the University of California at Berkeley, and an M.D. and Ph.D. in Immunology from Stanford University School of Medicine. Our board of directors believes that Dr. Healy is qualified to serve as a director due to his significant medical background, extensive experience investing and working in the life science industry, and his extensive service on the boards of directors of other public and private life sciences companies. Dr. Healy currently serves as the chair of our compensation committee.</w:t>
      </w:r>
    </w:p>
    <w:p>
      <w:pPr>
        <w:spacing w:after="0" w:line="197"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Ashutosh Tyagi, M.D. has been a member of our Board of Directors since November 2017, representing Scopia Capital Management LP, or Scopia Capital, an institutional alternative asset management firm with over $6 billion of assets under management. Scopia Capital is the investment manager of two of our major stockholders. Dr. Tyagi has been with Scopia Capital since 2010 and a partner since 2012. At Scopia Capital, Dr. Tyagi manages global health care investments and is a Co-Portfolio Manager of Scopia Capital's health care funds. Dr. Tyagi received a B.A. in Asian Studies from the University of Michigan, an MBA from the University of Michigan Business School and an M.D. from the University of Michigan School of Medicine. We believe that Dr. Tyagi is qualified to serve on our Board of Directors due to his educational background and his extensive experience in investing and working in the biotechnology and life sciences industry. Dr. Tyagi is a member of our Audit Committee.</w:t>
      </w:r>
    </w:p>
    <w:p>
      <w:pPr>
        <w:spacing w:after="0" w:line="172"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David N. Gill has been a member of our Board of Directors since December 2017. Mr. Gill was Chief Financial Officer of EndoChoice Holdings, Inc., a publicly traded medical device company, from August 2014 until it was sold to Boston Scientific Corporation in November 2016, and served as President and Chief Operating Officer of EndoChoice Holdings, Inc. from March 2016 to November 2016. He was the Chief Financial Officer of INC Research Holdings Inc., a clinical research organization, from February 2011 to August 2013, and served as a board member and audit committee chairman of INC Research Holdings Inc. from 2007 to 2010. From March 2009 to February 2011, Mr. Gill was the Chief Financial Officer of TransEnterix, Inc., a then private medical device company. Mr. Gill was Chief Financial Officer and Treasurer of NxStage Medical, Inc., a publicly traded dialysis equipment company, from July 2005 to November 2006. Mr. Gill served as Senior Vice President and Chief Financial Officer of CTI Molecular Imaging, Inc., a publicly traded medical imaging company, from January 2002 to May 2005, until its sale to Siemens AG. Since Feburary 2015, he has served as a director and chair of the audit committee of Histogenics Inc., a publicly traded cellular therapy company. Mr. Gill has also served as a director and chair of the audit committee of Melinta Therapeutics, Inc. (formerly Cempra, Inc.), a publicly traded pharmaceutical company focused on infectious disease, since April 2012. From 2006 to 2011, he served on several public and private company boards of directors, including those of LeMaitre Vascular, a publicly traded medical device company, and IsoTis, Inc., a publicly traded orthobiologics company that was acquired by Integra LifeSciences Holdings Corporation in October 2007. Mr. Gill holds a B.S. degree, cum laude, in Accountancy from Wake Forest University and an MBA with honors from Emory University. Mr. Gill was formerly a certified public accountant. We believe that Mr. Gill is qualified to serve as a director due to his education and experience in accounting and finance, his extensive experience as an executive in the biotechnology industry, his prior service as a senior-level executive in mature biotechnology companies and his service as a director of various publicly traded companies. Mr. Gill serves as Chair of our Audit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31"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As of the date hereof, our board of directors consists of nine members. Our directors hold office until their successors have been elected and qualified, or until the earlier of their resignation, removal or death.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members of our board of directors were elected in compliance with certain voting provisions contained in a stockholders agreement among us and our stockholders. The stockholders agreement will terminate by its terms upon the completion of this offering and we will have no further contractual obligations regarding the election of our directors. See "Certain Relationships and Related Party Transactions." Our directors hold office until their successors have been elected and qualified or until their earlier death, resignation or removal. There are no family relationships among any of our directors or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divided into three classes of directors, with the classes as nearly equal in number as possible. Upon completion of this offering, each of these classes will be comprised of the following directors:</w:t>
      </w:r>
    </w:p>
    <w:p>
      <w:pPr>
        <w:spacing w:after="0" w:line="139"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240"/>
              <w:spacing w:after="0"/>
              <w:rPr>
                <w:sz w:val="20"/>
                <w:szCs w:val="20"/>
                <w:color w:val="auto"/>
              </w:rPr>
            </w:pPr>
            <w:r>
              <w:rPr>
                <w:rFonts w:ascii="Arial" w:cs="Arial" w:eastAsia="Arial" w:hAnsi="Arial"/>
                <w:sz w:val="18"/>
                <w:szCs w:val="18"/>
                <w:color w:val="auto"/>
              </w:rPr>
              <w:t>Our Class I directors will be</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240"/>
              <w:spacing w:after="0"/>
              <w:rPr>
                <w:sz w:val="20"/>
                <w:szCs w:val="20"/>
                <w:color w:val="auto"/>
              </w:rPr>
            </w:pPr>
            <w:r>
              <w:rPr>
                <w:rFonts w:ascii="Arial" w:cs="Arial" w:eastAsia="Arial" w:hAnsi="Arial"/>
                <w:sz w:val="18"/>
                <w:szCs w:val="18"/>
                <w:color w:val="auto"/>
              </w:rPr>
              <w:t>Our Class II directors will be</w:t>
            </w:r>
          </w:p>
        </w:tc>
        <w:tc>
          <w:tcPr>
            <w:tcW w:w="600" w:type="dxa"/>
            <w:vAlign w:val="bottom"/>
          </w:tcPr>
          <w:p>
            <w:pPr>
              <w:jc w:val="right"/>
              <w:spacing w:after="0"/>
              <w:rPr>
                <w:sz w:val="20"/>
                <w:szCs w:val="20"/>
                <w:color w:val="auto"/>
              </w:rPr>
            </w:pPr>
            <w:r>
              <w:rPr>
                <w:rFonts w:ascii="Arial" w:cs="Arial" w:eastAsia="Arial" w:hAnsi="Arial"/>
                <w:sz w:val="18"/>
                <w:szCs w:val="18"/>
                <w:color w:val="auto"/>
              </w:rPr>
              <w:t>; and</w:t>
            </w:r>
          </w:p>
        </w:tc>
      </w:tr>
      <w:tr>
        <w:trPr>
          <w:trHeight w:val="44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240"/>
              <w:spacing w:after="0"/>
              <w:rPr>
                <w:sz w:val="20"/>
                <w:szCs w:val="20"/>
                <w:color w:val="auto"/>
              </w:rPr>
            </w:pPr>
            <w:r>
              <w:rPr>
                <w:rFonts w:ascii="Arial" w:cs="Arial" w:eastAsia="Arial" w:hAnsi="Arial"/>
                <w:sz w:val="18"/>
                <w:szCs w:val="18"/>
                <w:color w:val="auto"/>
              </w:rPr>
              <w:t>Our Class III directors will be</w:t>
            </w: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right="340" w:firstLine="615"/>
        <w:spacing w:after="0" w:line="298" w:lineRule="auto"/>
        <w:rPr>
          <w:sz w:val="20"/>
          <w:szCs w:val="20"/>
          <w:color w:val="auto"/>
        </w:rPr>
      </w:pPr>
      <w:r>
        <w:rPr>
          <w:rFonts w:ascii="Arial" w:cs="Arial" w:eastAsia="Arial" w:hAnsi="Arial"/>
          <w:sz w:val="16"/>
          <w:szCs w:val="16"/>
          <w:color w:val="auto"/>
        </w:rPr>
        <w:t>Subject to any earlier resignation or removal in accordance with the terms of our amended and restated certificate of incorporation and amended and restated bylaws that we expect to be in effect upon the closing of this offering, our Class I directors will serve until the first annual meeting of stockholders following the completion of this offering; our Class II directors will serve until the second annual meeting of stockholders following the completion of this offering; and our Class III directors will serve until the third annual meeting of stockholders following the completion of this offering.</w:t>
      </w:r>
    </w:p>
    <w:p>
      <w:pPr>
        <w:spacing w:after="0" w:line="167"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Our amended and restated certificate of incorporation will provide that the number of our directors shall be fixed from time to time by a resolution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100" w:firstLine="605"/>
        <w:spacing w:after="0" w:line="302" w:lineRule="auto"/>
        <w:rPr>
          <w:sz w:val="20"/>
          <w:szCs w:val="20"/>
          <w:color w:val="auto"/>
        </w:rPr>
      </w:pPr>
      <w:r>
        <w:rPr>
          <w:rFonts w:ascii="Arial" w:cs="Arial" w:eastAsia="Arial" w:hAnsi="Arial"/>
          <w:sz w:val="15"/>
          <w:szCs w:val="15"/>
          <w:color w:val="auto"/>
        </w:rPr>
        <w:t>Applicable Nasdaq Stock Market,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Audit committee members must also satisfy the independence criteria set forth in Rule 10A-3 under the Exchange Act, and compensation committee members must also satisfy the independence criteria set forth in Rule 10C-1 under the Exchange Act.</w:t>
      </w:r>
    </w:p>
    <w:p>
      <w:pPr>
        <w:spacing w:after="0" w:line="3"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consulting, advisory or other compensatory fee paid by such company to the director; and whether the director is affiliated with the company or any of its subsidiaries or affiliates.</w:t>
      </w:r>
    </w:p>
    <w:p>
      <w:pPr>
        <w:spacing w:after="0" w:line="186"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In 2018,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Dr. Healy, Dr. Buschle, Dr. Tyagi and Mr. Gill is an "independent director" as defined under applicable Nadaq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Mr. Gad, Dr. Møller and Mr. Kruse are not independent directors under these rules because they are executive officers of the company and Mr. Wedell-Wedellsborg and Dr. Raskin are not independent directors because they are affiliates of two of our principal shareholders, WG Biotech ApS, or WG Biotech, and MSK,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these committees will operate under a charter that has been approved by our board of directors. The composition of each committee will be effective as of the date of this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members of our audit committee are Mr. Gill, Dr. Raskin and Dr. Tyagi. Mr. Gill is the chair of the audit committee. Effective as of the date of this prospectus, our audit committee's responsibilities will include:</w:t>
      </w:r>
    </w:p>
    <w:p>
      <w:pPr>
        <w:spacing w:after="0" w:line="199"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overseeing our internal audit function,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discussing our risk assessment and risk management policies;</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w:t>
      </w:r>
    </w:p>
    <w:p>
      <w:pPr>
        <w:spacing w:after="0" w:line="225" w:lineRule="exact"/>
        <w:rPr>
          <w:sz w:val="20"/>
          <w:szCs w:val="20"/>
          <w:color w:val="auto"/>
        </w:rPr>
      </w:pPr>
    </w:p>
    <w:p>
      <w:pPr>
        <w:ind w:right="320" w:firstLine="605"/>
        <w:spacing w:after="0" w:line="268"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86" w:lineRule="exact"/>
        <w:rPr>
          <w:sz w:val="20"/>
          <w:szCs w:val="20"/>
          <w:color w:val="auto"/>
        </w:rPr>
      </w:pPr>
    </w:p>
    <w:p>
      <w:pPr>
        <w:ind w:right="440" w:firstLine="615"/>
        <w:spacing w:after="0" w:line="306" w:lineRule="auto"/>
        <w:rPr>
          <w:sz w:val="20"/>
          <w:szCs w:val="20"/>
          <w:color w:val="auto"/>
        </w:rPr>
      </w:pPr>
      <w:r>
        <w:rPr>
          <w:rFonts w:ascii="Arial" w:cs="Arial" w:eastAsia="Arial" w:hAnsi="Arial"/>
          <w:sz w:val="16"/>
          <w:szCs w:val="16"/>
          <w:color w:val="auto"/>
        </w:rPr>
        <w:t>Our board of directors has determined that Mr. Gill is an "audit committee financial expert" as defined in applicable SEC rules and that each of the members of our audit committee possesses the financial sophistication required for audit committee members under Nasdaq rules. We believe that the composition of our audit committee will meet the requirements for independence under current Nasdaq and SEC rules and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500" w:firstLine="611"/>
        <w:spacing w:after="0" w:line="268" w:lineRule="auto"/>
        <w:rPr>
          <w:sz w:val="20"/>
          <w:szCs w:val="20"/>
          <w:color w:val="auto"/>
        </w:rPr>
      </w:pPr>
      <w:r>
        <w:rPr>
          <w:rFonts w:ascii="Arial" w:cs="Arial" w:eastAsia="Arial" w:hAnsi="Arial"/>
          <w:sz w:val="18"/>
          <w:szCs w:val="18"/>
          <w:color w:val="auto"/>
        </w:rPr>
        <w:t>The members of our compensation committee are Dr. Buschle, Dr. Healy and Mr. Wedell-Wedellsborg. Dr. Healy is the chair of the compensation committee. Effective as of the date of this prospectus, our compensation committee's responsibilities will include:</w:t>
      </w:r>
    </w:p>
    <w:p>
      <w:pPr>
        <w:spacing w:after="0" w:line="213" w:lineRule="exact"/>
        <w:rPr>
          <w:sz w:val="20"/>
          <w:szCs w:val="20"/>
          <w:color w:val="auto"/>
        </w:rPr>
      </w:pPr>
    </w:p>
    <w:p>
      <w:pPr>
        <w:ind w:left="1080" w:right="1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our incentive-compensation and equity-based compensation plans;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overseeing and administering our equity-based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100" w:firstLine="611"/>
        <w:spacing w:after="0" w:line="259" w:lineRule="auto"/>
        <w:rPr>
          <w:sz w:val="20"/>
          <w:szCs w:val="20"/>
          <w:color w:val="auto"/>
        </w:rPr>
      </w:pPr>
      <w:r>
        <w:rPr>
          <w:rFonts w:ascii="Arial" w:cs="Arial" w:eastAsia="Arial" w:hAnsi="Arial"/>
          <w:sz w:val="18"/>
          <w:szCs w:val="18"/>
          <w:color w:val="auto"/>
        </w:rPr>
        <w:t>The members of our nominating and corporate governance committee are Mr. Gad, Dr. Buschle, and Dr. Raskin. Mr. Gad is the chair of the nominating and corporate governance committee. Effective as of the date of this prospectus, our nominating and corporate governance committee's responsibilities will include:</w:t>
      </w:r>
    </w:p>
    <w:p>
      <w:pPr>
        <w:spacing w:after="0" w:line="208"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board's committees;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5"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None of our executive officers currently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this offering, we will post a copy of the code on the Corporate Governance section of our website.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31"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in 2017, and to each of our non-employee directors in 2017. We are an "emerging growth company" within the meaning of the JOBS Act, and have elected to comply with the reduced compensation disclosure requirements available to emerging growth companies under the JOBS Act. Our named executive officers for 2017 were Thomas Gad, Dr. Claus Juan Møller San Pedro, and Bo Kruse. This section also provides certain qualitative information regarding the manner and context in which compensation is awarded to and earned by our named executive officers and is intended to place in perspective the data presented in the tables and narrative that follow.</w:t>
      </w:r>
    </w:p>
    <w:p>
      <w:pPr>
        <w:spacing w:after="0" w:line="198"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programs. We have begun, and we expect to continue in the coming months, to evaluate the need for revisions to our executive compensation program to ensure our program is competitive with the companies with which we compete for executive talent and is appropriate for a public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right="160" w:firstLine="611"/>
        <w:spacing w:after="0" w:line="306" w:lineRule="auto"/>
        <w:rPr>
          <w:sz w:val="20"/>
          <w:szCs w:val="20"/>
          <w:color w:val="auto"/>
        </w:rPr>
      </w:pPr>
      <w:r>
        <w:rPr>
          <w:rFonts w:ascii="Arial" w:cs="Arial" w:eastAsia="Arial" w:hAnsi="Arial"/>
          <w:sz w:val="16"/>
          <w:szCs w:val="16"/>
          <w:color w:val="auto"/>
        </w:rPr>
        <w:t>The following table shows the total compensation paid or accrued during the fiscal year ended December 31, 2017, to our Chief Executive Officer and our two next most highly compensated executive officers who earned more than $100,000 during the fiscal year ended December 31, 2017, and were serving as executive officers as of such date. No option or other equity awards were granted to such executive officers during 2017.</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00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2"/>
                <w:szCs w:val="12"/>
                <w:color w:val="auto"/>
              </w:rPr>
            </w:pPr>
          </w:p>
        </w:tc>
        <w:tc>
          <w:tcPr>
            <w:tcW w:w="580" w:type="dxa"/>
            <w:vAlign w:val="bottom"/>
            <w:gridSpan w:val="2"/>
          </w:tcPr>
          <w:p>
            <w:pPr>
              <w:jc w:val="right"/>
              <w:ind w:right="4"/>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00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9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7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w w:val="88"/>
              </w:rPr>
              <w:t>Salary ($)</w:t>
            </w:r>
          </w:p>
        </w:tc>
        <w:tc>
          <w:tcPr>
            <w:tcW w:w="8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($)(1)(2)</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144"/>
              <w:spacing w:after="0"/>
              <w:rPr>
                <w:sz w:val="20"/>
                <w:szCs w:val="20"/>
                <w:color w:val="auto"/>
              </w:rPr>
            </w:pPr>
            <w:r>
              <w:rPr>
                <w:rFonts w:ascii="Arial" w:cs="Arial" w:eastAsia="Arial" w:hAnsi="Arial"/>
                <w:sz w:val="8"/>
                <w:szCs w:val="8"/>
                <w:b w:val="1"/>
                <w:bCs w:val="1"/>
                <w:color w:val="auto"/>
                <w:w w:val="73"/>
              </w:rPr>
              <w:t>)</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77"/>
              <w:spacing w:after="0"/>
              <w:rPr>
                <w:sz w:val="20"/>
                <w:szCs w:val="20"/>
                <w:color w:val="auto"/>
              </w:rPr>
            </w:pPr>
            <w:r>
              <w:rPr>
                <w:rFonts w:ascii="Arial" w:cs="Arial" w:eastAsia="Arial" w:hAnsi="Arial"/>
                <w:sz w:val="14"/>
                <w:szCs w:val="14"/>
                <w:b w:val="1"/>
                <w:bCs w:val="1"/>
                <w:color w:val="auto"/>
                <w:w w:val="82"/>
              </w:rPr>
              <w:t>)(3)</w:t>
            </w:r>
          </w:p>
        </w:tc>
        <w:tc>
          <w:tcPr>
            <w:tcW w:w="9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Thomas Gad</w:t>
            </w:r>
          </w:p>
        </w:tc>
        <w:tc>
          <w:tcPr>
            <w:tcW w:w="2060" w:type="dxa"/>
            <w:vAlign w:val="bottom"/>
            <w:gridSpan w:val="2"/>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350,004</w:t>
            </w:r>
          </w:p>
        </w:tc>
        <w:tc>
          <w:tcPr>
            <w:tcW w:w="8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98,883</w:t>
            </w:r>
          </w:p>
        </w:tc>
        <w:tc>
          <w:tcPr>
            <w:tcW w:w="9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Founder, Chairman, President and Head of</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Business Development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720" w:type="dxa"/>
            <w:vAlign w:val="bottom"/>
            <w:gridSpan w:val="4"/>
          </w:tcPr>
          <w:p>
            <w:pPr>
              <w:spacing w:after="0"/>
              <w:rPr>
                <w:sz w:val="20"/>
                <w:szCs w:val="20"/>
                <w:color w:val="auto"/>
              </w:rPr>
            </w:pPr>
            <w:r>
              <w:rPr>
                <w:rFonts w:ascii="Arial" w:cs="Arial" w:eastAsia="Arial" w:hAnsi="Arial"/>
                <w:sz w:val="18"/>
                <w:szCs w:val="18"/>
                <w:color w:val="auto"/>
              </w:rPr>
              <w:t>Dr. Claus Juan Møller San Pedro M.D., Ph.D.</w:t>
            </w:r>
          </w:p>
        </w:tc>
        <w:tc>
          <w:tcPr>
            <w:tcW w:w="74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12"/>
              <w:spacing w:after="0"/>
              <w:rPr>
                <w:sz w:val="20"/>
                <w:szCs w:val="20"/>
                <w:color w:val="auto"/>
              </w:rPr>
            </w:pPr>
            <w:r>
              <w:rPr>
                <w:rFonts w:ascii="Arial" w:cs="Arial" w:eastAsia="Arial" w:hAnsi="Arial"/>
                <w:sz w:val="18"/>
                <w:szCs w:val="18"/>
                <w:color w:val="auto"/>
              </w:rPr>
              <w:t>409,561</w:t>
            </w:r>
            <w:r>
              <w:rPr>
                <w:rFonts w:ascii="Arial" w:cs="Arial" w:eastAsia="Arial" w:hAnsi="Arial"/>
                <w:sz w:val="14"/>
                <w:szCs w:val="14"/>
                <w:color w:val="auto"/>
              </w:rPr>
              <w:t>(4)</w:t>
            </w:r>
            <w:r>
              <w:rPr>
                <w:rFonts w:ascii="Arial" w:cs="Arial" w:eastAsia="Arial" w:hAnsi="Arial"/>
                <w:sz w:val="18"/>
                <w:szCs w:val="18"/>
                <w:color w:val="auto"/>
              </w:rPr>
              <w:t>$</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85,031</w:t>
            </w:r>
          </w:p>
        </w:tc>
        <w:tc>
          <w:tcPr>
            <w:tcW w:w="94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 Kruse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317,926</w:t>
            </w:r>
          </w:p>
        </w:tc>
        <w:tc>
          <w:tcPr>
            <w:tcW w:w="8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9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4"/>
              </w:rPr>
              <w:t>Executive Vice President, Secretary, Treasurer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and Chief Financial Officer</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00" w:hanging="531"/>
        <w:spacing w:after="0" w:line="239" w:lineRule="auto"/>
        <w:tabs>
          <w:tab w:leader="none" w:pos="16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Except where noted otherwise, the amounts reported in the "Bonus" column represent discretionary annual cash bonuses awarded to our named executive officers. Our named executive officers have not received any non-cash compensation in lieu of salary or bonus.</w:t>
      </w:r>
    </w:p>
    <w:p>
      <w:pPr>
        <w:spacing w:after="0" w:line="112" w:lineRule="exact"/>
        <w:rPr>
          <w:sz w:val="20"/>
          <w:szCs w:val="20"/>
          <w:color w:val="auto"/>
        </w:rPr>
      </w:pPr>
    </w:p>
    <w:p>
      <w:pPr>
        <w:ind w:left="1140"/>
        <w:spacing w:after="0"/>
        <w:tabs>
          <w:tab w:leader="none" w:pos="1660" w:val="left"/>
          <w:tab w:leader="none" w:pos="832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The 2017 bonus amounts will be updated once the information is determined, which we anticipate will be in</w:t>
      </w:r>
      <w:r>
        <w:rPr>
          <w:sz w:val="20"/>
          <w:szCs w:val="20"/>
          <w:color w:val="auto"/>
        </w:rPr>
        <w:tab/>
      </w:r>
      <w:r>
        <w:rPr>
          <w:rFonts w:ascii="Arial" w:cs="Arial" w:eastAsia="Arial" w:hAnsi="Arial"/>
          <w:sz w:val="12"/>
          <w:szCs w:val="12"/>
          <w:color w:val="auto"/>
        </w:rPr>
        <w:t>, 2018.</w:t>
      </w:r>
    </w:p>
    <w:p>
      <w:pPr>
        <w:spacing w:after="0" w:line="123" w:lineRule="exact"/>
        <w:rPr>
          <w:sz w:val="20"/>
          <w:szCs w:val="20"/>
          <w:color w:val="auto"/>
        </w:rPr>
      </w:pPr>
    </w:p>
    <w:p>
      <w:pPr>
        <w:ind w:left="1680" w:right="60" w:hanging="531"/>
        <w:spacing w:after="0" w:line="288" w:lineRule="auto"/>
        <w:tabs>
          <w:tab w:leader="none" w:pos="16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Each of Mr. Gad, Dr. Møller and Mr. Kruse serves as a member of our board of directors but do not receive any additional compensation for their service as a director. Amounts in this column include a monthly housing allowance of $7,000 to cover rental expenses associated with the U.S. residence for each of Mr. Gad and Dr. Møller, as well as approximately $14,000 of one time moving and storage expenses for Mr. Gad. Amounts also include certain insurance premiums and technology expenses paid for by us.</w:t>
      </w:r>
    </w:p>
    <w:p>
      <w:pPr>
        <w:spacing w:after="0" w:line="83" w:lineRule="exact"/>
        <w:rPr>
          <w:rFonts w:ascii="Arial" w:cs="Arial" w:eastAsia="Arial" w:hAnsi="Arial"/>
          <w:sz w:val="12"/>
          <w:szCs w:val="12"/>
          <w:color w:val="auto"/>
        </w:rPr>
      </w:pPr>
    </w:p>
    <w:p>
      <w:pPr>
        <w:ind w:left="1680" w:hanging="531"/>
        <w:spacing w:after="0"/>
        <w:tabs>
          <w:tab w:leader="none" w:pos="16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60% of Dr. Møller's base salary is paid to him from our U.S. office and the remaining 40% is paid to him from our Danish office.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In 2017, we paid annual base salaries of $350,004 to Mr. Gad, $409,561 to Dr. Møller, and $317,926 to Mr. Kruse. 100% of Mr. Gad's base salary is paid to him from our U.S. office. 60% of Dr. Møller's base salary is paid to him from our U.S. office and the remaining 40% is paid to him from our Danish office. 100% of Mr. Kruse's base salary is paid to him from our Danish office.</w:t>
      </w:r>
    </w:p>
    <w:p>
      <w:pPr>
        <w:spacing w:after="0" w:line="194"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entitled "—Employment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firstLine="611"/>
        <w:spacing w:after="0" w:line="303" w:lineRule="auto"/>
        <w:rPr>
          <w:sz w:val="20"/>
          <w:szCs w:val="20"/>
          <w:color w:val="auto"/>
        </w:rPr>
      </w:pPr>
      <w:r>
        <w:rPr>
          <w:rFonts w:ascii="Arial" w:cs="Arial" w:eastAsia="Arial" w:hAnsi="Arial"/>
          <w:sz w:val="15"/>
          <w:szCs w:val="15"/>
          <w:color w:val="auto"/>
        </w:rPr>
        <w:t>We do not have a formal performance-based bonus plan. From time to time, our board of directors has approved discretionary annual cash bonuses to our named executive officers with respect to their prior year performance. Mr. Gad, Dr. Møller and Mr. Kruse may receive cash bonuses for services performed during 2017. The Compensation Committee has not yet determined the amounts of such bonues. We will disclose bonus amounts when they are determined. It is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anticipated that such bonuses, if any, will be determined in , 2018. The annual incentive cash bonus has a target of 50% of the named executive officer's annual base salary and may be increased if our board of directors determines that the named executive officer has exceeded the performance objectives that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right="60" w:firstLine="605"/>
        <w:spacing w:after="0" w:line="253"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named executive officers or any formal equity ownership guidelines applicable to them, 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under our 2015 Plan, which may be granted as either incentive stock options or nonstatutory stock options.</w:t>
      </w:r>
    </w:p>
    <w:p>
      <w:pPr>
        <w:spacing w:after="0" w:line="201" w:lineRule="exact"/>
        <w:rPr>
          <w:sz w:val="20"/>
          <w:szCs w:val="20"/>
          <w:color w:val="auto"/>
        </w:rPr>
      </w:pPr>
    </w:p>
    <w:p>
      <w:pPr>
        <w:ind w:right="140" w:firstLine="615"/>
        <w:spacing w:after="0" w:line="286" w:lineRule="auto"/>
        <w:rPr>
          <w:sz w:val="20"/>
          <w:szCs w:val="20"/>
          <w:color w:val="auto"/>
        </w:rPr>
      </w:pPr>
      <w:r>
        <w:rPr>
          <w:rFonts w:ascii="Arial" w:cs="Arial" w:eastAsia="Arial" w:hAnsi="Arial"/>
          <w:sz w:val="16"/>
          <w:szCs w:val="16"/>
          <w:color w:val="auto"/>
        </w:rPr>
        <w:t>Mr. Gad, Dr. Møller and Mr. Kruse did not receive any option or other equity awards during 2017, however, each of them may receive equity awards in 2018. The Compensation Committee has not yet determined the amounts of such equity awards, if any. We will disclose any such equity awards when they are</w:t>
      </w:r>
    </w:p>
    <w:tbl>
      <w:tblPr>
        <w:tblLayout w:type="fixed"/>
        <w:tblInd w:w="0" w:type="dxa"/>
        <w:tblCellMar>
          <w:top w:w="0" w:type="dxa"/>
          <w:left w:w="0" w:type="dxa"/>
          <w:bottom w:w="0" w:type="dxa"/>
          <w:right w:w="0" w:type="dxa"/>
        </w:tblCellMar>
      </w:tblPr>
      <w:tr>
        <w:trPr>
          <w:trHeight w:val="222"/>
        </w:trPr>
        <w:tc>
          <w:tcPr>
            <w:tcW w:w="6260" w:type="dxa"/>
            <w:vAlign w:val="bottom"/>
          </w:tcPr>
          <w:p>
            <w:pPr>
              <w:spacing w:after="0"/>
              <w:rPr>
                <w:sz w:val="20"/>
                <w:szCs w:val="20"/>
                <w:color w:val="auto"/>
              </w:rPr>
            </w:pPr>
            <w:r>
              <w:rPr>
                <w:rFonts w:ascii="Arial" w:cs="Arial" w:eastAsia="Arial" w:hAnsi="Arial"/>
                <w:sz w:val="18"/>
                <w:szCs w:val="18"/>
                <w:color w:val="auto"/>
                <w:w w:val="97"/>
              </w:rPr>
              <w:t>determined. It is anticipated that such equity awards, if any, will be determined in</w:t>
            </w:r>
          </w:p>
        </w:tc>
        <w:tc>
          <w:tcPr>
            <w:tcW w:w="100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Option Awards</w:t>
      </w:r>
    </w:p>
    <w:p>
      <w:pPr>
        <w:spacing w:after="0" w:line="225" w:lineRule="exact"/>
        <w:rPr>
          <w:sz w:val="20"/>
          <w:szCs w:val="20"/>
          <w:color w:val="auto"/>
        </w:rPr>
      </w:pPr>
    </w:p>
    <w:p>
      <w:pPr>
        <w:ind w:right="220" w:firstLine="615"/>
        <w:spacing w:after="0" w:line="305" w:lineRule="auto"/>
        <w:rPr>
          <w:sz w:val="20"/>
          <w:szCs w:val="20"/>
          <w:color w:val="auto"/>
        </w:rPr>
      </w:pPr>
      <w:r>
        <w:rPr>
          <w:rFonts w:ascii="Arial" w:cs="Arial" w:eastAsia="Arial" w:hAnsi="Arial"/>
          <w:sz w:val="15"/>
          <w:szCs w:val="15"/>
          <w:color w:val="auto"/>
        </w:rPr>
        <w:t>On October 21, 2016, Mr. Gad, Dr. Møller and Mr. Kruse each received options to purchase 166,000, 200,000 and 133,000 shares, respectively, of our common stock at an exercise price of $4.38 per share. The shares subject to each option will vest and become exercisable based on our "Standard Vesting</w:t>
      </w:r>
    </w:p>
    <w:p>
      <w:pPr>
        <w:ind w:right="20"/>
        <w:spacing w:after="0" w:line="219" w:lineRule="auto"/>
        <w:rPr>
          <w:sz w:val="20"/>
          <w:szCs w:val="20"/>
          <w:color w:val="auto"/>
        </w:rPr>
      </w:pPr>
      <w:r>
        <w:rPr>
          <w:rFonts w:ascii="Arial" w:cs="Arial" w:eastAsia="Arial" w:hAnsi="Arial"/>
          <w:sz w:val="17"/>
          <w:szCs w:val="17"/>
          <w:color w:val="auto"/>
        </w:rPr>
        <w:t>Schedule" of 25% on the one-year anniversary of the date of grant, and 1/48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total shares subject to the option award vesting on the same day of the month as the grant date over the course of the next three years, subject to the executive's continued employment on each vesting date.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15"/>
        <w:spacing w:after="0" w:line="268" w:lineRule="auto"/>
        <w:rPr>
          <w:sz w:val="20"/>
          <w:szCs w:val="20"/>
          <w:color w:val="auto"/>
        </w:rPr>
      </w:pPr>
      <w:r>
        <w:rPr>
          <w:rFonts w:ascii="Arial" w:cs="Arial" w:eastAsia="Arial" w:hAnsi="Arial"/>
          <w:sz w:val="18"/>
          <w:szCs w:val="18"/>
          <w:color w:val="auto"/>
        </w:rPr>
        <w:t>On December 14, 2016, Mr. Gad, Dr. Møller and Mr. Kruse each received options to purchase 16,000, 18,000 and 14,000 shares, respectively, of our common stock at an exercise price of $8.50 per share, subject to our Standard Vesting Schedule.</w:t>
      </w:r>
    </w:p>
    <w:p>
      <w:pPr>
        <w:spacing w:after="0" w:line="186"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In the event of a change of control, as defined in the 2015 Plan (as summarized below), each option granted to Mr. Gad, Dr. Møller and Mr. Kruse on October 21, 2016 and December 14, 2016 under the 2015 Plan will fully vest and become immediately exercisable.</w:t>
      </w:r>
    </w:p>
    <w:p>
      <w:pPr>
        <w:spacing w:after="0" w:line="186"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In the event Mr. Gad, Dr. Møller or Mr. Kruse's employment is terminated by us without "cause" or by either Mr. Gad, Dr. Møller or Mr. Kruse for "good reason", or by their "retirement" or "disability", as such terms are defined in the 2015 Plan (with respect to good reason, as summarized below), or by death, the options granted to Mr. Gad, Dr. Møller and Mr. Kruse on December 14, 2016 will continue to vest and become exercisable in accordance with our Standard Vesting Schedule. However, if Mr. Gad, Dr. Møller or Mr. Kruse's employment is terminated for cause or by either Mr. Gad, Dr. Møller or Mr. Kruse voluntarily (other than for retirement), the options granted to Mr. Gad, Dr. Møller and Mr. Kruse on December 14, 2016 will terminate immediately and will not become exercisable. For Mr. Gad and Mr. Kruse's October 21, 2016 option award, upon termination of employment, the option will be exercisable for three months following termination, unless due to disability, in which case the option will remain exercisable for twelve months following termination, or death, in which case the option will remain exercisable for six months.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defined in the 2015 Plan:</w:t>
      </w:r>
    </w:p>
    <w:p>
      <w:pPr>
        <w:spacing w:after="0" w:line="239" w:lineRule="exact"/>
        <w:rPr>
          <w:sz w:val="20"/>
          <w:szCs w:val="20"/>
          <w:color w:val="auto"/>
        </w:rPr>
      </w:pPr>
    </w:p>
    <w:p>
      <w:pPr>
        <w:ind w:left="1080" w:right="40" w:hanging="532"/>
        <w:spacing w:after="0" w:line="283"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"change of control" generally means (1) the acquisition by a person or entity of more than 50% of our combined voting power (except a change in ownership as a result of a private financing of us that is approved by the Board), (2) the change in effective control of us which occurs on the date that a majority of members of the Board is replaced during any twelve (12) month period by directors whose appointment of election is not endorsed by a majority of the members of the board prior to the date of the appointment or election (if any person or entity is considered to be in effective control of us, the acquisition of additional control of us by the same person or entity will not be considered a change in control), and</w:t>
      </w:r>
    </w:p>
    <w:p>
      <w:pPr>
        <w:spacing w:after="0" w:line="2" w:lineRule="exact"/>
        <w:rPr>
          <w:rFonts w:ascii="Arial" w:cs="Arial" w:eastAsia="Arial" w:hAnsi="Arial"/>
          <w:sz w:val="16"/>
          <w:szCs w:val="16"/>
          <w:color w:val="auto"/>
        </w:rPr>
      </w:pPr>
    </w:p>
    <w:p>
      <w:pPr>
        <w:ind w:left="1080" w:right="100" w:firstLine="8"/>
        <w:spacing w:after="0" w:line="261" w:lineRule="auto"/>
        <w:tabs>
          <w:tab w:leader="none" w:pos="132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acquisition by a person or entity of a substantial portion of our assets with a total gross fair market value equal to or more than 50% of the total gross fair market value of all of our assets immediately prior to such acquisition;</w:t>
      </w:r>
    </w:p>
    <w:p>
      <w:pPr>
        <w:spacing w:after="0" w:line="218" w:lineRule="exact"/>
        <w:rPr>
          <w:rFonts w:ascii="Arial" w:cs="Arial" w:eastAsia="Arial" w:hAnsi="Arial"/>
          <w:sz w:val="18"/>
          <w:szCs w:val="18"/>
          <w:color w:val="auto"/>
        </w:rPr>
      </w:pPr>
    </w:p>
    <w:p>
      <w:pPr>
        <w:ind w:left="1080" w:right="200" w:hanging="532"/>
        <w:spacing w:after="0" w:line="286"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"cause" generally means abuse of alcohol or another drug while performing his or her duties as an employee of us, or a breach of or failure or refusal by participant to comply with any material provision of his or her employment agreement or arrangement with us if not cured within ten</w:t>
      </w:r>
    </w:p>
    <w:p>
      <w:pPr>
        <w:ind w:left="1420" w:hanging="332"/>
        <w:spacing w:after="0"/>
        <w:tabs>
          <w:tab w:leader="none" w:pos="14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days after written notice thereof from us; and</w:t>
      </w:r>
    </w:p>
    <w:p>
      <w:pPr>
        <w:spacing w:after="0" w:line="232" w:lineRule="exact"/>
        <w:rPr>
          <w:rFonts w:ascii="Arial" w:cs="Arial" w:eastAsia="Arial" w:hAnsi="Arial"/>
          <w:sz w:val="18"/>
          <w:szCs w:val="18"/>
          <w:color w:val="auto"/>
        </w:rPr>
      </w:pPr>
    </w:p>
    <w:p>
      <w:pPr>
        <w:ind w:left="1080" w:right="20" w:hanging="532"/>
        <w:spacing w:after="0" w:line="289"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"good reason" generally means, during the term of the participant's employment relationship with us, without the participant's written consent, we cause a material reduction in base salary or compensation and bonus opportunity, a relocation of participant's principal place of employment by more than 50 miles, any material breach by us of any provision in the participant's employment agreement or arrangement or other agreements, our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 or mentally incapacitated or as required by applicable law), or a material change in the reporting structure applicable to the participant.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05"/>
        <w:spacing w:after="0" w:line="268" w:lineRule="auto"/>
        <w:rPr>
          <w:sz w:val="20"/>
          <w:szCs w:val="20"/>
          <w:color w:val="auto"/>
        </w:rPr>
      </w:pPr>
      <w:r>
        <w:rPr>
          <w:rFonts w:ascii="Arial" w:cs="Arial" w:eastAsia="Arial" w:hAnsi="Arial"/>
          <w:sz w:val="18"/>
          <w:szCs w:val="18"/>
          <w:color w:val="auto"/>
        </w:rPr>
        <w:t>All options expire 10 years from the date of grant. None of the options granted to the named executive officers provide for tax-reimbursements or tax gross-ups. To date, our board of directors has not granted any options to our named executive officers in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Year End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($/share)</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44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Thomas Gad</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464"/>
        </w:trPr>
        <w:tc>
          <w:tcPr>
            <w:tcW w:w="4460" w:type="dxa"/>
            <w:vAlign w:val="bottom"/>
            <w:gridSpan w:val="4"/>
          </w:tcPr>
          <w:p>
            <w:pPr>
              <w:spacing w:after="0"/>
              <w:rPr>
                <w:sz w:val="20"/>
                <w:szCs w:val="20"/>
                <w:color w:val="auto"/>
              </w:rPr>
            </w:pPr>
            <w:r>
              <w:rPr>
                <w:rFonts w:ascii="Arial" w:cs="Arial" w:eastAsia="Arial" w:hAnsi="Arial"/>
                <w:sz w:val="18"/>
                <w:szCs w:val="18"/>
                <w:color w:val="auto"/>
              </w:rPr>
              <w:t>Dr. Claus Juan Møller San Pedro</w:t>
            </w:r>
            <w:r>
              <w:rPr>
                <w:rFonts w:ascii="Arial" w:cs="Arial" w:eastAsia="Arial" w:hAnsi="Arial"/>
                <w:sz w:val="29"/>
                <w:szCs w:val="29"/>
                <w:color w:val="auto"/>
                <w:vertAlign w:val="superscript"/>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312,500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58,333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 Kruse</w:t>
            </w:r>
            <w:r>
              <w:rPr>
                <w:rFonts w:ascii="Arial" w:cs="Arial" w:eastAsia="Arial" w:hAnsi="Arial"/>
                <w:sz w:val="29"/>
                <w:szCs w:val="29"/>
                <w:color w:val="auto"/>
                <w:vertAlign w:val="superscript"/>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80" w:hanging="531"/>
        <w:spacing w:after="0" w:line="318" w:lineRule="auto"/>
        <w:tabs>
          <w:tab w:leader="none" w:pos="16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w:t>
      </w:r>
    </w:p>
    <w:p>
      <w:pPr>
        <w:spacing w:after="0" w:line="134" w:lineRule="exact"/>
        <w:rPr>
          <w:rFonts w:ascii="Arial" w:cs="Arial" w:eastAsia="Arial" w:hAnsi="Arial"/>
          <w:sz w:val="12"/>
          <w:szCs w:val="12"/>
          <w:color w:val="auto"/>
        </w:rPr>
      </w:pPr>
    </w:p>
    <w:p>
      <w:pPr>
        <w:ind w:left="1680" w:right="80" w:hanging="531"/>
        <w:spacing w:after="0" w:line="288" w:lineRule="auto"/>
        <w:tabs>
          <w:tab w:leader="none" w:pos="16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 Dr. Møller transferred all shares underlying the June 10, 2016 option award upon receipt to CM Holdings 2015 ApS, of which Dr. Møller is the sole owner.</w:t>
      </w:r>
    </w:p>
    <w:p>
      <w:pPr>
        <w:spacing w:after="0" w:line="151" w:lineRule="exact"/>
        <w:rPr>
          <w:rFonts w:ascii="Arial" w:cs="Arial" w:eastAsia="Arial" w:hAnsi="Arial"/>
          <w:sz w:val="12"/>
          <w:szCs w:val="12"/>
          <w:color w:val="auto"/>
        </w:rPr>
      </w:pPr>
    </w:p>
    <w:p>
      <w:pPr>
        <w:ind w:left="1680" w:right="80" w:hanging="531"/>
        <w:spacing w:after="0" w:line="318" w:lineRule="auto"/>
        <w:tabs>
          <w:tab w:leader="none" w:pos="16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Gad</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April 2016, we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50% of his base salary. Mr. Gad's employment under the service agreement continues until terminated by us or Mr. Gad. We may terminate Mr. Gad's employment for any reason with 12 months' notice and Mr. Gad may terminate his employment with 6 months' notice.</w:t>
      </w:r>
    </w:p>
    <w:p>
      <w:pPr>
        <w:spacing w:after="0" w:line="167" w:lineRule="exact"/>
        <w:rPr>
          <w:sz w:val="20"/>
          <w:szCs w:val="20"/>
          <w:color w:val="auto"/>
        </w:rPr>
      </w:pPr>
    </w:p>
    <w:p>
      <w:pPr>
        <w:jc w:val="both"/>
        <w:ind w:right="60" w:firstLine="615"/>
        <w:spacing w:after="0" w:line="256" w:lineRule="auto"/>
        <w:rPr>
          <w:sz w:val="20"/>
          <w:szCs w:val="20"/>
          <w:color w:val="auto"/>
        </w:rPr>
      </w:pPr>
      <w:r>
        <w:rPr>
          <w:rFonts w:ascii="Arial" w:cs="Arial" w:eastAsia="Arial" w:hAnsi="Arial"/>
          <w:sz w:val="18"/>
          <w:szCs w:val="18"/>
          <w:color w:val="auto"/>
        </w:rPr>
        <w:t>Under the terms of the service agreement, if Mr. Gad's employment is terminated by us without "cause", as defined in his service agreement, and subject to Mr. Gad's execution of a release in 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severance pay shall be 24 months of his then-existing salary, starting from the date of such termination notice.</w:t>
      </w:r>
    </w:p>
    <w:p>
      <w:pPr>
        <w:spacing w:after="0" w:line="225" w:lineRule="exact"/>
        <w:rPr>
          <w:sz w:val="20"/>
          <w:szCs w:val="20"/>
          <w:color w:val="auto"/>
        </w:rPr>
      </w:pPr>
    </w:p>
    <w:p>
      <w:pPr>
        <w:ind w:firstLine="605"/>
        <w:spacing w:after="0" w:line="259" w:lineRule="auto"/>
        <w:rPr>
          <w:sz w:val="20"/>
          <w:szCs w:val="20"/>
          <w:color w:val="auto"/>
        </w:rPr>
      </w:pPr>
      <w:r>
        <w:rPr>
          <w:rFonts w:ascii="Arial" w:cs="Arial" w:eastAsia="Arial" w:hAnsi="Arial"/>
          <w:sz w:val="18"/>
          <w:szCs w:val="18"/>
          <w:color w:val="auto"/>
        </w:rPr>
        <w:t xml:space="preserve">As defined in Mr. Gad's service agreement, "cause" means (1) Mr. Gad's fraudulent, unlawful, grossly negligent or willful misconduct in connection with his duties to us, (2) conduct by Mr. Gad which is materially injurious to the business or reputation of us or any of our affiliated entities or any of their respective partners or members, or (3) Mr. Gad's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right="200" w:firstLine="615"/>
        <w:spacing w:after="0" w:line="283" w:lineRule="auto"/>
        <w:rPr>
          <w:sz w:val="20"/>
          <w:szCs w:val="20"/>
          <w:color w:val="auto"/>
        </w:rPr>
      </w:pPr>
      <w:r>
        <w:rPr>
          <w:rFonts w:ascii="Arial" w:cs="Arial" w:eastAsia="Arial" w:hAnsi="Arial"/>
          <w:sz w:val="16"/>
          <w:szCs w:val="16"/>
          <w:color w:val="auto"/>
        </w:rPr>
        <w:t>Mr. Gad has also agreed pursuant to his service agreement (1) not to compete with us in the United States, Denmark, or any other territory or country where we maintain employees, own property or otherwise conduct business, during his employment and for a period of (a) one year after the termination of his employment in the event that Mr. Gad terminates his employment or (b) six months after the termination of his employment in the event that we terminate Mr. Gad's employment, (2) not to solicit our employees during his employment and for a period of (a) one year after the termination of his employment in the event that Mr. Gad terminates his employment or (b) six months after the termination of his employment in the event that we terminate Mr. Gad's employment,</w:t>
      </w:r>
    </w:p>
    <w:p>
      <w:pPr>
        <w:spacing w:after="0" w:line="2" w:lineRule="exact"/>
        <w:rPr>
          <w:sz w:val="20"/>
          <w:szCs w:val="20"/>
          <w:color w:val="auto"/>
        </w:rPr>
      </w:pPr>
    </w:p>
    <w:p>
      <w:pPr>
        <w:ind w:right="920" w:firstLine="8"/>
        <w:spacing w:after="0" w:line="261" w:lineRule="auto"/>
        <w:tabs>
          <w:tab w:leader="none" w:pos="24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 to disclose our confidential and proprietary information and (4) to assign to us related intellectual property developed during the course of his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Claus Juan Møller San Pedro</w:t>
      </w:r>
    </w:p>
    <w:p>
      <w:pPr>
        <w:spacing w:after="0" w:line="231" w:lineRule="exact"/>
        <w:rPr>
          <w:sz w:val="20"/>
          <w:szCs w:val="20"/>
          <w:color w:val="auto"/>
        </w:rPr>
      </w:pPr>
    </w:p>
    <w:p>
      <w:pPr>
        <w:ind w:right="180" w:firstLine="615"/>
        <w:spacing w:after="0" w:line="305" w:lineRule="auto"/>
        <w:rPr>
          <w:sz w:val="20"/>
          <w:szCs w:val="20"/>
          <w:color w:val="auto"/>
        </w:rPr>
      </w:pPr>
      <w:r>
        <w:rPr>
          <w:rFonts w:ascii="Arial" w:cs="Arial" w:eastAsia="Arial" w:hAnsi="Arial"/>
          <w:sz w:val="15"/>
          <w:szCs w:val="15"/>
          <w:color w:val="auto"/>
        </w:rPr>
        <w:t>In March 2016, we entered into a service agreement with Dr. Møller. The service agreement establishes Dr. Møller's title, his base salary, his eligibility for an annual bonus, and his eligibility for benefits and also provides for certain benefits upon termination of his employment under specified conditions.</w:t>
      </w:r>
    </w:p>
    <w:p>
      <w:pPr>
        <w:ind w:right="60"/>
        <w:spacing w:after="0" w:line="255" w:lineRule="auto"/>
        <w:rPr>
          <w:sz w:val="20"/>
          <w:szCs w:val="20"/>
          <w:color w:val="auto"/>
        </w:rPr>
      </w:pPr>
      <w:r>
        <w:rPr>
          <w:rFonts w:ascii="Arial" w:cs="Arial" w:eastAsia="Arial" w:hAnsi="Arial"/>
          <w:sz w:val="18"/>
          <w:szCs w:val="18"/>
          <w:color w:val="auto"/>
        </w:rPr>
        <w:t>Dr. Møller is eligible to receive an annual bonus with a target of 50% of his base salary. Dr. Møller's employment under the service agreement continues until terminated by us or Dr. Møller. We may terminate Dr. Møller's employment for any reason with 12 months' notice and Dr. Møller may terminate his employment with 6 months' notice.</w:t>
      </w:r>
    </w:p>
    <w:p>
      <w:pPr>
        <w:spacing w:after="0" w:line="198" w:lineRule="exact"/>
        <w:rPr>
          <w:sz w:val="20"/>
          <w:szCs w:val="20"/>
          <w:color w:val="auto"/>
        </w:rPr>
      </w:pPr>
    </w:p>
    <w:p>
      <w:pPr>
        <w:ind w:right="200" w:firstLine="615"/>
        <w:spacing w:after="0" w:line="298" w:lineRule="auto"/>
        <w:rPr>
          <w:sz w:val="20"/>
          <w:szCs w:val="20"/>
          <w:color w:val="auto"/>
        </w:rPr>
      </w:pPr>
      <w:r>
        <w:rPr>
          <w:rFonts w:ascii="Arial" w:cs="Arial" w:eastAsia="Arial" w:hAnsi="Arial"/>
          <w:sz w:val="16"/>
          <w:szCs w:val="16"/>
          <w:color w:val="auto"/>
        </w:rPr>
        <w:t>Under the terms of the service agreement, if Dr. Møller's employment is terminated by us without "cause", as defined in his service agreement, and subject to Dr. Møller's execution of a release in 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67" w:lineRule="exact"/>
        <w:rPr>
          <w:sz w:val="20"/>
          <w:szCs w:val="20"/>
          <w:color w:val="auto"/>
        </w:rPr>
      </w:pPr>
    </w:p>
    <w:p>
      <w:pPr>
        <w:ind w:right="60" w:firstLine="605"/>
        <w:spacing w:after="0" w:line="259" w:lineRule="auto"/>
        <w:rPr>
          <w:sz w:val="20"/>
          <w:szCs w:val="20"/>
          <w:color w:val="auto"/>
        </w:rPr>
      </w:pPr>
      <w:r>
        <w:rPr>
          <w:rFonts w:ascii="Arial" w:cs="Arial" w:eastAsia="Arial" w:hAnsi="Arial"/>
          <w:sz w:val="18"/>
          <w:szCs w:val="18"/>
          <w:color w:val="auto"/>
        </w:rPr>
        <w:t xml:space="preserve">As defined in Dr. Møller's service agreement, "cause" means (1) Dr. Møller's fraudulent, unlawful, grossly negligent or willful misconduct in connection with his duties to us, (2) conduct by Dr. Møller which is materially injurious to the business or reputation of us or any of our affiliated entities or any of their respective partners or members, or (3) Dr. Møller's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right="60" w:firstLine="615"/>
        <w:spacing w:after="0" w:line="253" w:lineRule="auto"/>
        <w:rPr>
          <w:sz w:val="20"/>
          <w:szCs w:val="20"/>
          <w:color w:val="auto"/>
        </w:rPr>
      </w:pPr>
      <w:r>
        <w:rPr>
          <w:rFonts w:ascii="Arial" w:cs="Arial" w:eastAsia="Arial" w:hAnsi="Arial"/>
          <w:sz w:val="18"/>
          <w:szCs w:val="18"/>
          <w:color w:val="auto"/>
        </w:rPr>
        <w:t>Dr. Møller has also agreed pursuant to the service agreement (1) not to compete with us in the United States, Denmark, or any other territory or country where we maintain employees, owns property or otherwise conducts business, during his employment and for a period of (a) one year after the termination of his employment in the event that Dr. Møller terminates his employment or (b) six months after the termination of his employment in the event that we terminate Dr. Møller's employment, (2) not to solicit our employees during his employment and for a period of (a) one year after the termination of his employment in the event that Dr. Møller terminates his employment or (b) six months after the termination of his employment in the event that we terminate Dr. Møller's employment, (3) not to disclose our confidential and proprietary information and (4) to assign to us related intellectual property developed during the course of his employment.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 Kruse</w:t>
      </w:r>
    </w:p>
    <w:p>
      <w:pPr>
        <w:spacing w:after="0" w:line="231" w:lineRule="exact"/>
        <w:rPr>
          <w:sz w:val="20"/>
          <w:szCs w:val="20"/>
          <w:color w:val="auto"/>
        </w:rPr>
      </w:pPr>
    </w:p>
    <w:p>
      <w:pPr>
        <w:ind w:right="160" w:firstLine="615"/>
        <w:spacing w:after="0" w:line="305" w:lineRule="auto"/>
        <w:rPr>
          <w:sz w:val="20"/>
          <w:szCs w:val="20"/>
          <w:color w:val="auto"/>
        </w:rPr>
      </w:pPr>
      <w:r>
        <w:rPr>
          <w:rFonts w:ascii="Arial" w:cs="Arial" w:eastAsia="Arial" w:hAnsi="Arial"/>
          <w:sz w:val="15"/>
          <w:szCs w:val="15"/>
          <w:color w:val="auto"/>
        </w:rPr>
        <w:t>In January 2016, we entered into a service agreement with Mr. Kruse. The service agreement establishes Mr. Kruse's title, his base salary, his eligibility for an annual bonus, and his eligibility for benefits and also provides for certain benefits upon termination of his employment under specified conditions.</w:t>
      </w:r>
    </w:p>
    <w:p>
      <w:pPr>
        <w:ind w:right="160"/>
        <w:spacing w:after="0" w:line="255" w:lineRule="auto"/>
        <w:rPr>
          <w:sz w:val="20"/>
          <w:szCs w:val="20"/>
          <w:color w:val="auto"/>
        </w:rPr>
      </w:pPr>
      <w:r>
        <w:rPr>
          <w:rFonts w:ascii="Arial" w:cs="Arial" w:eastAsia="Arial" w:hAnsi="Arial"/>
          <w:sz w:val="18"/>
          <w:szCs w:val="18"/>
          <w:color w:val="auto"/>
        </w:rPr>
        <w:t>Mr. Kruse is eligible to receive an annual bonus with a target of 50% of his base salary. Mr. Kruse's employment under the service agreement continues until terminated by us or Mr. Kruse. We may terminate Mr. Kruse's employment for any reason with 12 months' notice and Mr. Kruse may terminate his employment with 6 months' notice.</w:t>
      </w:r>
    </w:p>
    <w:p>
      <w:pPr>
        <w:spacing w:after="0" w:line="198"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Under the terms of the service agreement, if Mr. Kruse's employment is terminated by us without "cause", as defined in his service agreement,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97" w:lineRule="exact"/>
        <w:rPr>
          <w:sz w:val="20"/>
          <w:szCs w:val="20"/>
          <w:color w:val="auto"/>
        </w:rPr>
      </w:pPr>
    </w:p>
    <w:p>
      <w:pPr>
        <w:ind w:right="120" w:firstLine="605"/>
        <w:spacing w:after="0" w:line="332" w:lineRule="auto"/>
        <w:rPr>
          <w:sz w:val="20"/>
          <w:szCs w:val="20"/>
          <w:color w:val="auto"/>
        </w:rPr>
      </w:pPr>
      <w:r>
        <w:rPr>
          <w:rFonts w:ascii="Arial" w:cs="Arial" w:eastAsia="Arial" w:hAnsi="Arial"/>
          <w:sz w:val="16"/>
          <w:szCs w:val="16"/>
          <w:color w:val="auto"/>
        </w:rPr>
        <w:t>As defined in Mr. Kruse's service agreement, "cause" means actions on the part of Mr. Kruse which constitute gross negligence or willful misconduct in performance or non-performance of his duties or material breach of the services agreement by Mr. Kruse as long as such material breach is not cause by us.</w:t>
      </w:r>
    </w:p>
    <w:p>
      <w:pPr>
        <w:spacing w:after="0" w:line="139" w:lineRule="exact"/>
        <w:rPr>
          <w:sz w:val="20"/>
          <w:szCs w:val="20"/>
          <w:color w:val="auto"/>
        </w:rPr>
      </w:pPr>
    </w:p>
    <w:p>
      <w:pPr>
        <w:ind w:right="500" w:firstLine="615"/>
        <w:spacing w:after="0" w:line="268" w:lineRule="auto"/>
        <w:rPr>
          <w:sz w:val="20"/>
          <w:szCs w:val="20"/>
          <w:color w:val="auto"/>
        </w:rPr>
      </w:pPr>
      <w:r>
        <w:rPr>
          <w:rFonts w:ascii="Arial" w:cs="Arial" w:eastAsia="Arial" w:hAnsi="Arial"/>
          <w:sz w:val="18"/>
          <w:szCs w:val="18"/>
          <w:color w:val="auto"/>
        </w:rPr>
        <w:t>Mr. Kruse has also agreed pursuant to the service agreement (1) not to disclose our confidential and proprietary information and (2) to assign to us related intellectual property developed during the course of his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The equity incentive plans described in this section are the 2015 Plan and the ESPP. Following the closing of this offering, we expect to grant equity awards to eligible participants only under these plans or successor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Plan</w:t>
      </w:r>
    </w:p>
    <w:p>
      <w:pPr>
        <w:spacing w:after="0" w:line="225" w:lineRule="exact"/>
        <w:rPr>
          <w:sz w:val="20"/>
          <w:szCs w:val="20"/>
          <w:color w:val="auto"/>
        </w:rPr>
      </w:pPr>
    </w:p>
    <w:p>
      <w:pPr>
        <w:ind w:right="280" w:firstLine="615"/>
        <w:spacing w:after="0" w:line="256" w:lineRule="auto"/>
        <w:rPr>
          <w:sz w:val="20"/>
          <w:szCs w:val="20"/>
          <w:color w:val="auto"/>
        </w:rPr>
      </w:pPr>
      <w:r>
        <w:rPr>
          <w:rFonts w:ascii="Arial" w:cs="Arial" w:eastAsia="Arial" w:hAnsi="Arial"/>
          <w:sz w:val="18"/>
          <w:szCs w:val="18"/>
          <w:color w:val="auto"/>
        </w:rPr>
        <w:t>Our board of directors and stockholders have approved and adopted the 2015 Plan, which provides for the grant of incentive stock options, within the meaning of Section 422 of the Code, to our employees and any parent and subsidiary corporations' employees, and for the grant of nonstatutory stock options, restricted stock, restricted stock units and stock appreciation rights to our employees, directors and consultants and our parent and subsidiary corporations' employees and consultants.</w:t>
      </w:r>
    </w:p>
    <w:p>
      <w:pPr>
        <w:spacing w:after="0" w:line="191" w:lineRule="exact"/>
        <w:rPr>
          <w:sz w:val="20"/>
          <w:szCs w:val="20"/>
          <w:color w:val="auto"/>
        </w:rPr>
      </w:pPr>
    </w:p>
    <w:p>
      <w:pPr>
        <w:ind w:right="280" w:firstLine="615"/>
        <w:spacing w:after="0" w:line="275" w:lineRule="auto"/>
        <w:rPr>
          <w:sz w:val="20"/>
          <w:szCs w:val="20"/>
          <w:color w:val="auto"/>
        </w:rPr>
      </w:pPr>
      <w:r>
        <w:rPr>
          <w:rFonts w:ascii="Arial" w:cs="Arial" w:eastAsia="Arial" w:hAnsi="Arial"/>
          <w:sz w:val="18"/>
          <w:szCs w:val="18"/>
          <w:b w:val="1"/>
          <w:bCs w:val="1"/>
          <w:color w:val="auto"/>
        </w:rPr>
        <w:t xml:space="preserve">Stock Subject to the 2015 Plan. </w:t>
      </w:r>
      <w:r>
        <w:rPr>
          <w:rFonts w:ascii="Arial" w:cs="Arial" w:eastAsia="Arial" w:hAnsi="Arial"/>
          <w:sz w:val="18"/>
          <w:szCs w:val="18"/>
          <w:color w:val="auto"/>
        </w:rPr>
        <w:t>Currently, a total of 4,500,000 shares of our common stock are reserved for issuance pursuant to the 2015 Plan,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2,281,000 are available for further grant.</w:t>
      </w:r>
    </w:p>
    <w:p>
      <w:pPr>
        <w:spacing w:after="0" w:line="174" w:lineRule="exact"/>
        <w:rPr>
          <w:sz w:val="20"/>
          <w:szCs w:val="20"/>
          <w:color w:val="auto"/>
        </w:rPr>
      </w:pPr>
    </w:p>
    <w:p>
      <w:pPr>
        <w:ind w:firstLine="605"/>
        <w:spacing w:after="0" w:line="262" w:lineRule="auto"/>
        <w:rPr>
          <w:sz w:val="20"/>
          <w:szCs w:val="20"/>
          <w:color w:val="auto"/>
        </w:rPr>
      </w:pPr>
      <w:r>
        <w:rPr>
          <w:rFonts w:ascii="Arial" w:cs="Arial" w:eastAsia="Arial" w:hAnsi="Arial"/>
          <w:sz w:val="18"/>
          <w:szCs w:val="18"/>
          <w:b w:val="1"/>
          <w:bCs w:val="1"/>
          <w:color w:val="auto"/>
        </w:rPr>
        <w:t xml:space="preserve">Automatic Share Reserve Increase. </w:t>
      </w:r>
      <w:r>
        <w:rPr>
          <w:rFonts w:ascii="Arial" w:cs="Arial" w:eastAsia="Arial" w:hAnsi="Arial"/>
          <w:sz w:val="18"/>
          <w:szCs w:val="18"/>
          <w:color w:val="auto"/>
        </w:rPr>
        <w:t>Subject to the provisions of the 2015 Plan, the number of shares available for issuance under the 2015 Plan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increased on the first day of each fiscal year so that the total number of shares available for issuance under the 2015 Plan shall be a number equal to six percent of the issued and outstanding Shares on the last day of the immediately preceding fiscal year.</w:t>
      </w:r>
    </w:p>
    <w:p>
      <w:pPr>
        <w:spacing w:after="0" w:line="186" w:lineRule="exact"/>
        <w:rPr>
          <w:sz w:val="20"/>
          <w:szCs w:val="20"/>
          <w:color w:val="auto"/>
        </w:rPr>
      </w:pPr>
    </w:p>
    <w:p>
      <w:pPr>
        <w:ind w:firstLine="615"/>
        <w:spacing w:after="0" w:line="301" w:lineRule="auto"/>
        <w:rPr>
          <w:sz w:val="20"/>
          <w:szCs w:val="20"/>
          <w:color w:val="auto"/>
        </w:rPr>
      </w:pPr>
      <w:r>
        <w:rPr>
          <w:rFonts w:ascii="Arial" w:cs="Arial" w:eastAsia="Arial" w:hAnsi="Arial"/>
          <w:sz w:val="16"/>
          <w:szCs w:val="16"/>
          <w:b w:val="1"/>
          <w:bCs w:val="1"/>
          <w:color w:val="auto"/>
        </w:rPr>
        <w:t xml:space="preserve">Lapsed Awards. </w:t>
      </w:r>
      <w:r>
        <w:rPr>
          <w:rFonts w:ascii="Arial" w:cs="Arial" w:eastAsia="Arial" w:hAnsi="Arial"/>
          <w:sz w:val="16"/>
          <w:szCs w:val="16"/>
          <w:color w:val="auto"/>
        </w:rPr>
        <w:t>If an award expires or becomes unexercisable without having been exercised in full, is surrendered pursuant to an exchange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or, with respect to restricted stock or restricted stock units, is forfeited or repurchased due to failure to vest, the unpurchased shares, or for awards other than stock options or stock appreciation rights, the forfeited or repurchased shares will become available for future grant or sale under the 2015 Plan. With respect to stock appreciation rights, the net shares issued will cease to be available under the 2015 Plan and all remaining shares will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remain available for future grant or sale under the 2015 Plan. Shares used to pay the exercise price of an award or satisfy the tax withholding obligations related to an award will become available for future grant or sale under the 2015 Plan. To the extent an award is paid out in cash rather than shares, such cash payment will not result in reducing the number of shares available for issuance under the 2015 Plan.</w:t>
      </w:r>
    </w:p>
    <w:p>
      <w:pPr>
        <w:spacing w:after="0" w:line="188"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Our board of directors or one or more committees appointed by our board of directors, or the Plan Administrator, will</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 the 2015 Plan. In the case of awards intended to qualify as "performance-based compensation" within the meaning of Section 162(m) of the Code, the committee will consist of two or more "outside directors" within the meaning of Section 162(m). Subject to the provisions of the 2015 Plan, the Plan Administrator has the power to administer the 2015 Plan, including but not limited to, the power to interpret the terms of the 2015 Plan and awards granted under it, to create, amend and revoke rules relating to the 2015 Plan, including rules and regulations relating to sub-plans, and to determine the terms of the awards, including the exercise price, the number of shares subject to each such award, the exercisability of the awards and the form of consideration, if any, payable upon exercise. The Plan Administrator also has the authority to institute an exchange program under which the exercise price of an existing award is reduced or increased, participants may transfer outstanding awards to a financial institution or other person or entity selected by the Plan Administrator and outstanding awards may be surrendered in exchange for awards of the same type which may have a higher or lower exercise price or different terms, awards of a different type and/or cash.</w:t>
      </w:r>
    </w:p>
    <w:p>
      <w:pPr>
        <w:spacing w:after="0" w:line="169"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Incentive stock options and nonstatutory stock options may be granted under the 2015 Plan. The exercise price of options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2015 Plan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Plan Administrator will determine the methods of payment of the exercise price of an option, which may include cash, shares or other property acceptable to the Plan Administrator, as well as other types of consideration permitted by applicable law. After the termination of service of an employee, director or consultant, he or she may exercise his or her option for the period of time stated in his or her option agreement. Generally, if termination is due to disability, the option will remain exercisable for 12 months, and if the termination is due to death, the option will remain exercisable for six months. In all other cases, the option will generally remain exercisable for the earlier of (i) three months following the termination of service, or (ii) the expiration of the term of the option. However, in no event may an option be exercised later than the expiration of its term. Subject to the provisions of the 2015 Plan, the Plan Administrator determines the other terms of options.</w:t>
      </w:r>
    </w:p>
    <w:p>
      <w:pPr>
        <w:spacing w:after="0" w:line="169"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b w:val="1"/>
          <w:bCs w:val="1"/>
          <w:color w:val="auto"/>
        </w:rPr>
        <w:t xml:space="preserve">Stock Appreciation Rights. </w:t>
      </w:r>
      <w:r>
        <w:rPr>
          <w:rFonts w:ascii="Arial" w:cs="Arial" w:eastAsia="Arial" w:hAnsi="Arial"/>
          <w:sz w:val="16"/>
          <w:szCs w:val="16"/>
          <w:color w:val="auto"/>
        </w:rPr>
        <w:t>Stock appreciation rights may be granted under the 2015 Plan. Stock appreciation rights allow the recipient to receive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in the fair market value of our common stock between the exercise date and the date of grant. Stock appreciation rights may not have a term exceeding 10 years. During employment or after the termination of service of an employee, director or consultant, he or she may exercise his or her stock appreciation right for the period of time stated in his or her option agreement. However, in no event may a stock appreciation right be exercised later than the expiration of its term. Subject to the provisions of the 2015 Plan, the Plan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Restricted stock awards may be granted under the 2015 Plan. Restricted stock awards are grants of shares of our common stock that</w:t>
      </w:r>
      <w:r>
        <w:rPr>
          <w:rFonts w:ascii="Arial" w:cs="Arial" w:eastAsia="Arial" w:hAnsi="Arial"/>
          <w:sz w:val="16"/>
          <w:szCs w:val="16"/>
          <w:b w:val="1"/>
          <w:bCs w:val="1"/>
          <w:color w:val="auto"/>
        </w:rPr>
        <w:t xml:space="preserve"> </w:t>
      </w:r>
      <w:r>
        <w:rPr>
          <w:rFonts w:ascii="Arial" w:cs="Arial" w:eastAsia="Arial" w:hAnsi="Arial"/>
          <w:sz w:val="16"/>
          <w:szCs w:val="16"/>
          <w:color w:val="auto"/>
        </w:rPr>
        <w:t>vest in accordance with terms and conditions established by the Administrator. The Plan Administrator will determine the number of shares of restricted stock granted to any employee, director or consultant and, subject to the provisions of the 2015 Plan, will determine the terms and conditions of such awards. The Plan Administrator may impose whatever conditions to vesting it determines to be appropriate. For example, the Plan Administrator may set restrictions based on the achievement of specific performance goals or continued service to us; provided, however, that the Plan Administrator, in its sole discretion, may accelerate the time at which any restrictions will lapse or be removed. Recipients of restricted stock awards generally will have voting and dividend rights with respect to such shares upon grant without regard to vesting, unless the Plan Administrator provides otherwise.</w:t>
      </w:r>
    </w:p>
    <w:p>
      <w:pPr>
        <w:spacing w:after="0" w:line="167" w:lineRule="exact"/>
        <w:rPr>
          <w:sz w:val="20"/>
          <w:szCs w:val="20"/>
          <w:color w:val="auto"/>
        </w:rPr>
      </w:pPr>
    </w:p>
    <w:p>
      <w:pPr>
        <w:ind w:right="60" w:firstLine="615"/>
        <w:spacing w:after="0" w:line="296"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Restricted stock units may be granted under the 2015 Plan. Restricted stock units are bookkeeping entries representing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equal to the fair market value of one share of our common stock. Subject to the provisions of the 2015 Plan, the Plan Administrator will determine the terms and conditions of restricted stock units, including the vesting criteria (which may include accomplishing specified company-wide, business unit or individual performance criteria or continued service to us) and the form and timing of payment. Notwithstanding the foregoing, the Plan Administrator, in its sole discretion, may accelerate the time at which any restricted stock units will vest. Restricted stock units may be settled in cash, shares or a combination of both.</w:t>
      </w:r>
    </w:p>
    <w:p>
      <w:pPr>
        <w:spacing w:after="0" w:line="162" w:lineRule="exact"/>
        <w:rPr>
          <w:sz w:val="20"/>
          <w:szCs w:val="20"/>
          <w:color w:val="auto"/>
        </w:rPr>
      </w:pPr>
    </w:p>
    <w:p>
      <w:pPr>
        <w:ind w:firstLine="615"/>
        <w:spacing w:after="0" w:line="275" w:lineRule="auto"/>
        <w:rPr>
          <w:sz w:val="20"/>
          <w:szCs w:val="20"/>
          <w:color w:val="auto"/>
        </w:rPr>
      </w:pPr>
      <w:r>
        <w:rPr>
          <w:rFonts w:ascii="Arial" w:cs="Arial" w:eastAsia="Arial" w:hAnsi="Arial"/>
          <w:sz w:val="18"/>
          <w:szCs w:val="18"/>
          <w:b w:val="1"/>
          <w:bCs w:val="1"/>
          <w:color w:val="auto"/>
        </w:rPr>
        <w:t xml:space="preserve">Outside Directors. </w:t>
      </w:r>
      <w:r>
        <w:rPr>
          <w:rFonts w:ascii="Arial" w:cs="Arial" w:eastAsia="Arial" w:hAnsi="Arial"/>
          <w:sz w:val="18"/>
          <w:szCs w:val="18"/>
          <w:color w:val="auto"/>
        </w:rPr>
        <w:t>The 2015 Plan provides that all non-employee directors are eligible to receive all types of awards other than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2015 Plan.</w:t>
      </w:r>
    </w:p>
    <w:p>
      <w:pPr>
        <w:spacing w:after="0" w:line="174" w:lineRule="exact"/>
        <w:rPr>
          <w:sz w:val="20"/>
          <w:szCs w:val="20"/>
          <w:color w:val="auto"/>
        </w:rPr>
      </w:pPr>
    </w:p>
    <w:p>
      <w:pPr>
        <w:ind w:right="20" w:firstLine="615"/>
        <w:spacing w:after="0" w:line="262" w:lineRule="auto"/>
        <w:rPr>
          <w:sz w:val="20"/>
          <w:szCs w:val="20"/>
          <w:color w:val="auto"/>
        </w:rPr>
      </w:pPr>
      <w:r>
        <w:rPr>
          <w:rFonts w:ascii="Arial" w:cs="Arial" w:eastAsia="Arial" w:hAnsi="Arial"/>
          <w:sz w:val="18"/>
          <w:szCs w:val="18"/>
          <w:b w:val="1"/>
          <w:bCs w:val="1"/>
          <w:color w:val="auto"/>
        </w:rPr>
        <w:t xml:space="preserve">Non-transferability of Awards. </w:t>
      </w:r>
      <w:r>
        <w:rPr>
          <w:rFonts w:ascii="Arial" w:cs="Arial" w:eastAsia="Arial" w:hAnsi="Arial"/>
          <w:sz w:val="18"/>
          <w:szCs w:val="18"/>
          <w:color w:val="auto"/>
        </w:rPr>
        <w:t>Except as provided in the 2015 Plan or as the Plan Administrator determines, awards may not be sold,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assigned, or otherwise alienated or hypothecated until the end of the applicable period of restriction, and such shares evidenced by a stock certificate will contain a legend referencing the shares' substantial risk of forfeiture restrictions.</w:t>
      </w:r>
    </w:p>
    <w:p>
      <w:pPr>
        <w:spacing w:after="0" w:line="186" w:lineRule="exact"/>
        <w:rPr>
          <w:sz w:val="20"/>
          <w:szCs w:val="20"/>
          <w:color w:val="auto"/>
        </w:rPr>
      </w:pPr>
    </w:p>
    <w:p>
      <w:pPr>
        <w:ind w:right="160" w:firstLine="615"/>
        <w:spacing w:after="0" w:line="296" w:lineRule="auto"/>
        <w:rPr>
          <w:sz w:val="20"/>
          <w:szCs w:val="20"/>
          <w:color w:val="auto"/>
        </w:rPr>
      </w:pPr>
      <w:r>
        <w:rPr>
          <w:rFonts w:ascii="Arial" w:cs="Arial" w:eastAsia="Arial" w:hAnsi="Arial"/>
          <w:sz w:val="16"/>
          <w:szCs w:val="16"/>
          <w:b w:val="1"/>
          <w:bCs w:val="1"/>
          <w:color w:val="auto"/>
        </w:rPr>
        <w:t xml:space="preserve">Certain Adjustments. </w:t>
      </w:r>
      <w:r>
        <w:rPr>
          <w:rFonts w:ascii="Arial" w:cs="Arial" w:eastAsia="Arial" w:hAnsi="Arial"/>
          <w:sz w:val="16"/>
          <w:szCs w:val="16"/>
          <w:color w:val="auto"/>
        </w:rPr>
        <w:t>In the event of certain changes in our capitalization or change in our corporate structure, as described in the 2015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diminution or enlargement of the benefits or potential benefits available under the 2015 Plan, the Plan Administrator will adjust the number and class of shares that may be delivered under the 2015 Plan and/or the number, class and price of shares covered by each outstanding award. In the event of our proposed liquidation or dissolution, the Plan Administrator will notify participants as soon as practicable prior to the proposed transaction and all awards will terminate immediately prior to the consummation of such proposed transaction.</w:t>
      </w:r>
    </w:p>
    <w:p>
      <w:pPr>
        <w:spacing w:after="0" w:line="162" w:lineRule="exact"/>
        <w:rPr>
          <w:sz w:val="20"/>
          <w:szCs w:val="20"/>
          <w:color w:val="auto"/>
        </w:rPr>
      </w:pPr>
    </w:p>
    <w:p>
      <w:pPr>
        <w:ind w:right="40" w:firstLine="615"/>
        <w:spacing w:after="0" w:line="293" w:lineRule="auto"/>
        <w:rPr>
          <w:sz w:val="20"/>
          <w:szCs w:val="20"/>
          <w:color w:val="auto"/>
        </w:rPr>
      </w:pPr>
      <w:r>
        <w:rPr>
          <w:rFonts w:ascii="Arial" w:cs="Arial" w:eastAsia="Arial" w:hAnsi="Arial"/>
          <w:sz w:val="16"/>
          <w:szCs w:val="16"/>
          <w:b w:val="1"/>
          <w:bCs w:val="1"/>
          <w:color w:val="auto"/>
        </w:rPr>
        <w:t xml:space="preserve">Merger or Change in Control. </w:t>
      </w:r>
      <w:r>
        <w:rPr>
          <w:rFonts w:ascii="Arial" w:cs="Arial" w:eastAsia="Arial" w:hAnsi="Arial"/>
          <w:sz w:val="16"/>
          <w:szCs w:val="16"/>
          <w:color w:val="auto"/>
        </w:rPr>
        <w:t>The 2015 Plan provides that in the event of a merger or change in control, as defined under the 2015 Plan, each</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award will be treated as the Plan Administrator determines, except that if a successor corporation or its parent or subsidiary does not assume or substitute an award for any outstanding award (or a portion thereof), then such award will fully vest, all restrictions on the shares subject to such award will lapse, all performance goals or other performance-based vesting criteria applicable to the shares subject to such award will be deemed achieved at 100% of target levels. If an award is not assumed by the successor in accordance with the terms of the award, all of the shares subject to such award will become fully exercisable, if applicable, for a specified period prior to the transaction. The award will then terminate upon the expiration of the specified period of time.</w:t>
      </w:r>
    </w:p>
    <w:p>
      <w:pPr>
        <w:spacing w:after="0" w:line="165" w:lineRule="exact"/>
        <w:rPr>
          <w:sz w:val="20"/>
          <w:szCs w:val="20"/>
          <w:color w:val="auto"/>
        </w:rPr>
      </w:pPr>
    </w:p>
    <w:p>
      <w:pPr>
        <w:ind w:right="760" w:firstLine="611"/>
        <w:spacing w:after="0" w:line="310" w:lineRule="auto"/>
        <w:rPr>
          <w:sz w:val="20"/>
          <w:szCs w:val="20"/>
          <w:color w:val="auto"/>
        </w:rPr>
      </w:pPr>
      <w:r>
        <w:rPr>
          <w:rFonts w:ascii="Arial" w:cs="Arial" w:eastAsia="Arial" w:hAnsi="Arial"/>
          <w:sz w:val="16"/>
          <w:szCs w:val="16"/>
          <w:b w:val="1"/>
          <w:bCs w:val="1"/>
          <w:color w:val="auto"/>
        </w:rPr>
        <w:t xml:space="preserve">Tax Compliance. </w:t>
      </w:r>
      <w:r>
        <w:rPr>
          <w:rFonts w:ascii="Arial" w:cs="Arial" w:eastAsia="Arial" w:hAnsi="Arial"/>
          <w:sz w:val="16"/>
          <w:szCs w:val="16"/>
          <w:color w:val="auto"/>
        </w:rPr>
        <w:t>Awards under the 2015 Plan generally will be designed and operated in such a manner that they are either exempt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of, or comply with, the requirements of Code Section 409A, The 2015 Plan and each award agreement thereunder is intended to meet the requirements of Code Section 409A and generally will be construed and interpreted in accordance with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such intent.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and interest applicable under Code Section 409A, except as otherwise determined in the sole discretion of the Administrator.</w:t>
      </w:r>
    </w:p>
    <w:p>
      <w:pPr>
        <w:spacing w:after="0" w:line="161"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 addition, prior to the delivery of any shares or cash pursuant to an award (or exercise thereof), we have the power and the right to deduct or withhold, or require a participant to remit to us an amount sufficient to satisfy federal, state, local, foreign income, payroll or other taxes (including the participant's FICA obligation) required to be withheld with respect to such award (or exercise thereof).</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Administrator, in its sole discretion may permit a participant to satisfy such tax withholding obligation, in whole or in part by (without limitation)</w:t>
      </w:r>
    </w:p>
    <w:p>
      <w:pPr>
        <w:spacing w:after="0" w:line="38" w:lineRule="exact"/>
        <w:rPr>
          <w:sz w:val="20"/>
          <w:szCs w:val="20"/>
          <w:color w:val="auto"/>
        </w:rPr>
      </w:pPr>
    </w:p>
    <w:p>
      <w:pPr>
        <w:ind w:firstLine="8"/>
        <w:spacing w:after="0" w:line="290" w:lineRule="auto"/>
        <w:tabs>
          <w:tab w:leader="none" w:pos="21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paying cash, (ii) electing to have us withhold otherwise deliverable shares having a fair market value equal to the minimum statutory amount required to be withheld, (iii) delivering already-owned shares having a fair market value equal to the statutory amount required to be withheld, or (iv) selling a sufficient number of shares otherwise deliverable to the participant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66" w:lineRule="exact"/>
        <w:rPr>
          <w:sz w:val="20"/>
          <w:szCs w:val="20"/>
          <w:color w:val="auto"/>
        </w:rPr>
      </w:pPr>
    </w:p>
    <w:p>
      <w:pPr>
        <w:ind w:firstLine="605"/>
        <w:spacing w:after="0" w:line="339" w:lineRule="auto"/>
        <w:rPr>
          <w:sz w:val="20"/>
          <w:szCs w:val="20"/>
          <w:color w:val="auto"/>
        </w:rPr>
      </w:pPr>
      <w:r>
        <w:rPr>
          <w:rFonts w:ascii="Arial" w:cs="Arial" w:eastAsia="Arial" w:hAnsi="Arial"/>
          <w:sz w:val="16"/>
          <w:szCs w:val="16"/>
          <w:b w:val="1"/>
          <w:bCs w:val="1"/>
          <w:color w:val="auto"/>
        </w:rPr>
        <w:t xml:space="preserve">Amendment, Termination. </w:t>
      </w:r>
      <w:r>
        <w:rPr>
          <w:rFonts w:ascii="Arial" w:cs="Arial" w:eastAsia="Arial" w:hAnsi="Arial"/>
          <w:sz w:val="16"/>
          <w:szCs w:val="16"/>
          <w:color w:val="auto"/>
        </w:rPr>
        <w:t>The board of directors has the authority to amend, suspend or terminate the 2015 Plan provided such action will not impair</w:t>
      </w:r>
      <w:r>
        <w:rPr>
          <w:rFonts w:ascii="Arial" w:cs="Arial" w:eastAsia="Arial" w:hAnsi="Arial"/>
          <w:sz w:val="16"/>
          <w:szCs w:val="16"/>
          <w:b w:val="1"/>
          <w:bCs w:val="1"/>
          <w:color w:val="auto"/>
        </w:rPr>
        <w:t xml:space="preserve"> </w:t>
      </w:r>
      <w:r>
        <w:rPr>
          <w:rFonts w:ascii="Arial" w:cs="Arial" w:eastAsia="Arial" w:hAnsi="Arial"/>
          <w:sz w:val="16"/>
          <w:szCs w:val="16"/>
          <w:color w:val="auto"/>
        </w:rPr>
        <w:t>the existing rights of any participant without such participant's consent. The 2015 Plan will automatically terminate in 2025, unless we terminate it sooner.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Our board of directors is currently considering the implementation of an employee stock purchase plan, or ESPP, to become effective upon completion of this offering. If adopted by our board of directors and approved by our stockholders, among other things, the ESPP will provide eligible employees with the ability to purchase shares of our common stock at a slight discount to the applicable closing sale price of our common stock. The ESPP will be described in further detail in this Registration Statement if it is adopted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 Plans</w:t>
      </w:r>
    </w:p>
    <w:p>
      <w:pPr>
        <w:spacing w:after="0" w:line="231" w:lineRule="exact"/>
        <w:rPr>
          <w:sz w:val="20"/>
          <w:szCs w:val="20"/>
          <w:color w:val="auto"/>
        </w:rPr>
      </w:pPr>
    </w:p>
    <w:p>
      <w:pPr>
        <w:ind w:right="320" w:firstLine="611"/>
        <w:spacing w:after="0" w:line="259" w:lineRule="auto"/>
        <w:rPr>
          <w:sz w:val="20"/>
          <w:szCs w:val="20"/>
          <w:color w:val="auto"/>
        </w:rPr>
      </w:pPr>
      <w:r>
        <w:rPr>
          <w:rFonts w:ascii="Arial" w:cs="Arial" w:eastAsia="Arial" w:hAnsi="Arial"/>
          <w:sz w:val="18"/>
          <w:szCs w:val="18"/>
          <w:color w:val="auto"/>
        </w:rPr>
        <w:t>We currently provide broad-based health and welfare benefits that are available to all of our U.S. employees, including our named executive officers, including health, life and disability insurance. We may adopt a 401(k) retirement plan for the benefit of our U.S. employees, including our named executive officers, in 2018.</w:t>
      </w:r>
    </w:p>
    <w:p>
      <w:pPr>
        <w:spacing w:after="0" w:line="194"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have established a retirement program for the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2016. In addition, health insurance benefits for our Danish employees are fully paid for by such employees. Our Danish subsidiary does not incur any costs for these health insurance benefits.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31" w:lineRule="exact"/>
        <w:rPr>
          <w:sz w:val="20"/>
          <w:szCs w:val="20"/>
          <w:color w:val="auto"/>
        </w:rPr>
      </w:pPr>
    </w:p>
    <w:p>
      <w:pPr>
        <w:ind w:right="60" w:firstLine="605"/>
        <w:spacing w:after="0" w:line="294" w:lineRule="auto"/>
        <w:rPr>
          <w:sz w:val="20"/>
          <w:szCs w:val="20"/>
          <w:color w:val="auto"/>
        </w:rPr>
      </w:pPr>
      <w:r>
        <w:rPr>
          <w:rFonts w:ascii="Arial" w:cs="Arial" w:eastAsia="Arial" w:hAnsi="Arial"/>
          <w:sz w:val="16"/>
          <w:szCs w:val="16"/>
          <w:color w:val="auto"/>
        </w:rPr>
        <w:t>As permitted by the General Corporation Law of the State of Delaware, or DGCL, we expect our board of directors and stockholders to adopt provisions in our certificate of incorporation, which will become effective as of the closing date of this offering, that limit or eliminate the personal liability of our directors. Our certificate of incorporation, which will become effective as of the closing date of this offering, limits the personal liability of directors for breach of fiduciary duty to the maximum extent permitted by the DGCL and provides that no director will have personal liability to us or to our stockholders for monetary damages for breach of fiduciary duty. However, these provisions do not eliminate or limit the liability of any of our directors:</w:t>
      </w:r>
    </w:p>
    <w:p>
      <w:pPr>
        <w:spacing w:after="0" w:line="183"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260" w:firstLine="605"/>
        <w:spacing w:after="0" w:line="30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1"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In addition, our certificate of incorporation, which will become effective as of the closing date of this offering, provides that we must indemnify our directors and officers and we must advance expenses, including attorneys' fees, to our directors and officers in connection with legal proceedings, subject to very limited exceptions.</w:t>
      </w:r>
    </w:p>
    <w:p>
      <w:pPr>
        <w:spacing w:after="0" w:line="194" w:lineRule="exact"/>
        <w:rPr>
          <w:sz w:val="20"/>
          <w:szCs w:val="20"/>
          <w:color w:val="auto"/>
        </w:rPr>
      </w:pPr>
    </w:p>
    <w:p>
      <w:pPr>
        <w:ind w:right="100" w:firstLine="611"/>
        <w:spacing w:after="0" w:line="291" w:lineRule="auto"/>
        <w:rPr>
          <w:sz w:val="20"/>
          <w:szCs w:val="20"/>
          <w:color w:val="auto"/>
        </w:rPr>
      </w:pPr>
      <w:r>
        <w:rPr>
          <w:rFonts w:ascii="Arial" w:cs="Arial" w:eastAsia="Arial" w:hAnsi="Arial"/>
          <w:sz w:val="16"/>
          <w:szCs w:val="16"/>
          <w:color w:val="auto"/>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each of our executive officers and directors. With respect to Dr. Buschle, Dr. Healy and Dr. Tyagi, we have also agreed to indemnify their respective affiliated funds which have designated them to be members of our board of directors. These indemnification agreements require us, among other things, to indemnify each such director (and their affiliated funds) or executive officer for certain expenses, including attorneys' fees, judgments, fines and settlement amounts, incurred by him or her in any action or proceeding arising out of his or her service as one of our directors or officers.</w:t>
      </w:r>
    </w:p>
    <w:p>
      <w:pPr>
        <w:spacing w:after="0" w:line="174"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86"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executive officers or persons controlling us,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compensation paid to our non-employee directors during the fiscal year ended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6"/>
              </w:rPr>
              <w:t>Fees Earned 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5"/>
              </w:rPr>
              <w:t>Paid in Cash ($)</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368"/>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Total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Johan Wedell-Wedellsborg(1)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7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Dr. Gregory Raskin(1)</w:t>
            </w:r>
          </w:p>
        </w:tc>
        <w:tc>
          <w:tcPr>
            <w:tcW w:w="500" w:type="dxa"/>
            <w:vAlign w:val="bottom"/>
          </w:tcPr>
          <w:p>
            <w:pPr>
              <w:jc w:val="right"/>
              <w:spacing w:after="0"/>
              <w:rPr>
                <w:sz w:val="20"/>
                <w:szCs w:val="20"/>
                <w:color w:val="auto"/>
              </w:rPr>
            </w:pPr>
            <w:r>
              <w:rPr>
                <w:rFonts w:ascii="Arial" w:cs="Arial" w:eastAsia="Arial" w:hAnsi="Arial"/>
                <w:sz w:val="18"/>
                <w:szCs w:val="18"/>
                <w:color w:val="auto"/>
              </w:rPr>
              <w:t>2017</w:t>
            </w:r>
          </w:p>
        </w:tc>
        <w:tc>
          <w:tcPr>
            <w:tcW w:w="120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7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289" w:lineRule="auto"/>
        <w:tabs>
          <w:tab w:leader="none" w:pos="16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of December 31, 2017, the aggregate number of shares of our common stock subject to each non-employee director's outstanding option awards was 36,000 shares for each of Mr. Wedell-Wedellsborg and Dr. Raskin, and no other non-employee directors held any stock options or other equity-based awards. Each of Mr. Wedell-Wedellsborg and Dr. Raskin were granted an option to purchase 36,000 shares of our common stock on October 21, 2016. These options vest over three years, with one-third of the shares of common stock underlying each option vesting at grant, and the remaining two-thirds vesting one thirty-sixth each month over the three years ending on October 21, 2019, subject to Mr. Wedell-Wedellsborg's and Dr. Raskin's continued service through such dates and unless vesting is accelerated pursuant to the terms of the grant. As of December 31, 2017, there were no other option awards outstanding and held by our non-employee directors.</w:t>
      </w:r>
    </w:p>
    <w:p>
      <w:pPr>
        <w:spacing w:after="0" w:line="172"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Prior to the completion of this offering, we did not have a formal non-employee director compensation policy. In 2016, we granted options to purchase 36,000 shares of common stock to each of Mr. Wedell-Wedellsborg and Dr. Raskin, respectively, with an exercise price of $4.38 per share. These options vest over three years, with one-third of the shares of common stock underlying each option vesting at grant and the remaining two-third vesting one thirty-sixth each month over the three years ending on October 21, 2019, subject to Mr. Wedell-Wedellsborg's and Dr. Raskin's continued service through such dates, and unless vesting is accelerated pursuant to the terms of the grant. As of December 31, 2017, there were no other stock awards or option awards outstanding and held by our non-employee directors.</w:t>
      </w:r>
    </w:p>
    <w:p>
      <w:pPr>
        <w:spacing w:after="0" w:line="198"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We reimburse our non-employee directors for reasonable travel and out-of-pocket expenses incurred in connection with attending board of directors and committee meetings. The compensation that we pay to our executive management and employee directors is discussed earlier in this "Executive and Director Compensation" section. Except for fees and stock options, we do not provide our independent directors with any other form of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225"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connection with this offering, our board of directors is considering adopting a policy with respect to the compensation payable to our non-employee directors, which will become effective upon the completion of this offering. If adopted by our board of directors and approved by our stockholders, under this policy, each non-employee director will be eligible to receive compensation for his or her service on the board of directors and for service on each committee on which the director is a member,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which will consist of annual cash retainers and equity awards. Our non-employee directors will receive the following annual cash retainers for their service in 2018:</w:t>
      </w:r>
    </w:p>
    <w:p>
      <w:pPr>
        <w:spacing w:after="0" w:line="18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320" w:type="dxa"/>
            <w:vAlign w:val="bottom"/>
          </w:tcPr>
          <w:p>
            <w:pPr>
              <w:spacing w:after="0"/>
              <w:rPr>
                <w:sz w:val="14"/>
                <w:szCs w:val="14"/>
                <w:color w:val="auto"/>
              </w:rPr>
            </w:pPr>
          </w:p>
        </w:tc>
        <w:tc>
          <w:tcPr>
            <w:tcW w:w="2380" w:type="dxa"/>
            <w:vAlign w:val="bottom"/>
            <w:gridSpan w:val="3"/>
          </w:tcPr>
          <w:p>
            <w:pPr>
              <w:ind w:left="60"/>
              <w:spacing w:after="0"/>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Member</w:t>
            </w:r>
          </w:p>
        </w:tc>
        <w:tc>
          <w:tcPr>
            <w:tcW w:w="9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Board Chairperson</w:t>
            </w: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9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Compensation Committee Chair</w:t>
            </w: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w:t>
            </w:r>
          </w:p>
        </w:tc>
        <w:tc>
          <w:tcPr>
            <w:tcW w:w="9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Audit Committee Member</w:t>
            </w: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9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960" w:type="dxa"/>
            <w:vAlign w:val="bottom"/>
            <w:gridSpan w:val="3"/>
          </w:tcPr>
          <w:p>
            <w:pPr>
              <w:spacing w:after="0"/>
              <w:rPr>
                <w:sz w:val="20"/>
                <w:szCs w:val="20"/>
                <w:color w:val="auto"/>
              </w:rPr>
            </w:pPr>
            <w:r>
              <w:rPr>
                <w:rFonts w:ascii="Arial" w:cs="Arial" w:eastAsia="Arial" w:hAnsi="Arial"/>
                <w:sz w:val="18"/>
                <w:szCs w:val="18"/>
                <w:color w:val="auto"/>
                <w:w w:val="93"/>
              </w:rPr>
              <w:t>Stock option grants for non-employee directors will consist of (i) an initial stock option award with respect to</w:t>
            </w:r>
          </w:p>
        </w:tc>
        <w:tc>
          <w:tcPr>
            <w:tcW w:w="2700" w:type="dxa"/>
            <w:vAlign w:val="bottom"/>
            <w:gridSpan w:val="4"/>
          </w:tcPr>
          <w:p>
            <w:pPr>
              <w:ind w:left="260"/>
              <w:spacing w:after="0"/>
              <w:rPr>
                <w:sz w:val="20"/>
                <w:szCs w:val="20"/>
                <w:color w:val="auto"/>
              </w:rPr>
            </w:pPr>
            <w:r>
              <w:rPr>
                <w:rFonts w:ascii="Arial" w:cs="Arial" w:eastAsia="Arial" w:hAnsi="Arial"/>
                <w:sz w:val="18"/>
                <w:szCs w:val="18"/>
                <w:color w:val="auto"/>
                <w:w w:val="86"/>
              </w:rPr>
              <w:t>shares granted at the first regularly</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scheduled board meeting held on or after a director's first appointment or election to our board of directors and vesting in equal monthly installments until the</w:t>
      </w:r>
    </w:p>
    <w:p>
      <w:pPr>
        <w:spacing w:after="0" w:line="3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third anniversary of the date of grant, and (ii) an annual stock option award with respect to shares granted on the date of the first board meeting held following our annual stockholders meeting in each year commencing in 2018 and vesting on the first anniversary of the date of grant. The vesting of the initial and annual stock option grants are subject to the non-employee director's continued service on our board of directors.</w:t>
      </w:r>
    </w:p>
    <w:p>
      <w:pPr>
        <w:spacing w:after="0" w:line="163"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Directors may be reimbursed for travel, food, lodging and other expenses directly related to their service as directors. Directors are also entitled to the protection provided by their indemnification agreements and the indemnification provisions in our current certificate of incorporation and bylaws, as well as our amended and restated certificate of incorporation and amended and restated bylaws that will become effective upon the completion of this offering.</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The following is a description of transactions since our inception on April 30. 2015, to which we have been a party, in which the amount involved exceeded $120,000, and in which any of our directors, executive officers or holders of more than 5% of our capital stock, or an affiliate or immediate family member thereof, had or will have a direct or indirect material interest. We refer to such transactions as "related party transactions" and such persons as "related parties." With the approval of our board of directors, we have engaged in the related party transactions described below.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74"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Other than as described below and other than compensation arrangements, which are described where required under the section herein entitled "Executive and Director Compensation", there have not been, nor are there any currently proposed, transactions or series of similar transactions to which we have been or will be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231" w:lineRule="exact"/>
        <w:rPr>
          <w:sz w:val="20"/>
          <w:szCs w:val="20"/>
          <w:color w:val="auto"/>
        </w:rPr>
      </w:pPr>
    </w:p>
    <w:p>
      <w:pPr>
        <w:ind w:right="480" w:firstLine="615"/>
        <w:spacing w:after="0" w:line="259" w:lineRule="auto"/>
        <w:rPr>
          <w:sz w:val="20"/>
          <w:szCs w:val="20"/>
          <w:color w:val="auto"/>
        </w:rPr>
      </w:pPr>
      <w:r>
        <w:rPr>
          <w:rFonts w:ascii="Arial" w:cs="Arial" w:eastAsia="Arial" w:hAnsi="Arial"/>
          <w:sz w:val="18"/>
          <w:szCs w:val="18"/>
          <w:color w:val="auto"/>
        </w:rPr>
        <w:t>In August 2015, we issued and sold 5,010,000 shares of our common stock at a price per share of $0.20, for an aggregate purchase price of approximately $1,002,000. The following table sets forth the number of shares of our common stock purchased by our directors, executive officers and 5% stockholders and their affiliates and the approximate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WG Biotech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5,010,000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1,002,000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1,002,000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In November 2015, we issued and sold 1,027,397 shares of our common stock at a purchase price of $4.38 per share for an aggregated purchase price of approximately $4,500,000. The following table sets forth the number of shares of our common stock purchased by our directors, executive officers and 5% stockholders and their affiliates and the approximate aggregate purchase price paid for such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Peter Bang Holdings ApS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1,027,397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4,500,000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In December 2015, we issued and sold 1,027,487 shares of our common stock at a purchase price of $4.38 per share for an aggregate purchase price of approximately $4,500,400. The following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table sets 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431"/>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CM Holding 2015 IVS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319,634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March 2016, we issued and sold 570,776 shares of our common stock at a purchase price of $4.38 per share for an aggregate purchase price of approximately $2,500,000.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228,310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342,465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April 2016, we issued and sold 1,261,412 shares of our common stock at a purchase price of $4.38 per share for an aggregate purchase price of approximately $5,525,000.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Peter Bang Holdings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342,465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570,775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2,500,000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May 2016, we issued and sold 515,204 shares of our common stock at a purchase price of $4.38 per share for an aggregate purchase price of approximately $2,256,600. The following table sets</w:t>
      </w:r>
    </w:p>
    <w:p>
      <w:pPr>
        <w:spacing w:after="0" w:line="1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060" w:type="dxa"/>
            <w:vAlign w:val="bottom"/>
          </w:tcPr>
          <w:p>
            <w:pPr>
              <w:jc w:val="right"/>
              <w:spacing w:after="0"/>
              <w:rPr>
                <w:sz w:val="20"/>
                <w:szCs w:val="20"/>
                <w:color w:val="auto"/>
              </w:rPr>
            </w:pPr>
            <w:r>
              <w:rPr>
                <w:rFonts w:ascii="Arial" w:cs="Arial" w:eastAsia="Arial" w:hAnsi="Arial"/>
                <w:sz w:val="18"/>
                <w:szCs w:val="18"/>
                <w:color w:val="auto"/>
              </w:rPr>
              <w:t>45,662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45,662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firstLine="615"/>
        <w:spacing w:after="0" w:line="259" w:lineRule="auto"/>
        <w:rPr>
          <w:sz w:val="20"/>
          <w:szCs w:val="20"/>
          <w:color w:val="auto"/>
        </w:rPr>
      </w:pPr>
      <w:r>
        <w:rPr>
          <w:rFonts w:ascii="Arial" w:cs="Arial" w:eastAsia="Arial" w:hAnsi="Arial"/>
          <w:sz w:val="18"/>
          <w:szCs w:val="18"/>
          <w:color w:val="auto"/>
        </w:rPr>
        <w:t>In June 2016, we issued and sold 890,406 shares of our common stock at a purchase price of $4.38 per share for an aggregate purchase price of approximately $3,900,000.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136,986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Bo Kruse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57,077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Toluha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45,662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239,725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1,050,000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July 2016, we issued and sold 187,214 shares of our common stock at a price per share of $4.38, for an aggregate purchase price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$820,000. The following table sets forth the number of shares of our common stock purchased by our directors, executive officers and 5% stockholders and their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affiliates and the aggregate purchase price paid for such shares.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Peter Bang Holdings ApS</w:t>
            </w:r>
          </w:p>
        </w:tc>
        <w:tc>
          <w:tcPr>
            <w:tcW w:w="1060" w:type="dxa"/>
            <w:vAlign w:val="bottom"/>
          </w:tcPr>
          <w:p>
            <w:pPr>
              <w:jc w:val="right"/>
              <w:spacing w:after="0"/>
              <w:rPr>
                <w:sz w:val="20"/>
                <w:szCs w:val="20"/>
                <w:color w:val="auto"/>
              </w:rPr>
            </w:pPr>
            <w:r>
              <w:rPr>
                <w:rFonts w:ascii="Arial" w:cs="Arial" w:eastAsia="Arial" w:hAnsi="Arial"/>
                <w:sz w:val="18"/>
                <w:szCs w:val="18"/>
                <w:color w:val="auto"/>
              </w:rPr>
              <w:t>187,214</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187,214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December 2016, we issued and sold 578,982 shares of our common stock at a purchase price of $8.50 per share for an aggregate purchase price of approximately $4,921,400. The following table sets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294,115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70,588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364,703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3,100,000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615"/>
        <w:spacing w:after="0" w:line="306" w:lineRule="auto"/>
        <w:rPr>
          <w:sz w:val="20"/>
          <w:szCs w:val="20"/>
          <w:color w:val="auto"/>
        </w:rPr>
      </w:pPr>
      <w:r>
        <w:rPr>
          <w:rFonts w:ascii="Arial" w:cs="Arial" w:eastAsia="Arial" w:hAnsi="Arial"/>
          <w:sz w:val="16"/>
          <w:szCs w:val="16"/>
          <w:color w:val="auto"/>
        </w:rPr>
        <w:t>In January 2017, we issued and sold 1,016,486 shares of our common stock at a purchase price of $8.50 per share for an aggregate purchase price of approximately $8,640,200. The following table sets forth the number of shares of our common stock purchased by our directors, executive officers and 5% stockholders and their affiliates and the aggregate purchase price paid for such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Peter Bang Holding ApS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235,294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264,705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February 2017, we issued and sold 117,353 shares of our common stock at a purchase price of $8.50 per share for an aggregate purchase price of approximately $997,500.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Shares of</w:t>
            </w:r>
          </w:p>
        </w:tc>
        <w:tc>
          <w:tcPr>
            <w:tcW w:w="8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Dr. Gregory Raskin</w:t>
            </w:r>
          </w:p>
        </w:tc>
        <w:tc>
          <w:tcPr>
            <w:tcW w:w="1080" w:type="dxa"/>
            <w:vAlign w:val="bottom"/>
          </w:tcPr>
          <w:p>
            <w:pPr>
              <w:jc w:val="right"/>
              <w:spacing w:after="0"/>
              <w:rPr>
                <w:sz w:val="20"/>
                <w:szCs w:val="20"/>
                <w:color w:val="auto"/>
              </w:rPr>
            </w:pPr>
            <w:r>
              <w:rPr>
                <w:rFonts w:ascii="Arial" w:cs="Arial" w:eastAsia="Arial" w:hAnsi="Arial"/>
                <w:sz w:val="18"/>
                <w:szCs w:val="18"/>
                <w:color w:val="auto"/>
              </w:rPr>
              <w:t>5,882</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5,882</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October 2017, we issued and sold 5,347,568 shares of our common stock at a purchase price of $9.35 per share for an aggregate purchase price of approximately $50,000,000. The following table</w:t>
      </w:r>
    </w:p>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sets 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HBM Healthcare Investments (Cayman) Ltd.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2,139,037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Memorial Sloan Kettering Cancer Center</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Peter Bang Holding ApS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404,582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3,782,842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2,195,000</w:t>
            </w:r>
          </w:p>
        </w:tc>
        <w:tc>
          <w:tcPr>
            <w:tcW w:w="0" w:type="dxa"/>
            <w:vAlign w:val="bottom"/>
          </w:tcPr>
          <w:p>
            <w:pPr>
              <w:spacing w:after="0"/>
              <w:rPr>
                <w:sz w:val="1"/>
                <w:szCs w:val="1"/>
                <w:color w:val="auto"/>
              </w:rPr>
            </w:pPr>
          </w:p>
        </w:tc>
      </w:tr>
      <w:tr>
        <w:trPr>
          <w:trHeight w:val="431"/>
        </w:trPr>
        <w:tc>
          <w:tcPr>
            <w:tcW w:w="5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CM Holding 2015 ApS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3,142,013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29,377,842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 November 2017, we issued and sold 3,208,552 shares of our common stock at a purchase price of $9.35 per share for an aggregate purchase price of $30,000,000.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HBM Healthcare Investments (Cayman) Ltd.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347,058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Sofinnova Venture Partners X, L.P.</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1,604,278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166,310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1,555,000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2,117,646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19,800,000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Agreements</w:t>
      </w:r>
    </w:p>
    <w:p>
      <w:pPr>
        <w:spacing w:after="0" w:line="231" w:lineRule="exact"/>
        <w:rPr>
          <w:sz w:val="20"/>
          <w:szCs w:val="20"/>
          <w:color w:val="auto"/>
        </w:rPr>
      </w:pPr>
    </w:p>
    <w:p>
      <w:pPr>
        <w:ind w:right="100" w:firstLine="611"/>
        <w:spacing w:after="0" w:line="294" w:lineRule="auto"/>
        <w:rPr>
          <w:sz w:val="20"/>
          <w:szCs w:val="20"/>
          <w:color w:val="auto"/>
        </w:rPr>
      </w:pPr>
      <w:r>
        <w:rPr>
          <w:rFonts w:ascii="Arial" w:cs="Arial" w:eastAsia="Arial" w:hAnsi="Arial"/>
          <w:sz w:val="16"/>
          <w:szCs w:val="16"/>
          <w:color w:val="auto"/>
        </w:rPr>
        <w:t>We are a party to certain registration rights agreements dated as of October 13, 2017 and November 17, 2017, collectively referred to herein as the Registration Rights Agreements, with certain holders of our common stock, including some of our directors and 5% stockholders and their affiliates and entities affiliated with our directors. The Registration Rights Agreements provide these holders the right, following the completion of this offering, to demand that we file a registration statement or request that their shares be covered by a registration statement that we are otherwise filing. See the section herein entitled "Description of Capital Stock—Registration Rights" for additional information regarding these registration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See the section herein entitled "Executive and Director Compensation" for a discussion of payments and options granted to our named executive officers and non-employee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380" w:firstLine="611"/>
        <w:spacing w:after="0" w:line="268"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these agreements, see the section herein entitled "Executive and Director Compensation—Narrative Disclosure to Summary Compensation Table."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Officers and Directors and Directors' and Officers' Liability Insurance</w:t>
      </w:r>
    </w:p>
    <w:p>
      <w:pPr>
        <w:spacing w:after="0" w:line="231"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color w:val="auto"/>
        </w:rPr>
        <w:t>In connection with this offering, we have entered into indemnification agreements with each of our executive officers and directors. In addition, we intend to enter into such indemnification agreements with any new executive officers and directors. The indemnification agreements, our amended and restated certificate of incorporation and our amended and restated bylaws that will become effective upon the completion of this offering will require us to indemnify our directors to the fullest extent not prohibited by DGCL. Subject to certain limitations, our amended and restated bylaws also require us to advance expenses incurred by our directors and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MSK License</w:t>
      </w:r>
    </w:p>
    <w:p>
      <w:pPr>
        <w:spacing w:after="0" w:line="231"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On August 20, 2015, we entered into the MSK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See the section herein entitled "Business—Intellectual Property—MSK Agreements" for a description of this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MSK CD33 License Agreement</w:t>
      </w:r>
    </w:p>
    <w:p>
      <w:pPr>
        <w:spacing w:after="0" w:line="231"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On November 13, 2017, we entered into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generated in a specific principal investigator's laboratory at MSK and constructs thereof. The MSK CD33 License is exclusive with respect to MSK's rights in such patent rights and tangible materials within such know-how, and nonexclusive with respect to such know-how and related intellectual property rights. See the section herein entitled "Business—Intellectual Property—MSK Agreements" for a description of this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231" w:lineRule="exact"/>
        <w:rPr>
          <w:sz w:val="20"/>
          <w:szCs w:val="20"/>
          <w:color w:val="auto"/>
        </w:rPr>
      </w:pPr>
    </w:p>
    <w:p>
      <w:pPr>
        <w:ind w:right="220" w:firstLine="611"/>
        <w:spacing w:after="0" w:line="259" w:lineRule="auto"/>
        <w:rPr>
          <w:sz w:val="20"/>
          <w:szCs w:val="20"/>
          <w:color w:val="auto"/>
        </w:rPr>
      </w:pPr>
      <w:r>
        <w:rPr>
          <w:rFonts w:ascii="Arial" w:cs="Arial" w:eastAsia="Arial" w:hAnsi="Arial"/>
          <w:sz w:val="18"/>
          <w:szCs w:val="18"/>
          <w:color w:val="auto"/>
        </w:rPr>
        <w:t>We are party to a fourth amended and restated stockholders' agreement with the holders of our common stock, including our 5% stockholders and their affiliates and entities affiliated with some of our directors, providing for, among other things, specified voting with respect to the election of directors. This agreement will terminate upon the closing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Subscription, Funding Commitment and Call Option Agreement</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August 2015, we entered into a Share Subscription, Funding Commitment and Call Option Agreement with WG Biotech ApS for the sale of 5,010,000 shares of our common stock at a price per share of $0.20, for an aggregate purchase price of approximately $1,002,000.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Agreements</w:t>
      </w:r>
    </w:p>
    <w:p>
      <w:pPr>
        <w:spacing w:after="0" w:line="231" w:lineRule="exact"/>
        <w:rPr>
          <w:sz w:val="20"/>
          <w:szCs w:val="20"/>
          <w:color w:val="auto"/>
        </w:rPr>
      </w:pPr>
    </w:p>
    <w:p>
      <w:pPr>
        <w:ind w:right="160" w:firstLine="611"/>
        <w:spacing w:after="0" w:line="298" w:lineRule="auto"/>
        <w:rPr>
          <w:sz w:val="20"/>
          <w:szCs w:val="20"/>
          <w:color w:val="auto"/>
        </w:rPr>
      </w:pPr>
      <w:r>
        <w:rPr>
          <w:rFonts w:ascii="Arial" w:cs="Arial" w:eastAsia="Arial" w:hAnsi="Arial"/>
          <w:sz w:val="16"/>
          <w:szCs w:val="16"/>
          <w:color w:val="auto"/>
        </w:rPr>
        <w:t>We are a party to certain securities purchase agreements dated as of October 13, 2017 and November 17, 2017, with certain holders of our common stock, including some of our directors and 5% stockholders and their affiliates and entities affiliated with our directors, pursuant to which we issued and sold shares of our common stock at a purchase price of $9.35 per share for an aggregate purchase price of approximately $80,000,000. See the section herein entitled "Certain Relationships and Related Party Transactions—Sales of Securities" for additional information regarding the sale of these securities.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31"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December 31, 2017 by:</w:t>
      </w:r>
    </w:p>
    <w:p>
      <w:pPr>
        <w:spacing w:after="0" w:line="239"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column entitled "Percentage of Shares Beneficially Owned—Before Offering" is based on a total of 28,093,666 shares of our common stock</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outstanding as of December 31, 2017. The column entitled "Percentage of Shares Beneficially Owned—After Offering" is based on shares of our common stock to be outstanding after this offering, including the shares of our common stock that we are selling in this offering, but not including any additional shares issuable upon exercise of outstanding options or any exercise by the underwriters of their option to purchase additional shares.</w:t>
      </w:r>
    </w:p>
    <w:p>
      <w:pPr>
        <w:spacing w:after="0" w:line="163"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December 31, 2017,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investment power with respect to all of the shares of our common stock beneficially owned by them, subject to community property laws, where applicable. Except as otherwise set forth below, the address of each beneficial owner is c/o Y-mAbs Therapeutics, Inc., 750 Third Avenue, 9th Floor, New York, NY 10017.</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15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Beneficially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5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1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Before</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61"/>
        </w:trPr>
        <w:tc>
          <w:tcPr>
            <w:tcW w:w="620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Owned</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Offering</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39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WG Biotech ApS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5,010,000</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17.83%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Rungsted Strandvej 113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DK 0960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Rungsted Kyst, Denmark</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Attn: Johan Wedell-Wedellsborg</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Memorial Sloan Kettering Cancer Center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2,749,284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Office of Technology Development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1275 York Avenue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Box 524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10065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Attn: Vice President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HBM Healthcare Investments (Cayman) Ltd.(1)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2,486,095</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Governors Square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Suite #4-212-2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23 Lime Tree Bay Avenue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West Bay, Grand Cayman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Cayman Islands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Attention: Jean-Marc LeSieur</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Nai-Kong V. Cheung</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2,426,400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425 East 58 Street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Apt. 34D</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10022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Peter Bang Holding ApS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2,282,797</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Richelieus Alle 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DK 2900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Hellerup, Denmark</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Attn: Peter Bang</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Weco Group A/S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1,683,496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Rungsted Strandvej 113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DK 2960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Rungsted Kyst, Denmark</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Attn: Johan Wedell-Wedellsborg</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Sofinnova Venture Partners X, L.P.</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1,604,278</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3000 Sand Hill Road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Building 4-Suite 250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Menlo Park, CA 94025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Attention: Hooman Shahlavi, Partner &amp; General Counsel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Thomas Gad(2)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6,593,333</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23.47%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Dr. Claus Juan Møller San Pedro(3)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1,246,928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Bo Kruse(4)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605,494</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Johan Wedell-Wedellsborg(5)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6,716,162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Dr. Gregory Raskin(6)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28,548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Dr. Michael Buschle(7)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Dr. James I. Healy(8)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1,604,278</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Dr. Ashutosh Tyagi(9)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962,566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David N. Gill</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All Current Executive Officers and Directors as a Group (9 persons)</w:t>
            </w:r>
            <w:r>
              <w:rPr>
                <w:rFonts w:ascii="Arial" w:cs="Arial" w:eastAsia="Arial" w:hAnsi="Arial"/>
                <w:sz w:val="18"/>
                <w:szCs w:val="18"/>
                <w:color w:val="auto"/>
              </w:rPr>
              <w:t>(10)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17,757,309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shares of common stock.</w:t>
      </w:r>
    </w:p>
    <w:p>
      <w:pPr>
        <w:spacing w:after="0" w:line="252" w:lineRule="exact"/>
        <w:rPr>
          <w:sz w:val="20"/>
          <w:szCs w:val="20"/>
          <w:color w:val="auto"/>
        </w:rPr>
      </w:pPr>
    </w:p>
    <w:p>
      <w:pPr>
        <w:ind w:left="1680" w:hanging="531"/>
        <w:spacing w:after="0" w:line="306" w:lineRule="auto"/>
        <w:tabs>
          <w:tab w:leader="none" w:pos="16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board of directors of HBM Healthcare Investments (Cayman) Ltd. has sole voting and investment power with respect to the shares by held by such entity. The board of directors of HBM Healthcare Investments (Cayman) Ltd. is comprised of Jean-Marc LeSieur, Richard Coles, Sophia Harris, Dr. Andreas Wicki, Paul Woodhouse and Mark Kronenfeld, none of whom has individual voting or</w:t>
      </w:r>
    </w:p>
    <w:p>
      <w:pPr>
        <w:sectPr>
          <w:pgSz w:w="11900" w:h="16838" w:orient="portrait"/>
          <w:cols w:equalWidth="0" w:num="1">
            <w:col w:w="11400"/>
          </w:cols>
          <w:pgMar w:left="240" w:top="131" w:right="25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55" w:lineRule="auto"/>
        <w:rPr>
          <w:sz w:val="20"/>
          <w:szCs w:val="20"/>
          <w:color w:val="auto"/>
        </w:rPr>
      </w:pPr>
      <w:r>
        <w:rPr>
          <w:rFonts w:ascii="Arial" w:cs="Arial" w:eastAsia="Arial" w:hAnsi="Arial"/>
          <w:sz w:val="18"/>
          <w:szCs w:val="18"/>
          <w:color w:val="auto"/>
        </w:rPr>
        <w:t>investment power with respect to such shares, and each disclaims beneficial ownership of such shares except to the extent of any pecuniary interest therein. The address for HBM Healthcare Investments (Cayman) Ltd. is Governor's Square, Suite #4-212-2, 23 Lime Tree Bay Avenue, West Bay, Grand Cayman, Cayman Islands. The percentage of shares beneficially owned after this offering would be 13.1%, assuming the purchase of all of the shares that HBM Healthcare Investments (Cayman) Ltd. has indicated an interest in purchasing in this offering.</w:t>
      </w:r>
    </w:p>
    <w:p>
      <w:pPr>
        <w:spacing w:after="0" w:line="210" w:lineRule="exact"/>
        <w:rPr>
          <w:sz w:val="20"/>
          <w:szCs w:val="20"/>
          <w:color w:val="auto"/>
        </w:rPr>
      </w:pPr>
    </w:p>
    <w:p>
      <w:pPr>
        <w:ind w:left="1680" w:right="120" w:hanging="531"/>
        <w:spacing w:after="0" w:line="294" w:lineRule="auto"/>
        <w:tabs>
          <w:tab w:leader="none" w:pos="1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Includes (i) 1,190,000 shares of common stock owned by GAD Enterprises LLC, of which Mr. Gad is the sole member and manager and as such Mr. Gad has sole voting and dispositive power with respect to such shares, and (ii) 393,333 shares of common stock underlying options that are exercisable as of December 31, 2017 or will become exercisable within 60 days after such date. Also includes 5,010,000 shares of common stock held by WG Biotech ApS, in which Mr. Gad owns a 21.96% equity interest. Mr. Gad expressly disclaims beneficial ownership of the shares held by WG Biotech ApS, except to the extent of his pecuniary interest therein.</w:t>
      </w:r>
    </w:p>
    <w:p>
      <w:pPr>
        <w:spacing w:after="0" w:line="196" w:lineRule="exact"/>
        <w:rPr>
          <w:rFonts w:ascii="Arial" w:cs="Arial" w:eastAsia="Arial" w:hAnsi="Arial"/>
          <w:sz w:val="16"/>
          <w:szCs w:val="16"/>
          <w:color w:val="auto"/>
        </w:rPr>
      </w:pPr>
    </w:p>
    <w:p>
      <w:pPr>
        <w:ind w:left="1680" w:hanging="531"/>
        <w:spacing w:after="0"/>
        <w:tabs>
          <w:tab w:leader="none" w:pos="1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Includes (i) 841,678 shares of common stock owned by CM Holding 2015 ApS, Dr. Møller's personal holding company of which</w:t>
      </w:r>
    </w:p>
    <w:p>
      <w:pPr>
        <w:spacing w:after="0" w:line="38" w:lineRule="exact"/>
        <w:rPr>
          <w:rFonts w:ascii="Arial" w:cs="Arial" w:eastAsia="Arial" w:hAnsi="Arial"/>
          <w:sz w:val="16"/>
          <w:szCs w:val="16"/>
          <w:color w:val="auto"/>
        </w:rPr>
      </w:pPr>
    </w:p>
    <w:p>
      <w:pPr>
        <w:ind w:left="1680" w:right="80"/>
        <w:spacing w:after="0" w:line="255" w:lineRule="auto"/>
        <w:rPr>
          <w:rFonts w:ascii="Arial" w:cs="Arial" w:eastAsia="Arial" w:hAnsi="Arial"/>
          <w:sz w:val="16"/>
          <w:szCs w:val="16"/>
          <w:color w:val="auto"/>
        </w:rPr>
      </w:pPr>
      <w:r>
        <w:rPr>
          <w:rFonts w:ascii="Arial" w:cs="Arial" w:eastAsia="Arial" w:hAnsi="Arial"/>
          <w:sz w:val="18"/>
          <w:szCs w:val="18"/>
          <w:color w:val="auto"/>
        </w:rPr>
        <w:t>Dr. Møller is the sole owner and as such Dr. Møller has sole voting and dispositive power with respect to such shares, and (ii) 405,250 shares of common stock underlying options that are exercisable as of December 31, 2017 or will become exercisable within 60 days after such date.</w:t>
      </w:r>
    </w:p>
    <w:p>
      <w:pPr>
        <w:spacing w:after="0" w:line="211" w:lineRule="exact"/>
        <w:rPr>
          <w:rFonts w:ascii="Arial" w:cs="Arial" w:eastAsia="Arial" w:hAnsi="Arial"/>
          <w:sz w:val="16"/>
          <w:szCs w:val="16"/>
          <w:color w:val="auto"/>
        </w:rPr>
      </w:pPr>
    </w:p>
    <w:p>
      <w:pPr>
        <w:ind w:left="1680" w:right="320" w:hanging="531"/>
        <w:spacing w:after="0" w:line="298" w:lineRule="auto"/>
        <w:tabs>
          <w:tab w:leader="none" w:pos="1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Includes (i) 300,000 shares of common stock owned directly by Mr. Kruse, (ii) 57,077 shares of common stock owned by Investeringsselskabet G.H. ApS, Mr. Kruse's personal holding company of which Mr. Kruse is the sole owner and as such has the sole voting and dispositive power with respect to such shares, and (iii) 248,417 shares of common stock underlying options that are exercisable as of December 31, 2017 or will become exercisable within 60 days after such date.</w:t>
      </w:r>
    </w:p>
    <w:p>
      <w:pPr>
        <w:spacing w:after="0" w:line="180" w:lineRule="exact"/>
        <w:rPr>
          <w:rFonts w:ascii="Arial" w:cs="Arial" w:eastAsia="Arial" w:hAnsi="Arial"/>
          <w:sz w:val="16"/>
          <w:szCs w:val="16"/>
          <w:color w:val="auto"/>
        </w:rPr>
      </w:pPr>
    </w:p>
    <w:p>
      <w:pPr>
        <w:ind w:left="1680" w:right="80" w:hanging="531"/>
        <w:spacing w:after="0" w:line="255" w:lineRule="auto"/>
        <w:tabs>
          <w:tab w:leader="none" w:pos="1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Includes (i) 5,010,000 shares of common stock owned by WG Biotech ApS in which Mr. Wedell-Wedellsborg is the majority owner and as such has sole voting and dispositive power with respect to such shares, (ii) 1,683,496 shares owned by Weco Grup A/S of which Mr. Wedells-Wedellsborg is the owner and as such has sole voting and dispositive power with respect to such shares, and (iii) 22,666 shares of common stock underlying options that are exercisable as of December 31, 2017 or will become exercisable within 60 days after such date.</w:t>
      </w:r>
    </w:p>
    <w:p>
      <w:pPr>
        <w:spacing w:after="0" w:line="223" w:lineRule="exact"/>
        <w:rPr>
          <w:rFonts w:ascii="Arial" w:cs="Arial" w:eastAsia="Arial" w:hAnsi="Arial"/>
          <w:sz w:val="18"/>
          <w:szCs w:val="18"/>
          <w:color w:val="auto"/>
        </w:rPr>
      </w:pPr>
    </w:p>
    <w:p>
      <w:pPr>
        <w:ind w:left="1680" w:right="160" w:hanging="531"/>
        <w:spacing w:after="0" w:line="294" w:lineRule="auto"/>
        <w:tabs>
          <w:tab w:leader="none" w:pos="1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Includes 5,882 shares of common stock owned directly by Dr. Raskin. Also includes 22,666 shares of common stock underlying options that are exercisable as of December 31, 2017 or will become exercisable within 60 days after such date. Does not include 2,749,284 shares of common stock owned by MSK. Dr. Raskin is an employee of MSK and is MSK's representative on our Board of Directors. Dr. Raskin has no voting or dispositive power with respect the shares owned by MSK, and therefore, Dr. Raskin disclaims beneficial ownership of such shares except to the extent of his pecuniary interest arising as a result of his employment with MSK.</w:t>
      </w:r>
    </w:p>
    <w:p>
      <w:pPr>
        <w:spacing w:after="0" w:line="183" w:lineRule="exact"/>
        <w:rPr>
          <w:rFonts w:ascii="Arial" w:cs="Arial" w:eastAsia="Arial" w:hAnsi="Arial"/>
          <w:sz w:val="16"/>
          <w:szCs w:val="16"/>
          <w:color w:val="auto"/>
        </w:rPr>
      </w:pPr>
    </w:p>
    <w:p>
      <w:pPr>
        <w:ind w:left="1680" w:right="40" w:hanging="531"/>
        <w:spacing w:after="0" w:line="306" w:lineRule="auto"/>
        <w:tabs>
          <w:tab w:leader="none" w:pos="1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Dr. Buschle, a member of our board of directors, is a consultant with HBM Partners AG. HBM Partners AG provides investment advisory services to HBM Healthcare Investments (Cayman) Ltd. Dr. Buschle has no voting or investment power over the shares held by HBM Healthcare Investments (Cayman) Ltd., and disclaims beneficial ownership of such shares.</w:t>
      </w:r>
    </w:p>
    <w:p>
      <w:pPr>
        <w:spacing w:after="0" w:line="174" w:lineRule="exact"/>
        <w:rPr>
          <w:rFonts w:ascii="Arial" w:cs="Arial" w:eastAsia="Arial" w:hAnsi="Arial"/>
          <w:sz w:val="16"/>
          <w:szCs w:val="16"/>
          <w:color w:val="auto"/>
        </w:rPr>
      </w:pPr>
    </w:p>
    <w:p>
      <w:pPr>
        <w:ind w:left="1680" w:right="20" w:hanging="531"/>
        <w:spacing w:after="0" w:line="259" w:lineRule="auto"/>
        <w:tabs>
          <w:tab w:leader="none" w:pos="1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Includes 1,604,278 shares of common stock owned by Sofinnova Venture Partners X, L.P., or Sofinnova. Dr. Healy is a managing member of Sofinnova Management X, L.L.C., the General Partner of Sofinova, and as such shares voting and dispositive power over such shares.</w:t>
      </w:r>
    </w:p>
    <w:p>
      <w:pPr>
        <w:spacing w:after="0" w:line="221" w:lineRule="exact"/>
        <w:rPr>
          <w:rFonts w:ascii="Arial" w:cs="Arial" w:eastAsia="Arial" w:hAnsi="Arial"/>
          <w:sz w:val="18"/>
          <w:szCs w:val="18"/>
          <w:color w:val="auto"/>
        </w:rPr>
      </w:pPr>
    </w:p>
    <w:p>
      <w:pPr>
        <w:ind w:left="1680" w:right="180" w:hanging="531"/>
        <w:spacing w:after="0" w:line="298" w:lineRule="auto"/>
        <w:tabs>
          <w:tab w:leader="none" w:pos="1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Includes 659,358 shares of common stock owned by Scopia Health Care International Master Fund LLP, or Scopia LLP, and 303,208 shares of common stock owned by Scopia Health Care LLC, or Scopia LLC. Dr. Tyagi is an employee of Scopia Capital Management, Inc., or Scopia Capital, an affiliate of both Scopia LLP and Scopia LLC. Dr. Tyagi disclaims beneficial ownership of such shares except to the extent of his pecuniary interest arising as a result of his employment with Scopia Capital.</w:t>
      </w:r>
    </w:p>
    <w:p>
      <w:pPr>
        <w:spacing w:after="0" w:line="180" w:lineRule="exact"/>
        <w:rPr>
          <w:rFonts w:ascii="Arial" w:cs="Arial" w:eastAsia="Arial" w:hAnsi="Arial"/>
          <w:sz w:val="16"/>
          <w:szCs w:val="16"/>
          <w:color w:val="auto"/>
        </w:rPr>
      </w:pPr>
    </w:p>
    <w:p>
      <w:pPr>
        <w:ind w:left="1680" w:right="140" w:hanging="531"/>
        <w:spacing w:after="0" w:line="268" w:lineRule="auto"/>
        <w:tabs>
          <w:tab w:leader="none" w:pos="1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Includes 1,092,332 shares of common stock underlying options that are exercisable as of December 31, 2017 or will become exercisable within 60 days after such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following description of the rights of our common stock and convertible preferred stock is intended as a summary only and is qualified in its entirety by reference to our amended and restated certificate of incorporation and amended and restated bylaws, which will be filed as exhibits to the registration statement of which this prospectus is a part, and to the applicable provisions of the DGCL. The description of our capital stock reflects changes to our capital structure that will occur upon the completion of this offering.</w:t>
      </w:r>
    </w:p>
    <w:p>
      <w:pPr>
        <w:spacing w:after="0" w:line="197"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Upon the closing of this offering and the filing of our certificate of incorporation to be effective upon completion of this offering, our authorized capital stock will consist of 100,000,000 shares of common stock, par value $0.0001 per share, and 5,500,000 shares of preferred stock, par value $0.0001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225"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Based on shares of common stock outstanding as of , 2018 (including shares of common stock subject to vesting), and upon the completion of this offering and the issuance of shares of common stock in this offering, there will be shares of common stock outstanding upon the closing of this offering. As of , 2018, we had approximately record holders of our common stock. As of , 2018, there were shares of common stock subject to outstanding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 For more information see the section of this prospectus captioned "Dividend Policy."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right="300" w:firstLine="605"/>
        <w:spacing w:after="0" w:line="268" w:lineRule="auto"/>
        <w:rPr>
          <w:sz w:val="20"/>
          <w:szCs w:val="20"/>
          <w:color w:val="auto"/>
        </w:rPr>
      </w:pPr>
      <w:r>
        <w:rPr>
          <w:rFonts w:ascii="Arial" w:cs="Arial" w:eastAsia="Arial" w:hAnsi="Arial"/>
          <w:sz w:val="18"/>
          <w:szCs w:val="18"/>
          <w:color w:val="auto"/>
        </w:rPr>
        <w:t>All of our outstanding shares of common stock are, and the shares of common stock to be issued pursuant to this offering, when paid for, will be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80" w:firstLine="611"/>
        <w:spacing w:after="0" w:line="294" w:lineRule="auto"/>
        <w:rPr>
          <w:sz w:val="20"/>
          <w:szCs w:val="20"/>
          <w:color w:val="auto"/>
        </w:rPr>
      </w:pPr>
      <w:r>
        <w:rPr>
          <w:rFonts w:ascii="Arial" w:cs="Arial" w:eastAsia="Arial" w:hAnsi="Arial"/>
          <w:sz w:val="16"/>
          <w:szCs w:val="16"/>
          <w:color w:val="auto"/>
        </w:rPr>
        <w:t>The Registration Rights Agreements provide certain holders of our common stock, including some of our directors and 5% stockholders and their respective affiliates and entities affiliated with our directors, the right, following the completion of this offering, to require us to register these shares under the Securities Act under specified circumstances as described below. The shares subject to registration rights under the Registration Rights Agreements, or the registrable shares, will represent approximately % of our outstanding common stock after this offering, or % if the underwriters exercise their option to purchase additional shares. After registration pursuant to these rights, these shares will become freely tradable without restriction under the Securities Act.</w:t>
      </w:r>
    </w:p>
    <w:p>
      <w:pPr>
        <w:spacing w:after="0" w:line="170"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Under the Registration Rights Agreements,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or S-3 registration during the period that is 60 days before our estimated date of filing of, and ending on a date that is 90 days (or 180 days in the case of our initial public offering) after the effective date of, a company-initiated registration statement.</w:t>
      </w:r>
    </w:p>
    <w:p>
      <w:pPr>
        <w:spacing w:after="0" w:line="198" w:lineRule="exact"/>
        <w:rPr>
          <w:sz w:val="20"/>
          <w:szCs w:val="20"/>
          <w:color w:val="auto"/>
        </w:rPr>
      </w:pPr>
    </w:p>
    <w:p>
      <w:pPr>
        <w:jc w:val="both"/>
        <w:ind w:right="200" w:firstLine="611"/>
        <w:spacing w:after="0" w:line="306" w:lineRule="auto"/>
        <w:rPr>
          <w:sz w:val="20"/>
          <w:szCs w:val="20"/>
          <w:color w:val="auto"/>
        </w:rPr>
      </w:pPr>
      <w:r>
        <w:rPr>
          <w:rFonts w:ascii="Arial" w:cs="Arial" w:eastAsia="Arial" w:hAnsi="Arial"/>
          <w:sz w:val="16"/>
          <w:szCs w:val="16"/>
          <w:color w:val="auto"/>
        </w:rPr>
        <w:t>The registration rights of any holder will terminate upon the earliest to occur of: (i) the date on which such holder holds no registrable shares, (ii) such time as Rule 144 or another similar exemption under the Securities Act is available for the sale of all of such holder's registrable shares without the requirement for us to be in compliance with the current publication information required under Rule 144(c)(1), and (iii) the fifth anniversary of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Beginning 180 days after the effective date of the registration statement of which this prospectus is a part, subject to specified limitations set forth in the Registration Rights Agreements, at any time the holder or holders of not less than a majority of our registrable securities, as defined in the Registration Rights Agreements, acting together, may demand in writing that we register the outstanding registrable securities under the Securities Act so long as the total amount of registrable shares requested to be registered has an anticipated aggregate offering price to the public of least $10 million. We are not obligated to file a registration statement pursuant to this demand provision on more than two occasions, subject to specified exceptions.</w:t>
      </w:r>
    </w:p>
    <w:p>
      <w:pPr>
        <w:spacing w:after="0" w:line="170" w:lineRule="exact"/>
        <w:rPr>
          <w:sz w:val="20"/>
          <w:szCs w:val="20"/>
          <w:color w:val="auto"/>
        </w:rPr>
      </w:pPr>
    </w:p>
    <w:p>
      <w:pPr>
        <w:ind w:right="180" w:firstLine="615"/>
        <w:spacing w:after="0" w:line="332" w:lineRule="auto"/>
        <w:rPr>
          <w:sz w:val="20"/>
          <w:szCs w:val="20"/>
          <w:color w:val="auto"/>
        </w:rPr>
      </w:pPr>
      <w:r>
        <w:rPr>
          <w:rFonts w:ascii="Arial" w:cs="Arial" w:eastAsia="Arial" w:hAnsi="Arial"/>
          <w:sz w:val="16"/>
          <w:szCs w:val="16"/>
          <w:color w:val="auto"/>
        </w:rPr>
        <w:t>In addition, at any time after we become eligible to file a registration statement on Form S-3 under the Securities Act, subject to specified limitations, a holder or holders of a majority of the registrable securities may demand in writing that we register on Form S-3 all or part of the registrable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securities held by them so long as the total amount of registrable shares requested to be registered has an anticipated aggregate offering price to the public of least $10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If, at any time after the closing of this offering, we propose to file a registration statement to register any of our common stock under the Securities Act, either for our own account or for the account of any of our stockholders that are not holders of registrable securities, and on a form that would also permit the registration of registrable securities, the holders of our registrable securities are entitled to notice of registration and, subject to specified exceptions, we will be required to use our best efforts to register the registrable securities then held by them that they request that we register.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jc w:val="both"/>
        <w:ind w:right="100" w:firstLine="615"/>
        <w:spacing w:after="0" w:line="306" w:lineRule="auto"/>
        <w:rPr>
          <w:sz w:val="20"/>
          <w:szCs w:val="20"/>
          <w:color w:val="auto"/>
        </w:rPr>
      </w:pPr>
      <w:r>
        <w:rPr>
          <w:rFonts w:ascii="Arial" w:cs="Arial" w:eastAsia="Arial" w:hAnsi="Arial"/>
          <w:sz w:val="16"/>
          <w:szCs w:val="16"/>
          <w:color w:val="auto"/>
        </w:rPr>
        <w:t>Pursuant to the Registration Rights Agreements, we are required to pay all registration expenses, including registration fees, printing expenses, fees and disbursements of our counsel and accountants and reasonable fees and disbursements not to exceed $50,000 of one counsel representing the selling stockholders, other than any underwriting discounts and commissions, related to any demand or incidental registration.</w:t>
      </w:r>
    </w:p>
    <w:p>
      <w:pPr>
        <w:spacing w:after="0" w:line="161" w:lineRule="exact"/>
        <w:rPr>
          <w:sz w:val="20"/>
          <w:szCs w:val="20"/>
          <w:color w:val="auto"/>
        </w:rPr>
      </w:pPr>
    </w:p>
    <w:p>
      <w:pPr>
        <w:ind w:right="280" w:firstLine="611"/>
        <w:spacing w:after="0" w:line="259" w:lineRule="auto"/>
        <w:rPr>
          <w:sz w:val="20"/>
          <w:szCs w:val="20"/>
          <w:color w:val="auto"/>
        </w:rPr>
      </w:pPr>
      <w:r>
        <w:rPr>
          <w:rFonts w:ascii="Arial" w:cs="Arial" w:eastAsia="Arial" w:hAnsi="Arial"/>
          <w:sz w:val="18"/>
          <w:szCs w:val="18"/>
          <w:color w:val="auto"/>
        </w:rPr>
        <w:t>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40" w:firstLine="615"/>
        <w:spacing w:after="0" w:line="290" w:lineRule="auto"/>
        <w:rPr>
          <w:sz w:val="20"/>
          <w:szCs w:val="20"/>
          <w:color w:val="auto"/>
        </w:rPr>
      </w:pPr>
      <w:r>
        <w:rPr>
          <w:rFonts w:ascii="Arial" w:cs="Arial" w:eastAsia="Arial" w:hAnsi="Arial"/>
          <w:sz w:val="16"/>
          <w:szCs w:val="16"/>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Our certificate of incorporation and bylaws will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to be effective upon the closing of the offering divide our board of directors into three classes with staggered three-year terms. In addition, our certificate of incorporation and our bylaws to be effective upon the closing of</w:t>
      </w:r>
    </w:p>
    <w:p>
      <w:pPr>
        <w:ind w:right="120"/>
        <w:spacing w:after="0" w:line="219" w:lineRule="auto"/>
        <w:rPr>
          <w:sz w:val="20"/>
          <w:szCs w:val="20"/>
          <w:color w:val="auto"/>
        </w:rPr>
      </w:pPr>
      <w:r>
        <w:rPr>
          <w:rFonts w:ascii="Arial" w:cs="Arial" w:eastAsia="Arial" w:hAnsi="Arial"/>
          <w:sz w:val="17"/>
          <w:szCs w:val="17"/>
          <w:color w:val="auto"/>
        </w:rPr>
        <w:t>the offering provide that directors may be removed only for cause and only 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our shares of capital stock present in person or by proxy and entitled to vote. Under our certificate of incorporation and bylaws to be effective upon the closing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the offering,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to be effective upon the closing of the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to be effective upon the closing of the offering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to be effective upon the closing of the offering also provide that, except as otherwise required by law, special meetings of the stockholders can only be called by the chairman of our board of directors, our chief executive officer or our board of directors. In addition, our bylaws to be effective upon the closing of the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ind w:right="20" w:firstLine="611"/>
        <w:spacing w:after="0" w:line="258"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to be effective upon the closing of the offering may be amended or repealed by a majority vote of our board of directors or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votes that all our stockholders would be entitled to cast in any annual election of directors. In addition, the affirmative vote of the holders of at</w:t>
      </w:r>
    </w:p>
    <w:p>
      <w:pPr>
        <w:spacing w:after="0" w:line="3" w:lineRule="exact"/>
        <w:rPr>
          <w:sz w:val="20"/>
          <w:szCs w:val="20"/>
          <w:color w:val="auto"/>
        </w:rPr>
      </w:pPr>
    </w:p>
    <w:p>
      <w:pPr>
        <w:ind w:right="220"/>
        <w:spacing w:after="0" w:line="206" w:lineRule="auto"/>
        <w:rPr>
          <w:sz w:val="20"/>
          <w:szCs w:val="20"/>
          <w:color w:val="auto"/>
        </w:rPr>
      </w:pPr>
      <w:r>
        <w:rPr>
          <w:rFonts w:ascii="Arial" w:cs="Arial" w:eastAsia="Arial" w:hAnsi="Arial"/>
          <w:sz w:val="18"/>
          <w:szCs w:val="18"/>
          <w:color w:val="auto"/>
        </w:rPr>
        <w:t>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Upon completion of this offering, we will be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4" w:lineRule="exact"/>
        <w:rPr>
          <w:sz w:val="20"/>
          <w:szCs w:val="20"/>
          <w:color w:val="auto"/>
        </w:rPr>
      </w:pPr>
    </w:p>
    <w:p>
      <w:pPr>
        <w:ind w:right="40" w:firstLine="615"/>
        <w:spacing w:after="0" w:line="312" w:lineRule="auto"/>
        <w:rPr>
          <w:sz w:val="20"/>
          <w:szCs w:val="20"/>
          <w:color w:val="auto"/>
        </w:rPr>
      </w:pPr>
      <w:r>
        <w:rPr>
          <w:rFonts w:ascii="Arial" w:cs="Arial" w:eastAsia="Arial" w:hAnsi="Arial"/>
          <w:sz w:val="15"/>
          <w:szCs w:val="15"/>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Selection</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Our certificate of incorporation to be effective upon the closing of the offering provides that, unless we consent in writing to the selection of an alternative forum, the Court of Chancery of the State of Delaware shall be the sole and exclusive forum for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620"/>
        <w:spacing w:after="0"/>
        <w:tabs>
          <w:tab w:leader="none" w:pos="5100" w:val="left"/>
          <w:tab w:leader="none" w:pos="926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plan to apply to have our common stock listed on the Nasdaq Global Market under the symbol "YMAB."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an active trading market for our common stock may not develop or be sustained after this offering. Future sales of substantial amounts of our common stock in the public market, including shares issued upon exercise of outstanding options or in the public market after this offering, or the anticipation of these sales, could adversely affect market prices prevailing from time to time and could impair our ability to raise capital through sales of our equity securities.</w:t>
      </w:r>
    </w:p>
    <w:p>
      <w:pPr>
        <w:spacing w:after="0" w:line="197"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Based upon the shares of our common stock that were outstanding on , 2018, upon the closing of this offering, we will have outstanding shares of our common stock, after giving effect to the issuance of shares of our common stock in this offering and assuming no exercise by the underwriters of their option to purchase additional shares and no exercise of options outstanding as of December 31, 2017.</w:t>
      </w:r>
    </w:p>
    <w:p>
      <w:pPr>
        <w:spacing w:after="0" w:line="194" w:lineRule="exact"/>
        <w:rPr>
          <w:sz w:val="20"/>
          <w:szCs w:val="20"/>
          <w:color w:val="auto"/>
        </w:rPr>
      </w:pPr>
    </w:p>
    <w:p>
      <w:pPr>
        <w:ind w:left="620"/>
        <w:spacing w:after="0"/>
        <w:tabs>
          <w:tab w:leader="none" w:pos="8040" w:val="left"/>
        </w:tabs>
        <w:rPr>
          <w:sz w:val="20"/>
          <w:szCs w:val="20"/>
          <w:color w:val="auto"/>
        </w:rPr>
      </w:pPr>
      <w:r>
        <w:rPr>
          <w:rFonts w:ascii="Arial" w:cs="Arial" w:eastAsia="Arial" w:hAnsi="Arial"/>
          <w:sz w:val="18"/>
          <w:szCs w:val="18"/>
          <w:color w:val="auto"/>
        </w:rPr>
        <w:t>Of the shares to be outstanding immediately after the closing of this offering, we expect that the</w:t>
      </w:r>
      <w:r>
        <w:rPr>
          <w:sz w:val="20"/>
          <w:szCs w:val="20"/>
          <w:color w:val="auto"/>
        </w:rPr>
        <w:tab/>
      </w:r>
      <w:r>
        <w:rPr>
          <w:rFonts w:ascii="Arial" w:cs="Arial" w:eastAsia="Arial" w:hAnsi="Arial"/>
          <w:sz w:val="15"/>
          <w:szCs w:val="15"/>
          <w:color w:val="auto"/>
        </w:rPr>
        <w:t>shares to be sold in this offering, assuming that</w:t>
      </w:r>
    </w:p>
    <w:p>
      <w:pPr>
        <w:spacing w:after="0" w:line="1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the underwriters do not exercise their option to purchase additional shares, will be freely tradable without restriction or further registration under the Securities Act unless purchased by our "affiliates," as that term is defined in Rule 144 under the Securities Act, or Rule 144, whose sales would be subject to the Rule 144 resale restrictions described below, other than the holding period requirement.</w:t>
      </w:r>
    </w:p>
    <w:p>
      <w:pPr>
        <w:spacing w:after="0" w:line="198"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remaining shares of our common stock and any shares purchased in this offering by our affiliates will be "restricted securities" under Rule 144, and we expect that substantially all of these restricted securities will be subject to the 180-day lock-up period under the lock-up agreements as described below. These restricted securities may be sold in the public market only if registered or pursuant to an exemption from registration, such as Rule 144 or Rule 701 under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not been our affiliate at any time during the preceding three months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4"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may sell any unrestricted securities, as well as restricted securities that the person has beneficially owned for at least six months, including the holding period of any prior owner other than one of our affiliates, under Rule 144. Affiliates selling restricted or unrestricted securities may sell a number of shares within any three-month period that does not exceed the greater of:</w:t>
      </w:r>
    </w:p>
    <w:p>
      <w:pPr>
        <w:sectPr>
          <w:pgSz w:w="11900" w:h="16838" w:orient="portrait"/>
          <w:cols w:equalWidth="0" w:num="1">
            <w:col w:w="11360"/>
          </w:cols>
          <w:pgMar w:left="240" w:top="131" w:right="299" w:bottom="144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 of the number of shares of our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shares immediately after this</w:t>
      </w:r>
    </w:p>
    <w:p>
      <w:pPr>
        <w:spacing w:after="0" w:line="489" w:lineRule="exact"/>
        <w:rPr>
          <w:sz w:val="20"/>
          <w:szCs w:val="20"/>
          <w:color w:val="auto"/>
        </w:rPr>
      </w:pPr>
    </w:p>
    <w:p>
      <w:pPr>
        <w:sectPr>
          <w:pgSz w:w="11900" w:h="16838" w:orient="portrait"/>
          <w:cols w:equalWidth="0" w:num="3">
            <w:col w:w="600" w:space="480"/>
            <w:col w:w="7020" w:space="700"/>
            <w:col w:w="2560"/>
          </w:cols>
          <w:pgMar w:left="240" w:top="131" w:right="299" w:bottom="1440" w:gutter="0" w:footer="0" w:header="0"/>
          <w:type w:val="continuous"/>
        </w:sectPr>
      </w:pPr>
    </w:p>
    <w:p>
      <w:pPr>
        <w:spacing w:after="0" w:line="13" w:lineRule="exact"/>
        <w:rPr>
          <w:sz w:val="20"/>
          <w:szCs w:val="20"/>
          <w:color w:val="auto"/>
        </w:rPr>
      </w:pPr>
    </w:p>
    <w:p>
      <w:pPr>
        <w:ind w:left="1080" w:right="20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of Proposed Sale of Securities Pursuant to Rule 144 with respect to the sale.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Upon expiration of the 180-day lock-up period described below, approximately shares of our common stock will be eligible for sale under Rule 144, including shares eligible for resale immediately upon the closing of this offering as described above. We cannot estimate the number of shares of our common stock that our existing stockholders will elect to sell under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615"/>
        <w:spacing w:after="0" w:line="284"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holding period requirements of Rule 144 and without regard to the volume of such sales or the availability</w:t>
      </w:r>
    </w:p>
    <w:p>
      <w:pPr>
        <w:spacing w:after="0" w:line="1"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of public information about us. Subject to the 180-day lock-up period described below, approximately shares of our common stock will be eligible for sale in accordance with Rule 701.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right="200" w:firstLine="611"/>
        <w:spacing w:after="0" w:line="259" w:lineRule="auto"/>
        <w:rPr>
          <w:sz w:val="20"/>
          <w:szCs w:val="20"/>
          <w:color w:val="auto"/>
        </w:rPr>
      </w:pPr>
      <w:r>
        <w:rPr>
          <w:rFonts w:ascii="Arial" w:cs="Arial" w:eastAsia="Arial" w:hAnsi="Arial"/>
          <w:sz w:val="18"/>
          <w:szCs w:val="18"/>
          <w:color w:val="auto"/>
        </w:rPr>
        <w:t>We, each of our executive officers and directors and the holders of our outstanding stock have agreed that, without the prior written consent of Merrill Lynch, Pierce, Fenner &amp; Smith Incorporated and Cowen and Company, LLC, on behalf of the underwriters, we and they will not, subject to limited exceptions, during the period ending 180 days after the date of this prospectus:</w:t>
      </w:r>
    </w:p>
    <w:p>
      <w:pPr>
        <w:spacing w:after="0" w:line="208" w:lineRule="exact"/>
        <w:rPr>
          <w:sz w:val="20"/>
          <w:szCs w:val="20"/>
          <w:color w:val="auto"/>
        </w:rPr>
      </w:pPr>
    </w:p>
    <w:p>
      <w:pPr>
        <w:ind w:left="1080" w:hanging="532"/>
        <w:spacing w:after="0" w:line="259"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w:t>
      </w:r>
    </w:p>
    <w:p>
      <w:pPr>
        <w:spacing w:after="0" w:line="221"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exercise any right with respect to the registration of any shares of our common stock or any security convertible into or exercisable or exchangeable for our common stock, or with respect to the filing of any registration statement in connection therewith under the Securities Act; or</w:t>
      </w:r>
    </w:p>
    <w:p>
      <w:pPr>
        <w:spacing w:after="0" w:line="152"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the economic consequence of ownership of our common stock, whether any transaction described above is to be settled by delivery of our common stock or such other securities, in cash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40" w:firstLine="605"/>
        <w:spacing w:after="0" w:line="255" w:lineRule="auto"/>
        <w:rPr>
          <w:sz w:val="20"/>
          <w:szCs w:val="20"/>
          <w:color w:val="auto"/>
        </w:rPr>
      </w:pPr>
      <w:r>
        <w:rPr>
          <w:rFonts w:ascii="Arial" w:cs="Arial" w:eastAsia="Arial" w:hAnsi="Arial"/>
          <w:sz w:val="18"/>
          <w:szCs w:val="18"/>
          <w:color w:val="auto"/>
        </w:rPr>
        <w:t>As of , 2018, we had outstanding options to purchase shares of our common stock, of which options to purchase shares were vested and exercisable. Following this offering, we intend to file one or more registration statements on Form S-8 under the Securities Act to register all of the shares of our common stock subject to outstanding options under the 2015 Plan and options and other awards issuable pursuant to the 2015 Plan. Shares covered by these registration statements will then be eligible for sale in the public markets, subject to vesting restrictions, any applicable lock-up agreements described above and Rule 144 limitations applicable to affiliates.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left="620"/>
        <w:spacing w:after="0"/>
        <w:tabs>
          <w:tab w:leader="none" w:pos="5300" w:val="left"/>
        </w:tabs>
        <w:rPr>
          <w:sz w:val="20"/>
          <w:szCs w:val="20"/>
          <w:color w:val="auto"/>
        </w:rPr>
      </w:pPr>
      <w:r>
        <w:rPr>
          <w:rFonts w:ascii="Arial" w:cs="Arial" w:eastAsia="Arial" w:hAnsi="Arial"/>
          <w:sz w:val="18"/>
          <w:szCs w:val="18"/>
          <w:color w:val="auto"/>
        </w:rPr>
        <w:t>After the completion of this offering, the holders of up to</w:t>
      </w:r>
      <w:r>
        <w:rPr>
          <w:sz w:val="20"/>
          <w:szCs w:val="20"/>
          <w:color w:val="auto"/>
        </w:rPr>
        <w:tab/>
      </w:r>
      <w:r>
        <w:rPr>
          <w:rFonts w:ascii="Arial" w:cs="Arial" w:eastAsia="Arial" w:hAnsi="Arial"/>
          <w:sz w:val="16"/>
          <w:szCs w:val="16"/>
          <w:color w:val="auto"/>
        </w:rPr>
        <w:t>shares of our common stock will be entitled to certain rights with respect to the</w:t>
      </w:r>
    </w:p>
    <w:p>
      <w:pPr>
        <w:spacing w:after="0" w:line="15" w:lineRule="exact"/>
        <w:rPr>
          <w:sz w:val="20"/>
          <w:szCs w:val="20"/>
          <w:color w:val="auto"/>
        </w:rPr>
      </w:pPr>
    </w:p>
    <w:p>
      <w:pPr>
        <w:ind w:left="5580" w:right="1780" w:hanging="5573"/>
        <w:spacing w:after="0" w:line="511" w:lineRule="auto"/>
        <w:rPr>
          <w:sz w:val="20"/>
          <w:szCs w:val="20"/>
          <w:color w:val="auto"/>
        </w:rPr>
      </w:pPr>
      <w:r>
        <w:rPr>
          <w:rFonts w:ascii="Arial" w:cs="Arial" w:eastAsia="Arial" w:hAnsi="Arial"/>
          <w:sz w:val="18"/>
          <w:szCs w:val="18"/>
          <w:color w:val="auto"/>
        </w:rPr>
        <w:t>registration of such shares under the Securities Act. The registration of these shares of our common stock under the Securities Act would 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w:t>
      </w:r>
    </w:p>
    <w:p>
      <w:pPr>
        <w:spacing w:after="0" w:line="231"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In connection with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statements will be eligible for sale in the public market without restriction under the Securities Act immediately upon the effectiveness of such registration statements, subject to vesting restrictions, the conditions of Rule 144 applicable to affiliates and any applicable market standoff agreements and lock-up agreements. See the section titled "Executive and Director Compensation—Stock Option and Other Compensation Plans" for a description of our equity compensation plans.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NON-U.S. HOLDERS OF COMMON STOCK</w:t>
      </w:r>
    </w:p>
    <w:p>
      <w:pPr>
        <w:spacing w:after="0" w:line="219" w:lineRule="exact"/>
        <w:rPr>
          <w:sz w:val="20"/>
          <w:szCs w:val="20"/>
          <w:color w:val="auto"/>
        </w:rPr>
      </w:pPr>
    </w:p>
    <w:p>
      <w:pPr>
        <w:jc w:val="both"/>
        <w:ind w:right="380" w:firstLine="611"/>
        <w:spacing w:after="0" w:line="306" w:lineRule="auto"/>
        <w:rPr>
          <w:sz w:val="20"/>
          <w:szCs w:val="20"/>
          <w:color w:val="auto"/>
        </w:rPr>
      </w:pPr>
      <w:r>
        <w:rPr>
          <w:rFonts w:ascii="Arial" w:cs="Arial" w:eastAsia="Arial" w:hAnsi="Arial"/>
          <w:sz w:val="16"/>
          <w:szCs w:val="16"/>
          <w:color w:val="auto"/>
        </w:rPr>
        <w:t>The following is a discussion of material U.S. federal income and estate tax considerations relating to the ownership and disposition of our common stock by a non-U.S. holder. For purposes of this discussion, the term "non-U.S. holder" means a beneficial owner (other than a partnership or other entity or arrangement that is treated as a partnership for U.S. federal income tax purposes) of our common stock that is not, for U.S. federal income tax purposes:</w:t>
      </w:r>
    </w:p>
    <w:p>
      <w:pPr>
        <w:spacing w:after="0" w:line="174"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This discussion does not address the tax treatment of partnerships or other entities or arrangements that are pass-through entities for U.S. federal income tax purposes or persons who hold their common stock through partnerships or other such pass-through entities. A partner in a partnership or other pass-through entity that will hold our common stock should consult that partner's tax advisor regarding the tax consequences of the ownership and disposition of our common stock through a partnership or other pass-through entity, as applicable.</w:t>
      </w:r>
    </w:p>
    <w:p>
      <w:pPr>
        <w:spacing w:after="0" w:line="197" w:lineRule="exact"/>
        <w:rPr>
          <w:sz w:val="20"/>
          <w:szCs w:val="20"/>
          <w:color w:val="auto"/>
        </w:rPr>
      </w:pPr>
    </w:p>
    <w:p>
      <w:pPr>
        <w:ind w:right="200" w:firstLine="611"/>
        <w:spacing w:after="0" w:line="294" w:lineRule="auto"/>
        <w:rPr>
          <w:sz w:val="20"/>
          <w:szCs w:val="20"/>
          <w:color w:val="auto"/>
        </w:rPr>
      </w:pPr>
      <w:r>
        <w:rPr>
          <w:rFonts w:ascii="Arial" w:cs="Arial" w:eastAsia="Arial" w:hAnsi="Arial"/>
          <w:sz w:val="16"/>
          <w:szCs w:val="16"/>
          <w:color w:val="auto"/>
        </w:rPr>
        <w:t>This discussion is based on current provisions of the Code, final, temporary and proposed U.S. Treasury Regulations promulgated thereunder, current administrative rulings and judicial decisions, all as in effect as of the date of this prospectus and all of which are subject to change or to differing interpretation, possibly with retroactive effect. In particular, Congress currently is considering significant tax reform proposals to the U.S. federal tax laws. Any change could alter the tax consequences to non-U.S. holders described in this prospectus. There can be no assurance that the Internal Revenue Service, or the IRS, will not challenge one or more of the tax consequences described in this prospectus.</w:t>
      </w:r>
    </w:p>
    <w:p>
      <w:pPr>
        <w:spacing w:after="0" w:line="170"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assume in this discussion that each non-U.S. holder holds shares of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non-U.S. holders who hold more than 5% of our common stock, directly or by attribution;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companies that accumulate earnings to avoid U.S. federal income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government organizations;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TAX ADVISORS REGARDING THE U.S. FEDERAL, STATE, LOCAL, ESTATE AND NON-U.S. INCOME AND OTHER TAX CONSIDERATIONS, INCLUDING THAT OF INCOME TAX TREATIES, OF ACQUIRING, HOLDING AND DISPOSING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60" w:firstLine="605"/>
        <w:spacing w:after="0" w:line="289" w:lineRule="auto"/>
        <w:rPr>
          <w:sz w:val="20"/>
          <w:szCs w:val="20"/>
          <w:color w:val="auto"/>
        </w:rPr>
      </w:pPr>
      <w:r>
        <w:rPr>
          <w:rFonts w:ascii="Arial" w:cs="Arial" w:eastAsia="Arial" w:hAnsi="Arial"/>
          <w:sz w:val="16"/>
          <w:szCs w:val="16"/>
          <w:color w:val="auto"/>
        </w:rPr>
        <w:t>As discussed under "Dividend Policy" above, we do not expect to make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subject to the tax treatment described in this section. If a distribution exceeds our current and accumulated earnings and profits, the excess amount of the distribution will be treated as a tax-free return of the non-U.S. holder's investment, up to the holder's tax basis in the common stock and correspondingly reduce (but not below zero) the non-U.S. holder's basis in such stock. Any remaining excess of the distribution once the non-U.S. holder's basis is reduced to zero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72"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Subject to the discussion below on effectively connected income,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generally are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in the hands of the non-U.S. holder at the same graduated U.S. federal income tax rates as would apply if such holder were a U.S. person (as defined in the Code). Any income effectively connected with a trade or business conducted within the United States that is received by a non-U.S. holder that is classified as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39"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such requirements.</w:t>
      </w:r>
    </w:p>
    <w:p>
      <w:pPr>
        <w:spacing w:after="0" w:line="197" w:lineRule="exact"/>
        <w:rPr>
          <w:sz w:val="20"/>
          <w:szCs w:val="20"/>
          <w:color w:val="auto"/>
        </w:rPr>
      </w:pPr>
    </w:p>
    <w:p>
      <w:pPr>
        <w:ind w:right="500" w:firstLine="605"/>
        <w:spacing w:after="0" w:line="268"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for a refund with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1"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208" w:lineRule="exact"/>
        <w:rPr>
          <w:sz w:val="20"/>
          <w:szCs w:val="20"/>
          <w:color w:val="auto"/>
        </w:rPr>
      </w:pPr>
    </w:p>
    <w:p>
      <w:pPr>
        <w:ind w:left="1080" w:right="20" w:hanging="532"/>
        <w:spacing w:after="0" w:line="318" w:lineRule="auto"/>
        <w:tabs>
          <w:tab w:leader="none" w:pos="10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graduated U.S. federal income tax rates applicable to U.S. persons (as defined in the Code), and, if the non-U.S. holder is a non-U.S. corporation, an additional branch profits tax at a rate of 30% (or a lower rate as may be specified by an applicable income tax treaty between the United States and such holder's country of residence) may also apply;</w:t>
      </w:r>
    </w:p>
    <w:p>
      <w:pPr>
        <w:spacing w:after="0" w:line="180" w:lineRule="exact"/>
        <w:rPr>
          <w:rFonts w:ascii="Arial" w:cs="Arial" w:eastAsia="Arial" w:hAnsi="Arial"/>
          <w:sz w:val="15"/>
          <w:szCs w:val="15"/>
          <w:color w:val="auto"/>
        </w:rPr>
      </w:pPr>
    </w:p>
    <w:p>
      <w:pPr>
        <w:ind w:left="1080" w:right="20" w:hanging="532"/>
        <w:spacing w:after="0" w:line="256"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10"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indirectly or by attribution, during the shorter of the five-year period ending on the date of the disposition or the period that the non-U.S. holder held our common stock.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our common stock will be regularly traded on an established securities market for purposes of the rule described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Non-U.S. holders are urged to consult with their tax advisors on the treatment of any gain on the disposition of our common stock based on their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The gross amount of the distributions on our common stock paid to each non-U.S. holder and the tax withheld, if any, with respect to such distributions must be reported annually to the IRS and to such holder. Non-U.S. holders generally will have to comply with specific certification procedures to establish that the holder is not a U.S. person (as defined in the Code) in order to avoid backup withholding at the applicable rate with respect to dividends on our common stock. Generally, a holder will comply with such procedures if it provides a properly executed IRS Form W-8BEN or W-8BEN-E (or other applicable Form W-8), or otherwise establishes an exemption through an income tax treaty or otherwise. Dividends paid to non-U.S. holders subject to withholding of U.S. federal income tax, as described above under "Distributions," generally will be exempt from U.S. backup withholding if such forms described herein are timely and properly provided. Notwithstanding the foregoing, backup withholding may apply if we have actual knowledge, or reason to know, that the non-U.S. holder is a U.S. person (as defined in the Code) that is not an exempt recipient.</w:t>
      </w:r>
    </w:p>
    <w:p>
      <w:pPr>
        <w:spacing w:after="0" w:line="172" w:lineRule="exact"/>
        <w:rPr>
          <w:sz w:val="20"/>
          <w:szCs w:val="20"/>
          <w:color w:val="auto"/>
        </w:rPr>
      </w:pPr>
    </w:p>
    <w:p>
      <w:pPr>
        <w:ind w:right="40" w:firstLine="615"/>
        <w:spacing w:after="0" w:line="253"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201"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 xml:space="preserve">Backup withholding is not an additional tax. Any amounts withheld under the backup withholding rules from a payment to a non-U.S. holder can be refunded or credited against the non-U.S. holder's U.S. federal income tax liability,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Provisions of the Code commonly known as the Foreign Account Tax Compliance Act, or FATCA, generally impose a 30% withholding tax on dividends on, and gross proceeds from the sale or disposition of, our common stock if paid to a foreign entity unless: (i) if the foreign entity is a "foreign financial institution," (as defined in the Code), the foreign entity undertakes certain due diligence, information reporting, withholding, and certification obligations, (ii) if the foreign entity is not a "foreign financial institution," and the foreign entity identifies certain of its U.S. investors, if any, or (iii) the foreign entity is otherwise exempt under FATCA.</w:t>
      </w:r>
    </w:p>
    <w:p>
      <w:pPr>
        <w:spacing w:after="0" w:line="197" w:lineRule="exact"/>
        <w:rPr>
          <w:sz w:val="20"/>
          <w:szCs w:val="20"/>
          <w:color w:val="auto"/>
        </w:rPr>
      </w:pPr>
    </w:p>
    <w:p>
      <w:pPr>
        <w:ind w:right="40" w:firstLine="611"/>
        <w:spacing w:after="0" w:line="256" w:lineRule="auto"/>
        <w:rPr>
          <w:sz w:val="20"/>
          <w:szCs w:val="20"/>
          <w:color w:val="auto"/>
        </w:rPr>
      </w:pPr>
      <w:r>
        <w:rPr>
          <w:rFonts w:ascii="Arial" w:cs="Arial" w:eastAsia="Arial" w:hAnsi="Arial"/>
          <w:sz w:val="18"/>
          <w:szCs w:val="18"/>
          <w:color w:val="auto"/>
        </w:rPr>
        <w:t>Withholding under FATCA generally (1) applies to payments of dividends on our common stock and (2) will apply to payments of gross proceeds from a sale or other disposition of our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consult their tax advisors regarding the possible implications of FATCA on their investment in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120" w:firstLine="615"/>
        <w:spacing w:after="0" w:line="335" w:lineRule="auto"/>
        <w:rPr>
          <w:sz w:val="20"/>
          <w:szCs w:val="20"/>
          <w:color w:val="auto"/>
        </w:rPr>
      </w:pPr>
      <w:r>
        <w:rPr>
          <w:rFonts w:ascii="Arial" w:cs="Arial" w:eastAsia="Arial" w:hAnsi="Arial"/>
          <w:sz w:val="15"/>
          <w:szCs w:val="15"/>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The preceding discussion of material U.S. federal tax considerations is for information only. It is not legal or tax advice. Prospective investors should consult their tax advisors regarding the particular U.S. federal, state, local and non-U.S. tax consequences of purchasing, holding and disposing of our common stock, including the consequences of any proposed changes in applicable laws.</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40" w:firstLine="615"/>
        <w:spacing w:after="0" w:line="335" w:lineRule="auto"/>
        <w:rPr>
          <w:sz w:val="20"/>
          <w:szCs w:val="20"/>
          <w:color w:val="auto"/>
        </w:rPr>
      </w:pPr>
      <w:r>
        <w:rPr>
          <w:rFonts w:ascii="Arial" w:cs="Arial" w:eastAsia="Arial" w:hAnsi="Arial"/>
          <w:sz w:val="15"/>
          <w:szCs w:val="15"/>
          <w:color w:val="auto"/>
        </w:rPr>
        <w:t>Merrill Lynch, Pierce, Fenner &amp; Smith Incorporated and Cowen and Company,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2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Underwriter</w:t>
            </w:r>
          </w:p>
        </w:tc>
        <w:tc>
          <w:tcPr>
            <w:tcW w:w="6040" w:type="dxa"/>
            <w:vAlign w:val="bottom"/>
            <w:gridSpan w:val="2"/>
          </w:tcPr>
          <w:p>
            <w:pPr>
              <w:jc w:val="center"/>
              <w:ind w:left="5352"/>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39"/>
        </w:trPr>
        <w:tc>
          <w:tcPr>
            <w:tcW w:w="740" w:type="dxa"/>
            <w:vAlign w:val="bottom"/>
            <w:tcBorders>
              <w:bottom w:val="single" w:sz="8" w:color="auto"/>
            </w:tcBorders>
            <w:vMerge w:val="continue"/>
          </w:tcPr>
          <w:p>
            <w:pPr>
              <w:spacing w:after="0"/>
              <w:rPr>
                <w:sz w:val="11"/>
                <w:szCs w:val="11"/>
                <w:color w:val="auto"/>
              </w:rPr>
            </w:pPr>
          </w:p>
        </w:tc>
        <w:tc>
          <w:tcPr>
            <w:tcW w:w="5420" w:type="dxa"/>
            <w:vAlign w:val="bottom"/>
          </w:tcPr>
          <w:p>
            <w:pPr>
              <w:spacing w:after="0"/>
              <w:rPr>
                <w:sz w:val="11"/>
                <w:szCs w:val="11"/>
                <w:color w:val="auto"/>
              </w:rPr>
            </w:pPr>
          </w:p>
        </w:tc>
        <w:tc>
          <w:tcPr>
            <w:tcW w:w="6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4"/>
              </w:rPr>
              <w:t>Shares</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274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Merrill Lynch, Pierce, Fenner &amp; Smith</w:t>
      </w:r>
    </w:p>
    <w:p>
      <w:pPr>
        <w:spacing w:after="0" w:line="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6985</wp:posOffset>
            </wp:positionV>
            <wp:extent cx="4972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46"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jc w:val="both"/>
        <w:ind w:right="260" w:firstLine="611"/>
        <w:spacing w:after="0" w:line="259"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194" w:lineRule="exact"/>
        <w:rPr>
          <w:sz w:val="20"/>
          <w:szCs w:val="20"/>
          <w:color w:val="auto"/>
        </w:rPr>
      </w:pPr>
    </w:p>
    <w:p>
      <w:pPr>
        <w:ind w:right="440" w:firstLine="611"/>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23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Without Option</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With Option</w:t>
            </w:r>
          </w:p>
        </w:tc>
        <w:tc>
          <w:tcPr>
            <w:tcW w:w="1620" w:type="dxa"/>
            <w:vAlign w:val="bottom"/>
          </w:tcPr>
          <w:p>
            <w:pPr>
              <w:spacing w:after="0"/>
              <w:rPr>
                <w:sz w:val="14"/>
                <w:szCs w:val="14"/>
                <w:color w:val="auto"/>
              </w:rPr>
            </w:pPr>
          </w:p>
        </w:tc>
      </w:tr>
      <w:tr>
        <w:trPr>
          <w:trHeight w:val="210"/>
        </w:trPr>
        <w:tc>
          <w:tcPr>
            <w:tcW w:w="1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Underwriting discount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430"/>
        </w:trPr>
        <w:tc>
          <w:tcPr>
            <w:tcW w:w="6320" w:type="dxa"/>
            <w:vAlign w:val="bottom"/>
            <w:gridSpan w:val="2"/>
          </w:tcPr>
          <w:p>
            <w:pPr>
              <w:spacing w:after="0"/>
              <w:rPr>
                <w:sz w:val="20"/>
                <w:szCs w:val="20"/>
                <w:color w:val="auto"/>
              </w:rPr>
            </w:pPr>
            <w:r>
              <w:rPr>
                <w:rFonts w:ascii="Arial" w:cs="Arial" w:eastAsia="Arial" w:hAnsi="Arial"/>
                <w:sz w:val="18"/>
                <w:szCs w:val="18"/>
                <w:color w:val="auto"/>
                <w:w w:val="90"/>
              </w:rPr>
              <w:t>The expenses of the offering, not including the underwriting discount, are estimated at $</w:t>
            </w:r>
          </w:p>
        </w:tc>
        <w:tc>
          <w:tcPr>
            <w:tcW w:w="4380" w:type="dxa"/>
            <w:vAlign w:val="bottom"/>
            <w:gridSpan w:val="6"/>
          </w:tcPr>
          <w:p>
            <w:pPr>
              <w:ind w:left="400"/>
              <w:spacing w:after="0"/>
              <w:rPr>
                <w:sz w:val="20"/>
                <w:szCs w:val="20"/>
                <w:color w:val="auto"/>
              </w:rPr>
            </w:pPr>
            <w:r>
              <w:rPr>
                <w:rFonts w:ascii="Arial" w:cs="Arial" w:eastAsia="Arial" w:hAnsi="Arial"/>
                <w:sz w:val="18"/>
                <w:szCs w:val="18"/>
                <w:color w:val="auto"/>
                <w:w w:val="85"/>
              </w:rPr>
              <w:t>and are payable by us. We have also agreed to reimburse</w:t>
            </w:r>
          </w:p>
        </w:tc>
      </w:tr>
    </w:tbl>
    <w:p>
      <w:pPr>
        <w:ind w:left="5580" w:right="820" w:hanging="5573"/>
        <w:spacing w:after="0" w:line="511" w:lineRule="auto"/>
        <w:rPr>
          <w:sz w:val="20"/>
          <w:szCs w:val="20"/>
          <w:color w:val="auto"/>
        </w:rPr>
      </w:pPr>
      <w:r>
        <w:rPr>
          <w:rFonts w:ascii="Arial" w:cs="Arial" w:eastAsia="Arial" w:hAnsi="Arial"/>
          <w:sz w:val="18"/>
          <w:szCs w:val="18"/>
          <w:color w:val="auto"/>
        </w:rPr>
        <w:t>the underwriters for their expenses relating to clearance of this offering with the Financial Industry Regulatory Authority in an amount up to $60,000.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ind w:left="620"/>
        <w:spacing w:after="0"/>
        <w:tabs>
          <w:tab w:leader="none" w:pos="9840" w:val="left"/>
        </w:tabs>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r>
        <w:rPr>
          <w:sz w:val="20"/>
          <w:szCs w:val="20"/>
          <w:color w:val="auto"/>
        </w:rPr>
        <w:tab/>
      </w:r>
      <w:r>
        <w:rPr>
          <w:rFonts w:ascii="Arial" w:cs="Arial" w:eastAsia="Arial" w:hAnsi="Arial"/>
          <w:sz w:val="15"/>
          <w:szCs w:val="15"/>
          <w:color w:val="auto"/>
        </w:rPr>
        <w:t>additional shares at</w:t>
      </w:r>
    </w:p>
    <w:p>
      <w:pPr>
        <w:spacing w:after="0" w:line="1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280" w:firstLine="611"/>
        <w:spacing w:after="0" w:line="256" w:lineRule="auto"/>
        <w:rPr>
          <w:sz w:val="20"/>
          <w:szCs w:val="20"/>
          <w:color w:val="auto"/>
        </w:rPr>
      </w:pPr>
      <w:r>
        <w:rPr>
          <w:rFonts w:ascii="Arial" w:cs="Arial" w:eastAsia="Arial" w:hAnsi="Arial"/>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Merrill Lynch, Pierce, Fenner &amp; Smith Incorporated and Cowen and Company, LLC. Specifically, we and these other persons have agreed, with certain limited exceptions, not to directly or indirectly</w:t>
      </w:r>
    </w:p>
    <w:p>
      <w:pPr>
        <w:spacing w:after="0" w:line="211"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or make a confidential submission related to the common stock, or</w:t>
      </w:r>
    </w:p>
    <w:p>
      <w:pPr>
        <w:spacing w:after="0" w:line="238"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9"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Merrill Lynch, Pierce, Fenner &amp; Smith Incorporated and Cowen and Company, LLC, in their sole discretion, may release the common stock and other securities subject to the lock-up agreements described above in whole or in part at any time with or without notice. In addition, in the event that any stockholder holding in excess of 5% of our outstanding shares, or a Major Holder, is granted an early release from the lock-up restrictions with respect to our securities in an aggregate amount in excess of one percent of our issued and outstanding shares (whether in one or multiple releases), then each other Major Holder automatically will be granted an equivalent early release from its obligations under the lock-up agreement on a pro-rata basis. Such release shall not be applicable in the event of an underwritten primary or secondary public offering or sale of our common stock during the period ending 180 days after the date of this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expect the shares to be approved for listing on the Nasdaq Global Market, subject to notice of issuance, under the symbol "YMAB."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Estimated Offering Price</w:t>
      </w:r>
    </w:p>
    <w:p>
      <w:pPr>
        <w:spacing w:after="0" w:line="231" w:lineRule="exact"/>
        <w:rPr>
          <w:sz w:val="20"/>
          <w:szCs w:val="20"/>
          <w:color w:val="auto"/>
        </w:rPr>
      </w:pPr>
    </w:p>
    <w:p>
      <w:pPr>
        <w:jc w:val="both"/>
        <w:ind w:right="260" w:firstLine="615"/>
        <w:spacing w:after="0" w:line="332" w:lineRule="auto"/>
        <w:rPr>
          <w:sz w:val="20"/>
          <w:szCs w:val="20"/>
          <w:color w:val="auto"/>
        </w:rPr>
      </w:pPr>
      <w:r>
        <w:rPr>
          <w:rFonts w:ascii="Arial" w:cs="Arial" w:eastAsia="Arial" w:hAnsi="Arial"/>
          <w:sz w:val="16"/>
          <w:szCs w:val="16"/>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153"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underwriters do not expect to sell more than 5% of the shares in the aggregate to accounts over which they exercise discretionary authority.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jc w:val="both"/>
        <w:ind w:right="360" w:firstLine="615"/>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94" w:lineRule="exact"/>
        <w:rPr>
          <w:sz w:val="20"/>
          <w:szCs w:val="20"/>
          <w:color w:val="auto"/>
        </w:rPr>
      </w:pPr>
    </w:p>
    <w:p>
      <w:pPr>
        <w:ind w:right="60" w:firstLine="615"/>
        <w:spacing w:after="0" w:line="308" w:lineRule="auto"/>
        <w:rPr>
          <w:sz w:val="20"/>
          <w:szCs w:val="20"/>
          <w:color w:val="auto"/>
        </w:rPr>
      </w:pPr>
      <w:r>
        <w:rPr>
          <w:rFonts w:ascii="Arial" w:cs="Arial" w:eastAsia="Arial" w:hAnsi="Arial"/>
          <w:sz w:val="15"/>
          <w:szCs w:val="15"/>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63" w:lineRule="exact"/>
        <w:rPr>
          <w:sz w:val="20"/>
          <w:szCs w:val="20"/>
          <w:color w:val="auto"/>
        </w:rPr>
      </w:pPr>
    </w:p>
    <w:p>
      <w:pPr>
        <w:ind w:right="420" w:firstLine="611"/>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97" w:lineRule="exact"/>
        <w:rPr>
          <w:sz w:val="20"/>
          <w:szCs w:val="20"/>
          <w:color w:val="auto"/>
        </w:rPr>
      </w:pPr>
    </w:p>
    <w:p>
      <w:pPr>
        <w:ind w:right="20" w:firstLine="615"/>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40" w:firstLine="615"/>
        <w:spacing w:after="0" w:line="370"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6" w:lineRule="exact"/>
        <w:rPr>
          <w:sz w:val="20"/>
          <w:szCs w:val="20"/>
          <w:color w:val="auto"/>
        </w:rPr>
      </w:pPr>
    </w:p>
    <w:p>
      <w:pPr>
        <w:ind w:right="200" w:firstLine="615"/>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199"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460" w:firstLine="615"/>
        <w:spacing w:after="0" w:line="33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referred to in (a) to (c) above shall result in a requirement for us or any representative to publish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Article 3 of the Prospectus Directive, or supplement a prospectus pursuant to Article 16 of the Prospectus Directive.</w:t>
      </w:r>
    </w:p>
    <w:p>
      <w:pPr>
        <w:spacing w:after="0" w:line="139"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Each person located in a Member State to whom any offer of shares is made or who receives any communication in respect of an offer of shares, or who initially acquires any shares will be deemed to have represented, warranted, acknowledged and agreed to and with each representative and us that (1) it is a "qualified investor" within the meaning of the law in that Member State implementing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have been acquired by it on behalf of persons in any Member State other than qualified investors, the offer of those shares to it is not treated under the Prospectus Directive as having been made to such persons.</w:t>
      </w:r>
    </w:p>
    <w:p>
      <w:pPr>
        <w:spacing w:after="0" w:line="170"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We, the representatives and their respective affiliates will rely upon the truth and accuracy of the foregoing representations, acknowledgments and agreements.</w:t>
      </w:r>
    </w:p>
    <w:p>
      <w:pPr>
        <w:spacing w:after="0" w:line="186"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prospectus has been prepared on the basis that any offer of shares of our common stock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us or any of the representatives to publish a prospectus pursuant to Article 3 of the Prospectus Directive in relation to such offer. Neither we nor the representatives have authorized, nor do they authorize, the making of any offer of shares in circumstances in which an obligation arises for us or the representatives to publish a prospectus for such offer.</w:t>
      </w:r>
    </w:p>
    <w:p>
      <w:pPr>
        <w:spacing w:after="0" w:line="198"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material relating to the shares or the offering may be publicly distributed or otherwise made publicly available in Switzerland.</w:t>
      </w:r>
    </w:p>
    <w:p>
      <w:pPr>
        <w:spacing w:after="0" w:line="225" w:lineRule="exact"/>
        <w:rPr>
          <w:sz w:val="20"/>
          <w:szCs w:val="20"/>
          <w:color w:val="auto"/>
        </w:rPr>
      </w:pPr>
    </w:p>
    <w:p>
      <w:pPr>
        <w:ind w:right="300" w:firstLine="615"/>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our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605"/>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40" w:firstLine="611"/>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275(1), or any person pursuant to Section 275(1A),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40" w:hanging="532"/>
        <w:spacing w:after="0" w:line="332"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that corporation or that trust has acquired the shares pursuant to an offer made under Section 275 of the SFA except:</w:t>
      </w:r>
    </w:p>
    <w:p>
      <w:pPr>
        <w:spacing w:after="0" w:line="239" w:lineRule="exact"/>
        <w:rPr>
          <w:sz w:val="20"/>
          <w:szCs w:val="20"/>
          <w:color w:val="auto"/>
        </w:rPr>
      </w:pPr>
    </w:p>
    <w:p>
      <w:pPr>
        <w:ind w:left="1080" w:right="46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611"/>
        <w:spacing w:after="0" w:line="268" w:lineRule="auto"/>
        <w:rPr>
          <w:sz w:val="20"/>
          <w:szCs w:val="20"/>
          <w:color w:val="auto"/>
        </w:rPr>
      </w:pPr>
      <w:r>
        <w:rPr>
          <w:rFonts w:ascii="Arial" w:cs="Arial" w:eastAsia="Arial" w:hAnsi="Arial"/>
          <w:sz w:val="18"/>
          <w:szCs w:val="18"/>
          <w:color w:val="auto"/>
        </w:rPr>
        <w:t>The validity of the shares of our common stock offered hereby is being passed upon for us by Satterlee Stephens LLP. Certain legal matters relating to this offering will be passed upon for the underwriters by Shearman &amp; Sterling LLP.</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611"/>
        <w:spacing w:after="0" w:line="370" w:lineRule="auto"/>
        <w:rPr>
          <w:sz w:val="20"/>
          <w:szCs w:val="20"/>
          <w:color w:val="auto"/>
        </w:rPr>
      </w:pPr>
      <w:r>
        <w:rPr>
          <w:rFonts w:ascii="Arial" w:cs="Arial" w:eastAsia="Arial" w:hAnsi="Arial"/>
          <w:sz w:val="15"/>
          <w:szCs w:val="15"/>
          <w:color w:val="auto"/>
        </w:rPr>
        <w:t>The financial statements as of December 31, 2016 and for the year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public accounting firm</w:t>
      </w:r>
    </w:p>
    <w:p>
      <w:pPr>
        <w:spacing w:after="0" w:line="225" w:lineRule="exact"/>
        <w:rPr>
          <w:sz w:val="20"/>
          <w:szCs w:val="20"/>
          <w:color w:val="auto"/>
        </w:rPr>
      </w:pPr>
    </w:p>
    <w:p>
      <w:pPr>
        <w:ind w:right="120" w:firstLine="615"/>
        <w:spacing w:after="0" w:line="370" w:lineRule="auto"/>
        <w:rPr>
          <w:sz w:val="20"/>
          <w:szCs w:val="20"/>
          <w:color w:val="auto"/>
        </w:rPr>
      </w:pPr>
      <w:r>
        <w:rPr>
          <w:rFonts w:ascii="Arial" w:cs="Arial" w:eastAsia="Arial" w:hAnsi="Arial"/>
          <w:sz w:val="15"/>
          <w:szCs w:val="15"/>
          <w:color w:val="auto"/>
        </w:rPr>
        <w:t>On October 19, 2017, we dismissed PricewaterhouseCoopers Statsautoriseret Revisionspartnerselskab, based in Copenhagen, Denmark, or PwC DK, as our independent accountants. The decision to dismiss PwC DK as our independent registered public accounting firm was approved by our board of directors.</w:t>
      </w:r>
    </w:p>
    <w:p>
      <w:pPr>
        <w:spacing w:after="0" w:line="116" w:lineRule="exact"/>
        <w:rPr>
          <w:sz w:val="20"/>
          <w:szCs w:val="20"/>
          <w:color w:val="auto"/>
        </w:rPr>
      </w:pPr>
    </w:p>
    <w:p>
      <w:pPr>
        <w:ind w:right="40" w:firstLine="611"/>
        <w:spacing w:after="0" w:line="314" w:lineRule="auto"/>
        <w:rPr>
          <w:sz w:val="20"/>
          <w:szCs w:val="20"/>
          <w:color w:val="auto"/>
        </w:rPr>
      </w:pPr>
      <w:r>
        <w:rPr>
          <w:rFonts w:ascii="Arial" w:cs="Arial" w:eastAsia="Arial" w:hAnsi="Arial"/>
          <w:sz w:val="15"/>
          <w:szCs w:val="15"/>
          <w:color w:val="auto"/>
        </w:rPr>
        <w:t>The reports of PwC DK on our 2016 and 2015 consolidated financial statements did not contain any adverse opinion or disclaimer of opinion, nor was such report qualified or modified as to uncertainty, audit scope or accounting principles. During the year ended December 31, 2016 and 2015 and through the subsequent interim period through October 19, 2017, there were no disagreements between us and PwC DK on any matter of accounting principles or practices, financial statement disclosure or auditing scope or procedure, which disagreement, if not resolved to the satisfaction of PwC DK, would have caused them to make reference to the subject matter of the disagreement in connection with their reports on the financial statements for such years. During the years ended December 31, 2016 and 2015 and the subsequent interim period through October 19, 2017, there have been no reportable events (as defined in S-K 304(a)(1)(v)).</w:t>
      </w:r>
    </w:p>
    <w:p>
      <w:pPr>
        <w:spacing w:after="0" w:line="159"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On October 20, 2017, we engaged PricewaterhouseCoopers LLP, or PwC, as our independent registered public accounting firm, to audit our consolidated financial statements as of and for the year ended December 31, 2016.</w:t>
      </w:r>
    </w:p>
    <w:p>
      <w:pPr>
        <w:spacing w:after="0" w:line="186"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During our year ended December 31, 2016 and in the subsequent interim period through October 20, 2017, neither we nor anyone on our behalf consulted with PwC regarding either: (i) the application of accounting principles to a specified transaction, either completed or proposed, or the type of audit opinion that might be rendered on our financial statements, and neither a written report was provided to us or oral advice was provided to us that PwC concluded was an important factor considered by us in reaching a decision as to the accounting, auditing or financial reporting issue; or (ii) any matter that was either the subject of a disagreement or reportable event as defined in Regulation S-K, Item 304(a)(1)(iv) and Item 304(a)(1)(v), respectively.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delivered a copy of this disclosure to PwC DK and requested that they furnish us a letter addressed to the SEC stating whether they agree with the</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above statements. In their letter to the SEC dated , attached as Exhibit 16.1 to the registration statement of which this prospectus forms a part, PwC DK states that they agree with the statements above concerning their firm.</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we are offering to sell. This prospectus, which constitutes part of the registration statement, does not include all of the information contained in the registration statement and the exhibits, schedules and amendments to the registration statement. Some items are omitted in accordance with the rules and regulations of the SEC. For further information with respect to us and our common stock, we refer you to the registration statement and to the exhibits, schedules and amendments to the registration statement. Statements contained in this prospectus about the contents of any contract, agreement or other document filed as an exhibit are not necessarily complete, and, in each instance, we refer you to the copy of the contract, agreement or other document filed as an exhibit to the registration statement. Each of these statements is qualified in all respects by this reference.</w:t>
      </w:r>
    </w:p>
    <w:p>
      <w:pPr>
        <w:spacing w:after="0" w:line="172" w:lineRule="exact"/>
        <w:rPr>
          <w:sz w:val="20"/>
          <w:szCs w:val="20"/>
          <w:color w:val="auto"/>
        </w:rPr>
      </w:pPr>
    </w:p>
    <w:p>
      <w:pPr>
        <w:ind w:right="120" w:firstLine="608"/>
        <w:spacing w:after="0" w:line="318" w:lineRule="auto"/>
        <w:rPr>
          <w:sz w:val="20"/>
          <w:szCs w:val="20"/>
          <w:color w:val="auto"/>
        </w:rPr>
      </w:pPr>
      <w:r>
        <w:rPr>
          <w:rFonts w:ascii="Arial" w:cs="Arial" w:eastAsia="Arial" w:hAnsi="Arial"/>
          <w:sz w:val="15"/>
          <w:szCs w:val="15"/>
          <w:color w:val="auto"/>
        </w:rPr>
        <w:t>You may read and copy the registration statement of which this prospectus is a part at the SEC's public reference room, which is located at 100 F Street, N.E., Room 1580, Washington, D.C. 20549. You can request copies of the registration statement by writing to the Securities and Exchange Commission and paying a fee for the copying cost. Please call the SEC at 1-800-SEC-0330 for more information about the operation of the SEC's public reference room. In addition, the SEC maintains an Internet website, which is located at www.sec.gov, that contains reports, proxy and information statements and other information regarding issuers that file electronically with the SEC. You may access the registration statement of which this prospectus is a part at the SEC's Internet website.</w:t>
      </w:r>
    </w:p>
    <w:p>
      <w:pPr>
        <w:spacing w:after="0" w:line="154"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and we will file annual, quarterly and proxy reports, proxy statements and other information with the SEC. We intend to furnish our stockholders with annual reports containing financial statements certified by an independent registered public accounting firm. We also maintain a website at www.ymabs.com. The information contained on, or that can be accessed through, our website is not a part of, and is not incorporated into, this prospectus. We have included our website address in this prospectus solely as an inactive textual reference.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YEAR ENDED DECEMBER 31, 2016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560" w:type="dxa"/>
            <w:vAlign w:val="bottom"/>
            <w:gridSpan w:val="7"/>
            <w:vMerge w:val="restart"/>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Report of Independent Registered Public Accounting Firm</w:t>
              </w:r>
            </w:hyperlink>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560" w:type="dxa"/>
            <w:vAlign w:val="bottom"/>
            <w:gridSpan w:val="7"/>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218">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980" w:type="dxa"/>
            <w:vAlign w:val="bottom"/>
            <w:tcBorders>
              <w:top w:val="single" w:sz="8" w:color="0000EE"/>
              <w:bottom w:val="single" w:sz="8" w:color="0000EE"/>
            </w:tcBorders>
          </w:tcPr>
          <w:p>
            <w:pPr>
              <w:spacing w:after="0"/>
              <w:rPr>
                <w:rFonts w:ascii="Arial" w:cs="Arial" w:eastAsia="Arial" w:hAnsi="Arial"/>
                <w:sz w:val="18"/>
                <w:szCs w:val="18"/>
                <w:color w:val="0000EE"/>
                <w:w w:val="86"/>
              </w:rPr>
            </w:pPr>
            <w:hyperlink w:anchor="page219">
              <w:r>
                <w:rPr>
                  <w:rFonts w:ascii="Arial" w:cs="Arial" w:eastAsia="Arial" w:hAnsi="Arial"/>
                  <w:sz w:val="18"/>
                  <w:szCs w:val="18"/>
                  <w:color w:val="0000EE"/>
                  <w:w w:val="86"/>
                </w:rPr>
                <w:t>Consolidated Balance Sheet</w:t>
              </w:r>
            </w:hyperlink>
          </w:p>
        </w:tc>
        <w:tc>
          <w:tcPr>
            <w:tcW w:w="2140" w:type="dxa"/>
            <w:vAlign w:val="bottom"/>
            <w:tcBorders>
              <w:top w:val="single" w:sz="8" w:color="0000EE"/>
            </w:tcBorders>
            <w:gridSpan w:val="4"/>
          </w:tcPr>
          <w:p>
            <w:pPr>
              <w:spacing w:after="0"/>
              <w:rPr>
                <w:sz w:val="24"/>
                <w:szCs w:val="24"/>
                <w:color w:val="auto"/>
              </w:rPr>
            </w:pPr>
          </w:p>
        </w:tc>
        <w:tc>
          <w:tcPr>
            <w:tcW w:w="44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0000EE"/>
              <w:bottom w:val="single" w:sz="8" w:color="0000EE"/>
            </w:tcBorders>
          </w:tcPr>
          <w:p>
            <w:pPr>
              <w:spacing w:after="0"/>
              <w:rPr>
                <w:rFonts w:ascii="Arial" w:cs="Arial" w:eastAsia="Arial" w:hAnsi="Arial"/>
                <w:sz w:val="18"/>
                <w:szCs w:val="18"/>
                <w:color w:val="0000EE"/>
                <w:w w:val="81"/>
              </w:rPr>
            </w:pPr>
            <w:hyperlink w:anchor="page219">
              <w:r>
                <w:rPr>
                  <w:rFonts w:ascii="Arial" w:cs="Arial" w:eastAsia="Arial" w:hAnsi="Arial"/>
                  <w:sz w:val="18"/>
                  <w:szCs w:val="18"/>
                  <w:color w:val="0000EE"/>
                  <w:w w:val="81"/>
                </w:rPr>
                <w:t>F-3</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34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20">
              <w:r>
                <w:rPr>
                  <w:rFonts w:ascii="Arial" w:cs="Arial" w:eastAsia="Arial" w:hAnsi="Arial"/>
                  <w:sz w:val="18"/>
                  <w:szCs w:val="18"/>
                  <w:color w:val="0000EE"/>
                  <w:w w:val="87"/>
                </w:rPr>
                <w:t>Consolidated Statement of Comprehensive Loss</w:t>
              </w:r>
            </w:hyperlink>
          </w:p>
        </w:tc>
        <w:tc>
          <w:tcPr>
            <w:tcW w:w="51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20">
              <w:r>
                <w:rPr>
                  <w:rFonts w:ascii="Arial" w:cs="Arial" w:eastAsia="Arial" w:hAnsi="Arial"/>
                  <w:sz w:val="18"/>
                  <w:szCs w:val="18"/>
                  <w:color w:val="0000EE"/>
                  <w:w w:val="81"/>
                </w:rPr>
                <w:t>F-4</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0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21">
              <w:r>
                <w:rPr>
                  <w:rFonts w:ascii="Arial" w:cs="Arial" w:eastAsia="Arial" w:hAnsi="Arial"/>
                  <w:sz w:val="18"/>
                  <w:szCs w:val="18"/>
                  <w:color w:val="0000EE"/>
                  <w:w w:val="87"/>
                </w:rPr>
                <w:t>Consolidated Statement of Changes in Stockholders' Equity For the Year Ended December 31, 2016</w:t>
              </w:r>
            </w:hyperlink>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21">
              <w:r>
                <w:rPr>
                  <w:rFonts w:ascii="Arial" w:cs="Arial" w:eastAsia="Arial" w:hAnsi="Arial"/>
                  <w:sz w:val="18"/>
                  <w:szCs w:val="18"/>
                  <w:color w:val="0000EE"/>
                  <w:w w:val="81"/>
                </w:rPr>
                <w:t>F-5</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7"/>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Consolidated Statement of Cash Flows</w:t>
              </w:r>
            </w:hyperlink>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7"/>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Notes to Consolidated Financial Statements</w:t>
              </w:r>
            </w:hyperlink>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F-1</w:t>
            </w:r>
          </w:p>
        </w:tc>
        <w:tc>
          <w:tcPr>
            <w:tcW w:w="1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Y-mAbs Therapeutics, Inc.:</w:t>
      </w:r>
    </w:p>
    <w:p>
      <w:pPr>
        <w:spacing w:after="0" w:line="225" w:lineRule="exact"/>
        <w:rPr>
          <w:sz w:val="20"/>
          <w:szCs w:val="20"/>
          <w:color w:val="auto"/>
        </w:rPr>
      </w:pPr>
    </w:p>
    <w:p>
      <w:pPr>
        <w:jc w:val="both"/>
        <w:ind w:right="120"/>
        <w:spacing w:after="0" w:line="303" w:lineRule="auto"/>
        <w:rPr>
          <w:sz w:val="20"/>
          <w:szCs w:val="20"/>
          <w:color w:val="auto"/>
        </w:rPr>
      </w:pPr>
      <w:r>
        <w:rPr>
          <w:rFonts w:ascii="Arial" w:cs="Arial" w:eastAsia="Arial" w:hAnsi="Arial"/>
          <w:sz w:val="15"/>
          <w:szCs w:val="15"/>
          <w:color w:val="auto"/>
        </w:rPr>
        <w:t>In our opinion, the accompanying consolidated balance sheet and the related consolidated statements of comprehensive loss, changes in stockholders' equity and cash flows present fairly, in all material respects, the financial position of Y-mAbs Therapeutics, Inc. and its subsidiary as of December 31, 2016, and the results of their operations and their cash flows for the year then ended in conformity with accounting principles generally accepted in the United States of America.</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these financial statements based on our audit. We conducted our audit of these statements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2018</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0" w:type="dxa"/>
            <w:vAlign w:val="bottom"/>
          </w:tcPr>
          <w:p>
            <w:pPr>
              <w:jc w:val="center"/>
              <w:ind w:left="992"/>
              <w:spacing w:after="0"/>
              <w:rPr>
                <w:sz w:val="20"/>
                <w:szCs w:val="20"/>
                <w:color w:val="auto"/>
              </w:rPr>
            </w:pPr>
            <w:r>
              <w:rPr>
                <w:rFonts w:ascii="Arial" w:cs="Arial" w:eastAsia="Arial" w:hAnsi="Arial"/>
                <w:sz w:val="18"/>
                <w:szCs w:val="18"/>
                <w:b w:val="1"/>
                <w:bCs w:val="1"/>
                <w:color w:val="auto"/>
                <w:w w:val="97"/>
              </w:rPr>
              <w:t>Y-MABS THERAPEUTICS, INC.</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0" w:type="dxa"/>
            <w:vAlign w:val="bottom"/>
          </w:tcPr>
          <w:p>
            <w:pPr>
              <w:jc w:val="center"/>
              <w:ind w:left="992"/>
              <w:spacing w:after="0"/>
              <w:rPr>
                <w:sz w:val="20"/>
                <w:szCs w:val="20"/>
                <w:color w:val="auto"/>
              </w:rPr>
            </w:pPr>
            <w:r>
              <w:rPr>
                <w:rFonts w:ascii="Arial" w:cs="Arial" w:eastAsia="Arial" w:hAnsi="Arial"/>
                <w:sz w:val="18"/>
                <w:szCs w:val="18"/>
                <w:b w:val="1"/>
                <w:bCs w:val="1"/>
                <w:color w:val="auto"/>
                <w:w w:val="85"/>
              </w:rPr>
              <w:t>Consolidated Balance Sheet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0" w:type="dxa"/>
            <w:vAlign w:val="bottom"/>
          </w:tcPr>
          <w:p>
            <w:pPr>
              <w:jc w:val="center"/>
              <w:ind w:left="972"/>
              <w:spacing w:after="0"/>
              <w:rPr>
                <w:sz w:val="20"/>
                <w:szCs w:val="20"/>
                <w:color w:val="auto"/>
              </w:rPr>
            </w:pPr>
            <w:r>
              <w:rPr>
                <w:rFonts w:ascii="Arial" w:cs="Arial" w:eastAsia="Arial" w:hAnsi="Arial"/>
                <w:sz w:val="18"/>
                <w:szCs w:val="18"/>
                <w:b w:val="1"/>
                <w:bCs w:val="1"/>
                <w:color w:val="auto"/>
                <w:w w:val="85"/>
              </w:rPr>
              <w:t>(in thousands, except share data)</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long-term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w w:val="97"/>
              </w:rPr>
              <w:t>Preferred stock $0.0001 par value, 1,000,000 shares authorized at December 31, 2016; None issued at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December 31, 2016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$0.0001 par value, 50,000,000 shares authorized at December 31, 2016; 16,552,884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at December 31, 2016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expenses</w:t>
            </w:r>
          </w:p>
        </w:tc>
        <w:tc>
          <w:tcPr>
            <w:tcW w:w="1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4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14,087,456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For the Year Ended December 31, 2016</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0" w:type="dxa"/>
            <w:vAlign w:val="bottom"/>
            <w:gridSpan w:val="4"/>
            <w:vMerge w:val="restart"/>
          </w:tcPr>
          <w:p>
            <w:pPr>
              <w:jc w:val="right"/>
              <w:ind w:right="52"/>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0" w:type="dxa"/>
            <w:vAlign w:val="bottom"/>
            <w:tcBorders>
              <w:bottom w:val="single" w:sz="8" w:color="auto"/>
            </w:tcBorders>
            <w:gridSpan w:val="4"/>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340"/>
              <w:spacing w:after="0" w:line="114" w:lineRule="exact"/>
              <w:rPr>
                <w:sz w:val="20"/>
                <w:szCs w:val="20"/>
                <w:color w:val="auto"/>
              </w:rPr>
            </w:pPr>
            <w:r>
              <w:rPr>
                <w:rFonts w:ascii="Arial" w:cs="Arial" w:eastAsia="Arial" w:hAnsi="Arial"/>
                <w:sz w:val="12"/>
                <w:szCs w:val="12"/>
                <w:b w:val="1"/>
                <w:bCs w:val="1"/>
                <w:color w:val="auto"/>
              </w:rPr>
              <w:t>Additional</w:t>
            </w:r>
          </w:p>
        </w:tc>
        <w:tc>
          <w:tcPr>
            <w:tcW w:w="60" w:type="dxa"/>
            <w:vAlign w:val="bottom"/>
          </w:tcPr>
          <w:p>
            <w:pPr>
              <w:spacing w:after="0"/>
              <w:rPr>
                <w:sz w:val="10"/>
                <w:szCs w:val="10"/>
                <w:color w:val="auto"/>
              </w:rPr>
            </w:pPr>
          </w:p>
        </w:tc>
        <w:tc>
          <w:tcPr>
            <w:tcW w:w="1160" w:type="dxa"/>
            <w:vAlign w:val="bottom"/>
            <w:gridSpan w:val="3"/>
          </w:tcPr>
          <w:p>
            <w:pPr>
              <w:jc w:val="center"/>
              <w:ind w:right="14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60" w:type="dxa"/>
            <w:vAlign w:val="bottom"/>
          </w:tcPr>
          <w:p>
            <w:pPr>
              <w:spacing w:after="0"/>
              <w:rPr>
                <w:sz w:val="10"/>
                <w:szCs w:val="10"/>
                <w:color w:val="auto"/>
              </w:rPr>
            </w:pPr>
          </w:p>
        </w:tc>
        <w:tc>
          <w:tcPr>
            <w:tcW w:w="1000" w:type="dxa"/>
            <w:vAlign w:val="bottom"/>
            <w:gridSpan w:val="3"/>
          </w:tcPr>
          <w:p>
            <w:pPr>
              <w:jc w:val="right"/>
              <w:ind w:right="180"/>
              <w:spacing w:after="0" w:line="114"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0"/>
                <w:szCs w:val="10"/>
                <w:color w:val="auto"/>
              </w:rPr>
            </w:pPr>
          </w:p>
        </w:tc>
        <w:tc>
          <w:tcPr>
            <w:tcW w:w="1120" w:type="dxa"/>
            <w:vAlign w:val="bottom"/>
            <w:gridSpan w:val="3"/>
          </w:tcPr>
          <w:p>
            <w:pPr>
              <w:jc w:val="right"/>
              <w:ind w:right="260"/>
              <w:spacing w:after="0" w:line="11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8"/>
              </w:rPr>
              <w:t>Paid-in 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6"/>
              </w:rPr>
              <w:t>(Loss)/Income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11,243,384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(5,343)</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investors, net of issuance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costs</w:t>
            </w:r>
          </w:p>
        </w:tc>
        <w:tc>
          <w:tcPr>
            <w:tcW w:w="920" w:type="dxa"/>
            <w:vAlign w:val="bottom"/>
          </w:tcPr>
          <w:p>
            <w:pPr>
              <w:jc w:val="right"/>
              <w:spacing w:after="0"/>
              <w:rPr>
                <w:sz w:val="20"/>
                <w:szCs w:val="20"/>
                <w:color w:val="auto"/>
              </w:rPr>
            </w:pPr>
            <w:r>
              <w:rPr>
                <w:rFonts w:ascii="Arial" w:cs="Arial" w:eastAsia="Arial" w:hAnsi="Arial"/>
                <w:sz w:val="18"/>
                <w:szCs w:val="18"/>
                <w:color w:val="auto"/>
              </w:rPr>
              <w:t>3,945,171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strategic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999,929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nonemployees</w:t>
            </w:r>
          </w:p>
        </w:tc>
        <w:tc>
          <w:tcPr>
            <w:tcW w:w="920" w:type="dxa"/>
            <w:vAlign w:val="bottom"/>
          </w:tcPr>
          <w:p>
            <w:pPr>
              <w:jc w:val="right"/>
              <w:spacing w:after="0"/>
              <w:rPr>
                <w:sz w:val="20"/>
                <w:szCs w:val="20"/>
                <w:color w:val="auto"/>
              </w:rPr>
            </w:pPr>
            <w:r>
              <w:rPr>
                <w:rFonts w:ascii="Arial" w:cs="Arial" w:eastAsia="Arial" w:hAnsi="Arial"/>
                <w:sz w:val="18"/>
                <w:szCs w:val="18"/>
                <w:color w:val="auto"/>
              </w:rPr>
              <w:t>448,000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(17,057)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16,552,884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(22,400)</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980" w:type="dxa"/>
            <w:vAlign w:val="bottom"/>
          </w:tcPr>
          <w:p>
            <w:pPr>
              <w:jc w:val="center"/>
              <w:ind w:left="2012"/>
              <w:spacing w:after="0"/>
              <w:rPr>
                <w:sz w:val="20"/>
                <w:szCs w:val="20"/>
                <w:color w:val="auto"/>
              </w:rPr>
            </w:pPr>
            <w:r>
              <w:rPr>
                <w:rFonts w:ascii="Arial" w:cs="Arial" w:eastAsia="Arial" w:hAnsi="Arial"/>
                <w:sz w:val="18"/>
                <w:szCs w:val="18"/>
                <w:b w:val="1"/>
                <w:bCs w:val="1"/>
                <w:color w:val="auto"/>
                <w:w w:val="97"/>
              </w:rPr>
              <w:t>Y-MABS THERAPEUTICS, INC.</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6980" w:type="dxa"/>
            <w:vAlign w:val="bottom"/>
          </w:tcPr>
          <w:p>
            <w:pPr>
              <w:jc w:val="center"/>
              <w:ind w:left="1992"/>
              <w:spacing w:after="0"/>
              <w:rPr>
                <w:sz w:val="20"/>
                <w:szCs w:val="20"/>
                <w:color w:val="auto"/>
              </w:rPr>
            </w:pPr>
            <w:r>
              <w:rPr>
                <w:rFonts w:ascii="Arial" w:cs="Arial" w:eastAsia="Arial" w:hAnsi="Arial"/>
                <w:sz w:val="18"/>
                <w:szCs w:val="18"/>
                <w:b w:val="1"/>
                <w:bCs w:val="1"/>
                <w:color w:val="auto"/>
                <w:w w:val="87"/>
              </w:rPr>
              <w:t>Consolidated Statement of Cash Flows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980" w:type="dxa"/>
            <w:vAlign w:val="bottom"/>
          </w:tcPr>
          <w:p>
            <w:pPr>
              <w:jc w:val="center"/>
              <w:ind w:left="1992"/>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(17,057)</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expense in connection with equity issuance to strategic partner</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 and other</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60" w:type="dxa"/>
            <w:vAlign w:val="bottom"/>
            <w:shd w:val="clear" w:color="auto" w:fill="CCEEFF"/>
          </w:tcPr>
          <w:p>
            <w:pPr>
              <w:spacing w:after="0"/>
              <w:rPr>
                <w:sz w:val="18"/>
                <w:szCs w:val="18"/>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7,806</w:t>
            </w: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1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year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31" w:lineRule="exact"/>
        <w:rPr>
          <w:sz w:val="20"/>
          <w:szCs w:val="20"/>
          <w:color w:val="auto"/>
        </w:rPr>
      </w:pPr>
    </w:p>
    <w:p>
      <w:pPr>
        <w:ind w:right="60" w:firstLine="608"/>
        <w:spacing w:after="0" w:line="268" w:lineRule="auto"/>
        <w:rPr>
          <w:sz w:val="20"/>
          <w:szCs w:val="20"/>
          <w:color w:val="auto"/>
        </w:rPr>
      </w:pPr>
      <w:r>
        <w:rPr>
          <w:rFonts w:ascii="Arial" w:cs="Arial" w:eastAsia="Arial" w:hAnsi="Arial"/>
          <w:sz w:val="18"/>
          <w:szCs w:val="18"/>
          <w:color w:val="auto"/>
        </w:rPr>
        <w:t>Y-mAbs Therapeutics, Inc. ("we," "us," "our," the "Company," or "YmAbs") is a clinical-stage biopharmaceutical company focused on the development and commercialization of novel antibody therapeutic products to treat cancer.</w:t>
      </w:r>
    </w:p>
    <w:p>
      <w:pPr>
        <w:spacing w:after="0" w:line="186" w:lineRule="exact"/>
        <w:rPr>
          <w:sz w:val="20"/>
          <w:szCs w:val="20"/>
          <w:color w:val="auto"/>
        </w:rPr>
      </w:pPr>
    </w:p>
    <w:p>
      <w:pPr>
        <w:ind w:right="300" w:firstLine="611"/>
        <w:spacing w:after="0" w:line="286" w:lineRule="auto"/>
        <w:rPr>
          <w:sz w:val="20"/>
          <w:szCs w:val="20"/>
          <w:color w:val="auto"/>
        </w:rPr>
      </w:pPr>
      <w:r>
        <w:rPr>
          <w:rFonts w:ascii="Arial" w:cs="Arial" w:eastAsia="Arial" w:hAnsi="Arial"/>
          <w:sz w:val="16"/>
          <w:szCs w:val="16"/>
          <w:color w:val="auto"/>
        </w:rPr>
        <w:t>We have entered into a worldwide license and research agreement (the "MSK License") with Memorial Sloan-Kettering Cancer Center ("MSK") our strategic partner, under which we have obtained the exclusive rights to two clinical stage antibody-based product development programs for the treatment of</w:t>
      </w:r>
    </w:p>
    <w:p>
      <w:pPr>
        <w:jc w:val="both"/>
        <w:spacing w:after="0" w:line="221" w:lineRule="auto"/>
        <w:rPr>
          <w:sz w:val="20"/>
          <w:szCs w:val="20"/>
          <w:color w:val="auto"/>
        </w:rPr>
      </w:pPr>
      <w:r>
        <w:rPr>
          <w:rFonts w:ascii="Arial" w:cs="Arial" w:eastAsia="Arial" w:hAnsi="Arial"/>
          <w:sz w:val="18"/>
          <w:szCs w:val="18"/>
          <w:color w:val="auto"/>
        </w:rPr>
        <w:t>neuroblastoma and other pediatric oncology indications. The MSK License also includes a protein Multimerization Platform Technology—MULTI TAG</w:t>
      </w:r>
      <w:r>
        <w:rPr>
          <w:rFonts w:ascii="Arial" w:cs="Arial" w:eastAsia="Arial" w:hAnsi="Arial"/>
          <w:sz w:val="29"/>
          <w:szCs w:val="29"/>
          <w:color w:val="auto"/>
          <w:vertAlign w:val="superscript"/>
        </w:rPr>
        <w:t>TM</w:t>
      </w:r>
      <w:r>
        <w:rPr>
          <w:rFonts w:ascii="Arial" w:cs="Arial" w:eastAsia="Arial" w:hAnsi="Arial"/>
          <w:sz w:val="18"/>
          <w:szCs w:val="18"/>
          <w:color w:val="auto"/>
        </w:rPr>
        <w:t>, and an option to obtain the rights to certain chimeric antigen receptor T-cell, or CAR-T, technologies, as well as rights to next-generation humanized, affinity matured bispecific antibodies.</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is headquartered in New York and was incorporated on April 30, 2015 under the laws of the State of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ind w:right="140" w:firstLine="611"/>
        <w:spacing w:after="0" w:line="290" w:lineRule="auto"/>
        <w:rPr>
          <w:sz w:val="20"/>
          <w:szCs w:val="20"/>
          <w:color w:val="auto"/>
        </w:rPr>
      </w:pPr>
      <w:r>
        <w:rPr>
          <w:rFonts w:ascii="Arial" w:cs="Arial" w:eastAsia="Arial" w:hAnsi="Arial"/>
          <w:sz w:val="16"/>
          <w:szCs w:val="16"/>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payor coverage and reimbursement;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72"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70"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$22,400,000 as of December 31, 2016. Through December 31, 2016, the Company has funded its operations through proceeds from sales of shares of its common stock. As of December 31, 2016, the Company had cash and cash equivalents of $16,875,000. During the first quarter of 2017, the Company completed a non-public offering of its common stock at $8.50 per share to investors. The non-public offering was initiated in December 2016, and the Company raised a total of $14,559,000, of which $4,421,000 was received in December 2016 and $10,138,000 was received in January and February 2017. In October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(Continued)</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November 2017, the Company raised a total of $80,000,000 in an additional non-public offering of common stock of at $9.35 per share to investors. As of February 13, 2018, the issuance date of these financial statements, the Company expects that its cash and cash equivalents at December 31, 2016 combined with funds raised subsequent to the balance sheet date will be sufficient to fund its operating expenses and capital expenditure requirements through at least the next twelve months. The future viability of the Company, until such time that the Company has commercialized any of its products, is dependent on its ability to raise additional capital to finance its operations. The Company's failure to raise capital as and when needed could have a negative impact on its financial condition and ability to pursue its business strategies.</w:t>
      </w:r>
    </w:p>
    <w:p>
      <w:pPr>
        <w:spacing w:after="0" w:line="174"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Company is seeking to complete an initial public offering of its common shares. In the event the Company does not complete an initial public offering, and fails to generate cash from its operating activities, the Company expects to seek additional funding through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shareholders. The Company may not be able to obtain additional future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w:t>
      </w:r>
    </w:p>
    <w:p>
      <w:pPr>
        <w:spacing w:after="0" w:line="172"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accompanying consolidated financial statements reflected the accounts of the Company and its wholly-owned subsidiary and have been prepared in accordance with accounting principles generally accepted in the United States of America ("GAAP"). All intercompany balances and transactions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Company considers all highly-liquid investments with maturities of three months or less from date of purchase to be cash equivalents.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460" w:firstLine="611"/>
        <w:spacing w:after="0" w:line="268" w:lineRule="auto"/>
        <w:rPr>
          <w:sz w:val="20"/>
          <w:szCs w:val="20"/>
          <w:color w:val="auto"/>
        </w:rPr>
      </w:pPr>
      <w:r>
        <w:rPr>
          <w:rFonts w:ascii="Arial" w:cs="Arial" w:eastAsia="Arial" w:hAnsi="Arial"/>
          <w:sz w:val="18"/>
          <w:szCs w:val="18"/>
          <w:color w:val="auto"/>
        </w:rPr>
        <w:t>The Company primarily maintains its cash balances with financial institutions in federally insured accounts and cash held in an unrestricted escrow account. The Company has cash in financial institutions in excess of FDIC insurance limits.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0" w:lineRule="exact"/>
        <w:rPr>
          <w:sz w:val="20"/>
          <w:szCs w:val="20"/>
          <w:color w:val="auto"/>
        </w:rPr>
      </w:pPr>
    </w:p>
    <w:p>
      <w:pPr>
        <w:ind w:firstLine="611"/>
        <w:spacing w:after="0" w:line="314" w:lineRule="auto"/>
        <w:rPr>
          <w:sz w:val="20"/>
          <w:szCs w:val="20"/>
          <w:color w:val="auto"/>
        </w:rPr>
      </w:pPr>
      <w:r>
        <w:rPr>
          <w:rFonts w:ascii="Arial" w:cs="Arial" w:eastAsia="Arial" w:hAnsi="Arial"/>
          <w:sz w:val="15"/>
          <w:szCs w:val="15"/>
          <w:color w:val="auto"/>
        </w:rPr>
        <w:t>The Company prepares and files tax returns based on its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tax provision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its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Company's policy is to recognize, when applicable, interest and penalties on uncertain tax positions as part of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80" w:firstLine="615"/>
        <w:spacing w:after="0" w:line="288"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The Company records accruals for estimated ongoing research costs. When evaluating the adequacy of the accrued liabilities, the Company analyzes progress of the studies or clinical trials, including the phase or completion of events, invoices received and contracted costs. Actual results could differ from the Company's estimates. The Company is obligated to make certain milestone and royalty payments in accordance with the contractual terms of the MSK License based upon the resolution of certain contingencies. The Company records the milestone and royalty payment when the achievement of the milestone or payment of the milestone or royalty is probable and the amount of the payment is reasonably estimable. Research and development costs were $13,855,000 for the year ended December 31,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expenses the costs of obtaining and maintaining patents as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Company measures stock options granted to employees and directors based on the fair value on the date of the grant and recognizes compensation expense of those awards, over the requisite service period, which is the vesting period of the respective award. Forfeitures are accounted for as they occur. The Company issues stock options with only service-based vesting conditions and records the expense for these awards using the straight-line method over the requisite service period.</w:t>
      </w:r>
    </w:p>
    <w:p>
      <w:pPr>
        <w:spacing w:after="0" w:line="197" w:lineRule="exact"/>
        <w:rPr>
          <w:sz w:val="20"/>
          <w:szCs w:val="20"/>
          <w:color w:val="auto"/>
        </w:rPr>
      </w:pPr>
    </w:p>
    <w:p>
      <w:pPr>
        <w:jc w:val="both"/>
        <w:ind w:firstLine="615"/>
        <w:spacing w:after="0" w:line="306" w:lineRule="auto"/>
        <w:rPr>
          <w:sz w:val="20"/>
          <w:szCs w:val="20"/>
          <w:color w:val="auto"/>
        </w:rPr>
      </w:pPr>
      <w:r>
        <w:rPr>
          <w:rFonts w:ascii="Arial" w:cs="Arial" w:eastAsia="Arial" w:hAnsi="Arial"/>
          <w:sz w:val="16"/>
          <w:szCs w:val="16"/>
          <w:color w:val="auto"/>
        </w:rPr>
        <w:t>For share-based awards granted to non-employees, compensation expense is recognized over the period during which services are rendered by such non-employees until completed. At the end of each financial reporting period prior to completion of the service, the fair value of these awards is remeasured using the then-current fair value of the Company's common shares and updated assumption inputs in the Black-Scholes option-pricing model.</w:t>
      </w:r>
    </w:p>
    <w:p>
      <w:pPr>
        <w:spacing w:after="0" w:line="161" w:lineRule="exact"/>
        <w:rPr>
          <w:sz w:val="20"/>
          <w:szCs w:val="20"/>
          <w:color w:val="auto"/>
        </w:rPr>
      </w:pPr>
    </w:p>
    <w:p>
      <w:pPr>
        <w:ind w:right="100" w:firstLine="611"/>
        <w:spacing w:after="0" w:line="289"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The Company historically has been a private company and lacks company-specific historical and implied volatility information for its shares. Therefore, it estimates its expected share price volatility based on the historical volatility of a group of publicly-traded peer companies and expects to continue to do so until such time as it has adequate historical data regarding the volatility of its own traded share price. The expected term of the Company's stock options has been determined utilizing the "simplified" method for awards as the Company has limited historical data to support the expected term assumption.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The Company is engaged solely in the discovery and development of novel antibody therapeutic products to treat cancer. Accordingly, the Company has determined that it operates in one operating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right="60" w:firstLine="615"/>
        <w:spacing w:after="0" w:line="259" w:lineRule="auto"/>
        <w:rPr>
          <w:sz w:val="20"/>
          <w:szCs w:val="20"/>
          <w:color w:val="auto"/>
        </w:rPr>
      </w:pPr>
      <w:r>
        <w:rPr>
          <w:rFonts w:ascii="Arial" w:cs="Arial" w:eastAsia="Arial" w:hAnsi="Arial"/>
          <w:sz w:val="18"/>
          <w:szCs w:val="18"/>
          <w:color w:val="auto"/>
        </w:rPr>
        <w:t>Comprehensive loss includes net loss as well as other changes in stockholders' equity that result from transactions and economic events other than those with shareholders. The difference between net loss and comprehensive loss for the period presented in the accompanying financial statements was due to foreign currency translation.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The financial statements of our Danish subsidiary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net of tax, in stockholders' equity. Foreign currency transaction gains and losses are included in the results of operations in other income and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In May 2017, the Financial Accounting Standards Board (the "FASB") issued Accounting Standards Update 2017-09 ("ASU 2017-09"), Compensation— Stock Compensation (Topic 718)—Scope of Modification Accounting. Under the new guidance, modification accounting is required only if the fair value, the vesting conditions, or the classification of the award changes as a result of the change in terms or conditions. The guidance is effective prospectively for annual periods beginning on or after December 15, 2017 with early adoption permitted. The Company will account for any modifications in accordance with ASU 2017-09 subsequent to the effective date.</w:t>
      </w:r>
    </w:p>
    <w:p>
      <w:pPr>
        <w:spacing w:after="0" w:line="197"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In November 2016, the FASB issued Accounting Standards Update 2016-18 ("ASU 2016-18"), Statement of Cash Flows (Topic 230)—Restricted Cash. Under the new guidance, it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fiscal years beginning after December 15, 2017, including interim periods within those fiscal years. Early adoption is permitted, including adoption in an interim period. The Company is currently evaluating the impact of this new pronouncement on its statement of cash flows.</w:t>
      </w:r>
    </w:p>
    <w:p>
      <w:pPr>
        <w:spacing w:after="0" w:line="170"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August 2016, the FASB issued Accounting Standards Update 2016-15 ("ASU 2016-15"), Classification of Certain Cash Receipts and Cash Payments. ASU 2016-15 clarifies how certain cash receipts and payments should be presented in the statement of cash flows. The guidance is effective in 2018 with early adoption permitted. We are currently evaluating the timing of adoption of this guidance.</w:t>
      </w:r>
    </w:p>
    <w:p>
      <w:pPr>
        <w:spacing w:after="0" w:line="194"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In March 2016, the FASB issued Accounting Standards Update No. 2016-09 ("ASU 2016-09"), Improvements to Employee Share-Based Payment Accounting, which changes the accounting for certain aspects of share-based payments to employees. The guidance requires the recognition in the income statement of the income tax effects of vested or settled awards. Further, the guidance requires that the recognition of anticipated tax windfalls/shortfalls be excluded in the calculation of assumed proceeds when applying the treasury stock method. The guidance also allows for the employer to repurchase more of an employee's shares for tax withholding purposes and not classify the award as a liability that requires valuation on a mark-to-market basis. In addition, the guidance allows for a policy election to account for forfeitures as they occur rather than on an estimated basis. The guidance is effective in 2017 with early adoption permitted and the Company elected to early adopt ASU 2016-09 effective January 1, 2016. Adoption of ASU 2016-09 did not have a material impact on its financial statements and related disclosures.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In February 2016, the FASB issued Accounting Standards Update No. 2016-02 ("ASU 2016-02"), Leases, which is effective for fiscal years, and interim periods within those years, beginning after December 15, 2018 with early adoption permitted. Under ASU 2016-02, lessees will be required to recognize for all leases, at the commencement date of the lease, a lease liability, which is a lessee's obligation to make lease payments arising from a lease measured on a discounted basis, and a right-to-use asset, which is an asset that represents the lessee's right to use or control the use of a specified asset for the lease term. The Company is currently evaluating the effect that the new guidance will have on its financial statements and related disclosures.</w:t>
      </w:r>
    </w:p>
    <w:p>
      <w:pPr>
        <w:spacing w:after="0" w:line="170"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November 2015, the FASB issued Accounting Standards Update 2015-17 ("ASU 2015-17"), Income Taxes (Topic 740): Balance Sheet Classification of Deferred Taxes. ASU 2015-17 simplifies current guidance and requires companies to classify all deferred tax assets and liabilities as noncurrent on the balance sheet. ASU 2015-17 can be applied either prospectively or retrospectively and is effective for periods beginning after December 15, 2016, with early adoption permitted. The guidance will be effective for the Company's annual and interim reporting periods beginning January 1, 2017; however, the Company has concluded that the guidance will not have a material impact on the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4—EARNINGS (LOSS) PER SHARE</w:t>
      </w:r>
    </w:p>
    <w:p>
      <w:pPr>
        <w:spacing w:after="0" w:line="231"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Basic earnings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21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0</wp:posOffset>
            </wp:positionV>
            <wp:extent cx="7372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8560"/>
        <w:spacing w:after="0"/>
        <w:rPr>
          <w:sz w:val="20"/>
          <w:szCs w:val="20"/>
          <w:color w:val="auto"/>
        </w:rPr>
      </w:pPr>
      <w:r>
        <w:rPr>
          <w:rFonts w:ascii="Arial" w:cs="Arial" w:eastAsia="Arial" w:hAnsi="Arial"/>
          <w:sz w:val="14"/>
          <w:szCs w:val="14"/>
          <w:b w:val="1"/>
          <w:bCs w:val="1"/>
          <w:color w:val="auto"/>
        </w:rPr>
        <w:t>(in thousands,</w:t>
      </w:r>
    </w:p>
    <w:p>
      <w:pPr>
        <w:jc w:val="center"/>
        <w:ind w:left="6500"/>
        <w:spacing w:after="0" w:line="221" w:lineRule="auto"/>
        <w:rPr>
          <w:sz w:val="20"/>
          <w:szCs w:val="20"/>
          <w:color w:val="auto"/>
        </w:rPr>
      </w:pPr>
      <w:r>
        <w:rPr>
          <w:rFonts w:ascii="Arial" w:cs="Arial" w:eastAsia="Arial" w:hAnsi="Arial"/>
          <w:sz w:val="14"/>
          <w:szCs w:val="14"/>
          <w:b w:val="1"/>
          <w:bCs w:val="1"/>
          <w:color w:val="auto"/>
        </w:rPr>
        <w:t>except share and</w:t>
      </w:r>
    </w:p>
    <w:p>
      <w:pPr>
        <w:ind w:left="8700"/>
        <w:spacing w:after="0" w:line="221" w:lineRule="auto"/>
        <w:rPr>
          <w:sz w:val="20"/>
          <w:szCs w:val="20"/>
          <w:color w:val="auto"/>
        </w:rPr>
      </w:pPr>
      <w:r>
        <w:rPr>
          <w:rFonts w:ascii="Arial" w:cs="Arial" w:eastAsia="Arial" w:hAnsi="Arial"/>
          <w:sz w:val="14"/>
          <w:szCs w:val="14"/>
          <w:b w:val="1"/>
          <w:bCs w:val="1"/>
          <w:color w:val="auto"/>
        </w:rPr>
        <w:t>per share</w:t>
      </w:r>
    </w:p>
    <w:p>
      <w:pPr>
        <w:ind w:left="8700"/>
        <w:spacing w:after="0" w:line="220" w:lineRule="auto"/>
        <w:rPr>
          <w:sz w:val="20"/>
          <w:szCs w:val="20"/>
          <w:color w:val="auto"/>
        </w:rPr>
      </w:pPr>
      <w:r>
        <w:rPr>
          <w:rFonts w:ascii="Arial" w:cs="Arial" w:eastAsia="Arial" w:hAnsi="Arial"/>
          <w:sz w:val="14"/>
          <w:szCs w:val="14"/>
          <w:b w:val="1"/>
          <w:bCs w:val="1"/>
          <w:color w:val="auto"/>
        </w:rPr>
        <w:t>amounts)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(17,057)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Weighted-average shares, in thousands (denominator)</w:t>
            </w:r>
          </w:p>
        </w:tc>
        <w:tc>
          <w:tcPr>
            <w:tcW w:w="168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14,087,456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Potentially dilutive securities outstanding as of December 31, 2016 relate to stock options outstanding of 2,159,000.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07"/>
        </w:trPr>
        <w:tc>
          <w:tcPr>
            <w:tcW w:w="86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6900" w:type="dxa"/>
            <w:vAlign w:val="bottom"/>
          </w:tcPr>
          <w:p>
            <w:pPr>
              <w:jc w:val="center"/>
              <w:ind w:left="1012"/>
              <w:spacing w:after="0"/>
              <w:rPr>
                <w:sz w:val="20"/>
                <w:szCs w:val="20"/>
                <w:color w:val="auto"/>
              </w:rPr>
            </w:pPr>
            <w:r>
              <w:rPr>
                <w:rFonts w:ascii="Arial" w:cs="Arial" w:eastAsia="Arial" w:hAnsi="Arial"/>
                <w:sz w:val="18"/>
                <w:szCs w:val="18"/>
                <w:b w:val="1"/>
                <w:bCs w:val="1"/>
                <w:color w:val="auto"/>
                <w:w w:val="97"/>
              </w:rPr>
              <w:t>Y-MABS THERAPEUTICS, INC.</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00" w:type="dxa"/>
            <w:vAlign w:val="bottom"/>
          </w:tcPr>
          <w:p>
            <w:pPr>
              <w:jc w:val="center"/>
              <w:ind w:left="992"/>
              <w:spacing w:after="0"/>
              <w:rPr>
                <w:sz w:val="20"/>
                <w:szCs w:val="20"/>
                <w:color w:val="auto"/>
              </w:rPr>
            </w:pPr>
            <w:r>
              <w:rPr>
                <w:rFonts w:ascii="Arial" w:cs="Arial" w:eastAsia="Arial" w:hAnsi="Arial"/>
                <w:sz w:val="18"/>
                <w:szCs w:val="18"/>
                <w:b w:val="1"/>
                <w:bCs w:val="1"/>
                <w:color w:val="auto"/>
                <w:w w:val="87"/>
              </w:rPr>
              <w:t>Notes to Consolidated Financial Statements (Continued)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00" w:type="dxa"/>
            <w:vAlign w:val="bottom"/>
          </w:tcPr>
          <w:p>
            <w:pPr>
              <w:jc w:val="center"/>
              <w:ind w:left="992"/>
              <w:spacing w:after="0"/>
              <w:rPr>
                <w:sz w:val="20"/>
                <w:szCs w:val="20"/>
                <w:color w:val="auto"/>
              </w:rPr>
            </w:pPr>
            <w:r>
              <w:rPr>
                <w:rFonts w:ascii="Arial" w:cs="Arial" w:eastAsia="Arial" w:hAnsi="Arial"/>
                <w:sz w:val="18"/>
                <w:szCs w:val="18"/>
                <w:b w:val="1"/>
                <w:bCs w:val="1"/>
                <w:color w:val="auto"/>
                <w:w w:val="87"/>
              </w:rPr>
              <w:t>December 31, 2016</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NOTE 5—ACCRUED LIABILITIES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3"/>
          </w:tcPr>
          <w:p>
            <w:pPr>
              <w:ind w:left="620"/>
              <w:spacing w:after="0"/>
              <w:rPr>
                <w:sz w:val="20"/>
                <w:szCs w:val="20"/>
                <w:color w:val="auto"/>
              </w:rPr>
            </w:pPr>
            <w:r>
              <w:rPr>
                <w:rFonts w:ascii="Arial" w:cs="Arial" w:eastAsia="Arial" w:hAnsi="Arial"/>
                <w:sz w:val="18"/>
                <w:szCs w:val="18"/>
                <w:color w:val="auto"/>
              </w:rPr>
              <w:t>Accrued short-term liabilities at December 31, 2016 are as follows: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Accrued compensation and board fees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324,000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736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3"/>
            <w:vMerge w:val="restart"/>
          </w:tcPr>
          <w:p>
            <w:pPr>
              <w:ind w:left="620"/>
              <w:spacing w:after="0"/>
              <w:rPr>
                <w:sz w:val="20"/>
                <w:szCs w:val="20"/>
                <w:color w:val="auto"/>
              </w:rPr>
            </w:pPr>
            <w:r>
              <w:rPr>
                <w:rFonts w:ascii="Arial" w:cs="Arial" w:eastAsia="Arial" w:hAnsi="Arial"/>
                <w:sz w:val="18"/>
                <w:szCs w:val="18"/>
                <w:color w:val="auto"/>
              </w:rPr>
              <w:t>Accrued long-term liabilities at December 31, 2016 are as follows:</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6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and royalty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2,225,000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 AND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 Agreement</w:t>
      </w:r>
    </w:p>
    <w:p>
      <w:pPr>
        <w:spacing w:after="0" w:line="225" w:lineRule="exact"/>
        <w:rPr>
          <w:sz w:val="20"/>
          <w:szCs w:val="20"/>
          <w:color w:val="auto"/>
        </w:rPr>
      </w:pPr>
    </w:p>
    <w:p>
      <w:pPr>
        <w:ind w:right="260" w:firstLine="615"/>
        <w:spacing w:after="0" w:line="259" w:lineRule="auto"/>
        <w:rPr>
          <w:sz w:val="20"/>
          <w:szCs w:val="20"/>
          <w:color w:val="auto"/>
        </w:rPr>
      </w:pPr>
      <w:r>
        <w:rPr>
          <w:rFonts w:ascii="Arial" w:cs="Arial" w:eastAsia="Arial" w:hAnsi="Arial"/>
          <w:sz w:val="18"/>
          <w:szCs w:val="18"/>
          <w:color w:val="auto"/>
        </w:rPr>
        <w:t>On August 20, 2015, we entered into the MSK License that grants us a worldwide, sublicensable license to MSK's rights to certain patent rights and intellectual property rights related to certain know-how to develop, make, and commercialize licensed products and to perform services for all therapeutic and diagnostic uses in the field of cancer diagnostics and cancer treatments.</w:t>
      </w:r>
    </w:p>
    <w:p>
      <w:pPr>
        <w:spacing w:after="0" w:line="194"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The patents and patent applications covered by this agreement are directed, in part, to naxitamab, an anti GD2 antibody, and omburtamab, which is an anti B3-H7 antibody, as well as affinity matured versions of certain antibodies and certain single chain variable fragments (Fv) constructs, and their use for immunotherapy, targeting the treatment of neuroblastoma and other pediatric oncology indications. Upon entering into the MSK License in 2015 and in exchange for the licenses, we paid MSK an upfront payment of $500,000, issued 1,428,500 shares of our common stock to MSK and agreed to provide certain anti-dilution rights to MSK as further described in Note 7, Stockholders' Equity. In addition, we are required to pay to MSK certain royalty and milestone payments. We expensed the upfront payment and the issuance of shares to MSK in 2015. Total expense of $285,700 was recorded for the shares of common stock issued to MSK in 2015 based on the estimated fair value of the shares of common stock of $0.20 per share at issuance date. We also recorded expense related to common stock issued related to certain anti-dilution rights held by MSK. See further description in note 7.</w:t>
      </w:r>
    </w:p>
    <w:p>
      <w:pPr>
        <w:spacing w:after="0" w:line="172"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MSK License requires us to pay to MSK mid to high single digit royalties based on annual net sales of licensed products or the performance of licensed services by us and our affiliates and sublicensees. We are required to pay annual minimum royalties of $80,000 over the royalty term, commencing on the fifth anniversary of the license agreement. These amounts are non-refundable but are creditable against royalty payments otherwise due under the MSK License. Total expensed minimum royalty payments in 2016 under the MSK License were $1,200,000, all of which were recorded as long-term accrued liabilities as of December 31, 2016, upon determination that the payment of such minimum royalties was probable and the amount was estimable. We are also obligated to pay MSK certain clinical, regulatory and sales-based milestone payments under the MSK License. These milestone payments become due upon achievement of the related clinical, regulatory or sales-based milestone defined in the MSK License. Certain of the clinical and regulatory milestone payments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 AND COMMITMENTS (Continued)</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become due at the earlier of completion of the related milestone activity or the date indicated in the MSK License. Total potential clinical and regulatory milestones potentially due under the MSK License are $2,450,000 and $9,000,000, respectively. There are also sales-based milestones that become due should YmAbs achieve certain amounts of sales of licensed products resulting from the license arrangement with MSK, with total sales-based milestones potentially due of $20,000,000. The Company records milestones in the period in which the contingent liability is probable and the amount is reasonably estimable.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The Company has not entered into any sublicenses related to the MSK License.</w:t>
      </w:r>
    </w:p>
    <w:p>
      <w:pPr>
        <w:spacing w:after="0" w:line="172"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Failure by the Company to meet certain conditions under the arrangement could cause the related license to such licensed product to be canceled and could result in termination of the entire arrangement with MSK. One of such conditions required that the Company obtain financing in certain increments in 2015 and 2016, with a requirement that a total of $25,000,000 of financing be raised by the Company on or before December 31, 2016, including certain limitations on the nature of such financing. Failure to meet the financing requirements under the arrangement would have caused the Company to be in breach of the MSK License and would be cause for its immediate termination. The Company obtained the financing as required under the agreement, including raising the cumulative total of $25,000,000 in proceeds in 2016 through the issuance of shares of the Company's common stock which also triggered certain anti-dilution rights held by MSK. The common stock financing raised by the Company, the anti-dilution rights held by MSK and the associated expense recorded upon issuance of the shares related to the anti-dilution rights are further described in Note 7. In addition, the Company may terminate the MSK License with prior written notice to MSK. Total milestones expensed in 2016 under the arrangement with MSK were $1,675,000, all of which related to clinical milestones, which become due either based upon the passage of time or achievement of the related milestone activities. Of these clinical milestones, $250,000 was paid in 2016, and $1,425,000 was recorded as accrued liabilities as of December 31, 2016. Of the $1,425,000 recorded as accrued liabilities, $1,025,000 was recorded within accrued long-term liabilities and $400,000 was recorded within accrued short-term liabilities. These milestone-related charges were recorded as research and development expense. The Company determined that payment of these clinical milestone payments was probable in 2016, after satisfying the financing requirements described above. The Company also considered each party's termination rights under the agreement when considering whether any regulatory-based milestone payments, certain of which also contain time-based payment requirements, were probable.</w:t>
      </w:r>
    </w:p>
    <w:p>
      <w:pPr>
        <w:spacing w:after="0" w:line="180"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On November 5, 2015, we entered into a sponsored research agreement, which we refer to as the SRA, with MSK pursuant to which we agreed to pay MSK to provide research services over a period of five years related to the intellectual property licensed under the MSK License. During 2016, we incurred research and development expenses of $1,099,000 under the SRA.</w:t>
      </w:r>
    </w:p>
    <w:p>
      <w:pPr>
        <w:spacing w:after="0" w:line="194" w:lineRule="exact"/>
        <w:rPr>
          <w:sz w:val="20"/>
          <w:szCs w:val="20"/>
          <w:color w:val="auto"/>
        </w:rPr>
      </w:pPr>
    </w:p>
    <w:p>
      <w:pPr>
        <w:ind w:right="80" w:firstLine="615"/>
        <w:spacing w:after="0" w:line="332" w:lineRule="auto"/>
        <w:rPr>
          <w:sz w:val="20"/>
          <w:szCs w:val="20"/>
          <w:color w:val="auto"/>
        </w:rPr>
      </w:pPr>
      <w:r>
        <w:rPr>
          <w:rFonts w:ascii="Arial" w:cs="Arial" w:eastAsia="Arial" w:hAnsi="Arial"/>
          <w:sz w:val="16"/>
          <w:szCs w:val="16"/>
          <w:color w:val="auto"/>
        </w:rPr>
        <w:t>On September 20, 2016, we entered into a master data services agreement, which we refer to as the MDSA, with MSK pursuant to which we committed to provide make certain payments in exchange for services provided by approximately two full time employees at MSK, who are engaged in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 AND COMMITMENTS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transferring clinical data, databases, regulatory files and other know-how included in the MSK License. During 2016, we incurred expenses of $265,000 under the MDSA.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right="80" w:firstLine="611"/>
        <w:spacing w:after="0" w:line="306" w:lineRule="auto"/>
        <w:rPr>
          <w:sz w:val="20"/>
          <w:szCs w:val="20"/>
          <w:color w:val="auto"/>
        </w:rPr>
      </w:pPr>
      <w:r>
        <w:rPr>
          <w:rFonts w:ascii="Arial" w:cs="Arial" w:eastAsia="Arial" w:hAnsi="Arial"/>
          <w:sz w:val="16"/>
          <w:szCs w:val="16"/>
          <w:color w:val="auto"/>
        </w:rPr>
        <w:t>The Company maintains a six-month lease agreement in connection with its corporate headquarters in New York. The term of the lease is renewed every six months, with rent payable in monthly installments of approximately $5,000, which are recognized on a straight-line basis. Additionally, the Company maintains a lease for certain office space in Denmark as further described in Note 9, Related Party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right="40" w:firstLine="605"/>
        <w:spacing w:after="0" w:line="268" w:lineRule="auto"/>
        <w:rPr>
          <w:sz w:val="20"/>
          <w:szCs w:val="20"/>
          <w:color w:val="auto"/>
        </w:rPr>
      </w:pPr>
      <w:r>
        <w:rPr>
          <w:rFonts w:ascii="Arial" w:cs="Arial" w:eastAsia="Arial" w:hAnsi="Arial"/>
          <w:sz w:val="18"/>
          <w:szCs w:val="18"/>
          <w:color w:val="auto"/>
        </w:rPr>
        <w:t>As of December 31, 2016, the Company has authorized a total of 51,000,000 shares, 50,000,000 of which are to be common stock, par value $0.0001 per stock, and 1,000,000 of which are to preferred stock, par value $0.0001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has issued 16,552,884 shares of its common stock, par value $0.0001 per share as of December 31,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300" w:firstLine="615"/>
        <w:spacing w:after="0" w:line="259" w:lineRule="auto"/>
        <w:rPr>
          <w:sz w:val="20"/>
          <w:szCs w:val="20"/>
          <w:color w:val="auto"/>
        </w:rPr>
      </w:pPr>
      <w:r>
        <w:rPr>
          <w:rFonts w:ascii="Arial" w:cs="Arial" w:eastAsia="Arial" w:hAnsi="Arial"/>
          <w:sz w:val="18"/>
          <w:szCs w:val="18"/>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December 31,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common stock for MSK License</w:t>
      </w:r>
    </w:p>
    <w:p>
      <w:pPr>
        <w:spacing w:after="0" w:line="225" w:lineRule="exact"/>
        <w:rPr>
          <w:sz w:val="20"/>
          <w:szCs w:val="20"/>
          <w:color w:val="auto"/>
        </w:rPr>
      </w:pPr>
    </w:p>
    <w:p>
      <w:pPr>
        <w:ind w:right="80" w:firstLine="615"/>
        <w:spacing w:after="0" w:line="254" w:lineRule="auto"/>
        <w:rPr>
          <w:sz w:val="20"/>
          <w:szCs w:val="20"/>
          <w:color w:val="auto"/>
        </w:rPr>
      </w:pPr>
      <w:r>
        <w:rPr>
          <w:rFonts w:ascii="Arial" w:cs="Arial" w:eastAsia="Arial" w:hAnsi="Arial"/>
          <w:sz w:val="18"/>
          <w:szCs w:val="18"/>
          <w:color w:val="auto"/>
        </w:rPr>
        <w:t>In connection with the MSK License, in August 2015 we issued to MSK 1,428,500 shares of our common stock and the estimated fair market value of these shares was expensed when issued in 2015. We also agreed to provide certain anti-dilution rights to MSK. If at any time after such issuance, the Company issued any shares of its common stock, the Company was required to issue sufficient shares of common stock to MSK such that at all times prior to the Company obtaining equity financing equal to or greater than $25,000,000 in the aggregate, MSK shall hold shares of the common stock of the Company equal to 12.5% of the issued and outstanding shares of common stock (assuming full conversion or exercise of all outstanding preferred stock and other convertible securities, rights, options and warrants).</w:t>
      </w:r>
    </w:p>
    <w:p>
      <w:pPr>
        <w:spacing w:after="0" w:line="198"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In 2016, our aggregate equity financing reached $25,000,000 since inception, and we issued to MSK a total of 999,929 shares of our common stock in order for MSK to retain 12.5% of the issued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 (Continued)</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outstanding shares of common stock until the $25,000,000 has been raised. Shares were issued at the Company's estimated fair market value of such shares at the time of issuance, corresponding to $4.38 per share, and the total value of $4,380,000 was charged to expense in the period incurred when the anti-dilution rights were triggered, with $2,280,000 recognized in 2016. Subsequent to the issuance of such shares and upon achievement of the financing requirement, there are no further anti-dilution rights due to MSK.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grant agreements with nonemployees</w:t>
      </w:r>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In August 2015, we entered into certain stock grant agreements with non-employees of the Company. We agreed to issue a total of 2,800,000 shares to two non-employee doctors that were involved in the development of technology licensed from MSK in consideration for their prior service. These non-employees are employees of MSK. The shares are released according to a vesting schedule. A total of 560,000 shares were issued in 2015, with a total of 448,000 shares issued in 2016 and 448,000 each year thereafter until 2020, such that the total grant will have been issued. The total award was expensed at its estimated fair value of $560,000 or $0.20 per share in 2015 upon issuance, as no future service was required to continue to vest in and receive the shares of common stock. In August 2016, the Company subsequently repurchased and retired a total of 83,600 shares from the two nonemployees of the Company at an amount equal to $4.38 per share. The transaction reduced the Company's shareholders' equity by $366,000. The share vesting schedule for the stock grant agreements with such nonemployees shall be automatically accelerated upon a change in control or consummation of an initial public offering of the Company, as defined in the stock grant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From March through July 2016, we issued 3,425,012 shares of Common Stock at a purchase price of $4.38 per share for an aggregate consideration of $14,961,000, net of issuance costs.</w:t>
      </w:r>
    </w:p>
    <w:p>
      <w:pPr>
        <w:spacing w:after="0" w:line="186"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December 2016, we issued 520,159 shares of common stock upon receipt of $4,377,000, net of issuance costs, from investors at a purchase price of $8.50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right="100" w:firstLine="615"/>
        <w:spacing w:after="0" w:line="290" w:lineRule="auto"/>
        <w:rPr>
          <w:sz w:val="20"/>
          <w:szCs w:val="20"/>
          <w:color w:val="auto"/>
        </w:rPr>
      </w:pPr>
      <w:r>
        <w:rPr>
          <w:rFonts w:ascii="Arial" w:cs="Arial" w:eastAsia="Arial" w:hAnsi="Arial"/>
          <w:sz w:val="16"/>
          <w:szCs w:val="16"/>
          <w:color w:val="auto"/>
        </w:rPr>
        <w:t>Our board of directors and stockholders have approved and adopted our 2015 Equity Incentive Plan as amended and restated (2015 Equity Plan),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are reserved for issuance pursuant to the 2015 Equity Plan. In addition, the number of shares available for issuance under the 2015 Equity Plan will also include an annual increase on the first day of each fiscal year beginning in 2016, equal to 6% of the outstanding shares of common stock as of the last day of our immediately preceding fiscal year.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Stock options may be granted under the 2015 Equity Plan. The exercise price of options granted under the 2015 Equity Plan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2015 Equity Plan vest according to the schedule specified in the grant agreements, which is generally a four year period and generally become immediately exercisable upon the occurrence of a change in control, as defined.</w:t>
      </w:r>
    </w:p>
    <w:p>
      <w:pPr>
        <w:spacing w:after="0" w:line="172"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During the year ended December 31, 2016, stock-based compensation expense for stock option grants was $258,000 and was recorded as $93,000 in research and development expense and $165,000 in general and administrative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2016</w:t>
            </w:r>
          </w:p>
        </w:tc>
        <w:tc>
          <w:tcPr>
            <w:tcW w:w="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420" w:type="dxa"/>
            <w:vAlign w:val="bottom"/>
            <w:gridSpan w:val="8"/>
          </w:tcPr>
          <w:p>
            <w:pPr>
              <w:spacing w:after="0"/>
              <w:rPr>
                <w:sz w:val="20"/>
                <w:szCs w:val="20"/>
                <w:color w:val="auto"/>
              </w:rPr>
            </w:pPr>
            <w:r>
              <w:rPr>
                <w:rFonts w:ascii="Arial" w:cs="Arial" w:eastAsia="Arial" w:hAnsi="Arial"/>
                <w:sz w:val="18"/>
                <w:szCs w:val="18"/>
                <w:color w:val="auto"/>
                <w:w w:val="88"/>
              </w:rPr>
              <w:t>The Company recognizes compensation expense for only the portion of awards that are expected to vest.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color w:val="auto"/>
                <w:w w:val="89"/>
              </w:rPr>
              <w:t>The following table summarizes common stock options issued and outstanding: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intrinsic</w:t>
            </w:r>
          </w:p>
        </w:tc>
        <w:tc>
          <w:tcPr>
            <w:tcW w:w="160" w:type="dxa"/>
            <w:vAlign w:val="bottom"/>
          </w:tcPr>
          <w:p>
            <w:pPr>
              <w:spacing w:after="0"/>
              <w:rPr>
                <w:sz w:val="12"/>
                <w:szCs w:val="12"/>
                <w:color w:val="auto"/>
              </w:rPr>
            </w:pPr>
          </w:p>
        </w:tc>
        <w:tc>
          <w:tcPr>
            <w:tcW w:w="9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exercise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2"/>
                <w:szCs w:val="12"/>
                <w:color w:val="auto"/>
              </w:rPr>
            </w:pPr>
          </w:p>
        </w:tc>
        <w:tc>
          <w:tcPr>
            <w:tcW w:w="9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price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ind w:left="520"/>
              <w:spacing w:after="0"/>
              <w:rPr>
                <w:sz w:val="20"/>
                <w:szCs w:val="20"/>
                <w:color w:val="auto"/>
              </w:rPr>
            </w:pPr>
            <w:r>
              <w:rPr>
                <w:rFonts w:ascii="Arial" w:cs="Arial" w:eastAsia="Arial" w:hAnsi="Arial"/>
                <w:sz w:val="18"/>
                <w:szCs w:val="18"/>
                <w:color w:val="auto"/>
              </w:rPr>
              <w:t>Exercisable at December 31, 2016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gridSpan w:val="3"/>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511,500</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3,268</w:t>
            </w:r>
          </w:p>
        </w:tc>
        <w:tc>
          <w:tcPr>
            <w:tcW w:w="160" w:type="dxa"/>
            <w:vAlign w:val="bottom"/>
          </w:tcPr>
          <w:p>
            <w:pPr>
              <w:spacing w:after="0"/>
              <w:rPr>
                <w:sz w:val="17"/>
                <w:szCs w:val="17"/>
                <w:color w:val="auto"/>
              </w:rPr>
            </w:pPr>
          </w:p>
        </w:tc>
        <w:tc>
          <w:tcPr>
            <w:tcW w:w="8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8.51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weighted average grant-date fair value of stock options granted during the year ended December 31, 2016 was $2.78 per 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 (Continued)</w:t>
      </w:r>
    </w:p>
    <w:p>
      <w:pPr>
        <w:spacing w:after="0" w:line="231" w:lineRule="exact"/>
        <w:rPr>
          <w:sz w:val="20"/>
          <w:szCs w:val="20"/>
          <w:color w:val="auto"/>
        </w:rPr>
      </w:pPr>
    </w:p>
    <w:p>
      <w:pPr>
        <w:ind w:right="360" w:firstLine="611"/>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39"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As of December 31, 2016, we had $2,176,000 of unrecognized compensation related to employee stock options that are expected to vest over a period of 2.88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During the year ended December 31, 2016, we paid a founding shareholder for expenses related to the Company of $134,000.</w:t>
      </w:r>
    </w:p>
    <w:p>
      <w:pPr>
        <w:spacing w:after="0" w:line="225" w:lineRule="exact"/>
        <w:rPr>
          <w:sz w:val="20"/>
          <w:szCs w:val="20"/>
          <w:color w:val="auto"/>
        </w:rPr>
      </w:pPr>
    </w:p>
    <w:p>
      <w:pPr>
        <w:ind w:right="140" w:firstLine="615"/>
        <w:spacing w:after="0" w:line="306" w:lineRule="auto"/>
        <w:rPr>
          <w:sz w:val="20"/>
          <w:szCs w:val="20"/>
          <w:color w:val="auto"/>
        </w:rPr>
      </w:pPr>
      <w:r>
        <w:rPr>
          <w:rFonts w:ascii="Arial" w:cs="Arial" w:eastAsia="Arial" w:hAnsi="Arial"/>
          <w:sz w:val="16"/>
          <w:szCs w:val="16"/>
          <w:color w:val="auto"/>
        </w:rPr>
        <w:t>MSK is a shareholder of the Company and under the MSK License, SRA and MDSA, we have expensed costs in the total amount of $4,445,000 in the year ended December 31, 2016 for milestones, research costs and patent activities. Please refer to Note 6 for additional details on our license agreement with MSK. As of December 31, 2016, we had a total of $3,050,000 recorded as accounts payable and accrued liabilities related to amounts due to MSK.</w:t>
      </w:r>
    </w:p>
    <w:p>
      <w:pPr>
        <w:spacing w:after="0" w:line="161"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In July 2016, the Company entered into an agreement of lease with a shareholder of the Company, Weco Group, in connection with the subsidiary in Denmark. The lease payable thereunder is approximately $4,000 per month and, as the lease can be terminated with three months' notice, any future rent commitment thereunder will amount to approximately $12,000. In addition, the Company reimbursed Weco Group for certain administrative expenses. The total expenses, including rent, equaled $44,000 for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Domestic and foreign loss before income taxes are as follows:</w:t>
      </w:r>
    </w:p>
    <w:p>
      <w:pPr>
        <w:spacing w:after="0" w:line="22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For The Year Ended</w:t>
      </w:r>
    </w:p>
    <w:p>
      <w:pPr>
        <w:jc w:val="center"/>
        <w:ind w:left="6300"/>
        <w:spacing w:after="0" w:line="223" w:lineRule="auto"/>
        <w:rPr>
          <w:sz w:val="20"/>
          <w:szCs w:val="20"/>
          <w:color w:val="auto"/>
        </w:rPr>
      </w:pPr>
      <w:r>
        <w:rPr>
          <w:rFonts w:ascii="Arial" w:cs="Arial" w:eastAsia="Arial" w:hAnsi="Arial"/>
          <w:sz w:val="14"/>
          <w:szCs w:val="14"/>
          <w:b w:val="1"/>
          <w:bCs w:val="1"/>
          <w:color w:val="auto"/>
        </w:rPr>
        <w:t>December 31,</w:t>
      </w:r>
    </w:p>
    <w:p>
      <w:pPr>
        <w:jc w:val="center"/>
        <w:ind w:left="6300"/>
        <w:spacing w:after="0" w:line="222" w:lineRule="auto"/>
        <w:rPr>
          <w:sz w:val="20"/>
          <w:szCs w:val="20"/>
          <w:color w:val="auto"/>
        </w:rPr>
      </w:pPr>
      <w:r>
        <w:rPr>
          <w:rFonts w:ascii="Arial" w:cs="Arial" w:eastAsia="Arial" w:hAnsi="Arial"/>
          <w:sz w:val="14"/>
          <w:szCs w:val="14"/>
          <w:b w:val="1"/>
          <w:bCs w:val="1"/>
          <w:color w:val="auto"/>
        </w:rPr>
        <w:t>2016</w:t>
      </w:r>
    </w:p>
    <w:p>
      <w:pPr>
        <w:jc w:val="center"/>
        <w:ind w:left="6300"/>
        <w:spacing w:after="0" w:line="219" w:lineRule="auto"/>
        <w:rPr>
          <w:sz w:val="20"/>
          <w:szCs w:val="20"/>
          <w:color w:val="auto"/>
        </w:rPr>
      </w:pPr>
      <w:r>
        <w:rPr>
          <w:rFonts w:ascii="Arial" w:cs="Arial" w:eastAsia="Arial" w:hAnsi="Arial"/>
          <w:sz w:val="14"/>
          <w:szCs w:val="14"/>
          <w:b w:val="1"/>
          <w:bCs w:val="1"/>
          <w:color w:val="auto"/>
        </w:rPr>
        <w:t>(thousands)</w:t>
      </w:r>
    </w:p>
    <w:p>
      <w:pPr>
        <w:spacing w:after="0" w:line="21" w:lineRule="exact"/>
        <w:rPr>
          <w:sz w:val="20"/>
          <w:szCs w:val="20"/>
          <w:color w:val="auto"/>
        </w:rPr>
      </w:pPr>
    </w:p>
    <w:tbl>
      <w:tblPr>
        <w:tblLayout w:type="fixed"/>
        <w:tblInd w:w="1720" w:type="dxa"/>
        <w:tblCellMar>
          <w:top w:w="0" w:type="dxa"/>
          <w:left w:w="0" w:type="dxa"/>
          <w:bottom w:w="0" w:type="dxa"/>
          <w:right w:w="0" w:type="dxa"/>
        </w:tblCellMar>
      </w:tblPr>
      <w:tr>
        <w:trPr>
          <w:trHeight w:val="20"/>
        </w:trPr>
        <w:tc>
          <w:tcPr>
            <w:tcW w:w="3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32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(16,915)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Foreign</w:t>
            </w:r>
          </w:p>
        </w:tc>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0"/>
        </w:trPr>
        <w:tc>
          <w:tcPr>
            <w:tcW w:w="3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(17,057)</w:t>
            </w:r>
          </w:p>
        </w:tc>
      </w:tr>
      <w:tr>
        <w:trPr>
          <w:trHeight w:val="20"/>
        </w:trPr>
        <w:tc>
          <w:tcPr>
            <w:tcW w:w="3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provided no current and deferred income taxes/(benefits) on net loss of ($17,057,000) for year ended December 31, 2016.</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difference between income taxes expected at the U.S. federal statutory income tax rate of 34% and income taxes provided are set forth below:</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State and local taxes, net of federal tax effects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Valuation allowance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w w:val="99"/>
              </w:rPr>
              <w:t>Significant components of the Company's net deferred tax assets/(liabilities) are as follows:</w:t>
            </w: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(thousands)</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tcPr>
          <w:p>
            <w:pPr>
              <w:ind w:left="180"/>
              <w:spacing w:after="0"/>
              <w:rPr>
                <w:sz w:val="20"/>
                <w:szCs w:val="20"/>
                <w:color w:val="auto"/>
              </w:rPr>
            </w:pPr>
            <w:r>
              <w:rPr>
                <w:rFonts w:ascii="Arial" w:cs="Arial" w:eastAsia="Arial" w:hAnsi="Arial"/>
                <w:sz w:val="18"/>
                <w:szCs w:val="18"/>
                <w:color w:val="auto"/>
              </w:rPr>
              <w:t>Acquired Intangibles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royalty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10,492</w:t>
            </w:r>
          </w:p>
        </w:tc>
        <w:tc>
          <w:tcPr>
            <w:tcW w:w="0" w:type="dxa"/>
            <w:vAlign w:val="bottom"/>
          </w:tcPr>
          <w:p>
            <w:pPr>
              <w:spacing w:after="0"/>
              <w:rPr>
                <w:sz w:val="1"/>
                <w:szCs w:val="1"/>
                <w:color w:val="auto"/>
              </w:rPr>
            </w:pPr>
          </w:p>
        </w:tc>
      </w:tr>
      <w:tr>
        <w:trPr>
          <w:trHeight w:val="431"/>
        </w:trPr>
        <w:tc>
          <w:tcPr>
            <w:tcW w:w="7200" w:type="dxa"/>
            <w:vAlign w:val="bottom"/>
            <w:gridSpan w:val="2"/>
          </w:tcPr>
          <w:p>
            <w:pPr>
              <w:ind w:left="1100"/>
              <w:spacing w:after="0"/>
              <w:rPr>
                <w:sz w:val="20"/>
                <w:szCs w:val="20"/>
                <w:color w:val="auto"/>
              </w:rPr>
            </w:pPr>
            <w:r>
              <w:rPr>
                <w:rFonts w:ascii="Arial" w:cs="Arial" w:eastAsia="Arial" w:hAnsi="Arial"/>
                <w:sz w:val="18"/>
                <w:szCs w:val="18"/>
                <w:color w:val="auto"/>
              </w:rPr>
              <w:t>Valuation allowance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(10,492)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00" w:type="dxa"/>
            <w:vAlign w:val="bottom"/>
          </w:tcPr>
          <w:p>
            <w:pPr>
              <w:spacing w:after="0"/>
              <w:rPr>
                <w:sz w:val="18"/>
                <w:szCs w:val="18"/>
                <w:color w:val="auto"/>
              </w:rPr>
            </w:pPr>
          </w:p>
        </w:tc>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The Company recognizes income tax benefits for tax positions determined more likely than not to be sustained upon examination, based on the technical merits of the positions. As of December 31, 2016, the Company has determined that there were no uncertain tax positions. The Company's tax returns for years 2015 and 2016 are open for tax examination by U.S. federal and state, and the Danish tax authorities.</w:t>
      </w:r>
    </w:p>
    <w:p>
      <w:pPr>
        <w:spacing w:after="0" w:line="161"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The valuation allowance related primarily to net U.S. deferred tax assets from operating losses, research and development tax credit carryforwards, and acquired intangibles.</w:t>
      </w:r>
    </w:p>
    <w:p>
      <w:pPr>
        <w:spacing w:after="0" w:line="186" w:lineRule="exact"/>
        <w:rPr>
          <w:sz w:val="20"/>
          <w:szCs w:val="20"/>
          <w:color w:val="auto"/>
        </w:rPr>
      </w:pPr>
    </w:p>
    <w:p>
      <w:pPr>
        <w:ind w:right="40" w:firstLine="611"/>
        <w:spacing w:after="0" w:line="294" w:lineRule="auto"/>
        <w:rPr>
          <w:sz w:val="20"/>
          <w:szCs w:val="20"/>
          <w:color w:val="auto"/>
        </w:rPr>
      </w:pPr>
      <w:r>
        <w:rPr>
          <w:rFonts w:ascii="Arial" w:cs="Arial" w:eastAsia="Arial" w:hAnsi="Arial"/>
          <w:sz w:val="16"/>
          <w:szCs w:val="16"/>
          <w:color w:val="auto"/>
        </w:rPr>
        <w:t>The Company maintains a full valuation allowance on its U.S. and foreign deferred tax assets. The assessment regarding whether a valuation allowance is required considers both positive and negative evidence when determining whether it is more-likely-than-not that deferred tax assets are recoverable. In making this assessment, significant weight is given to evidence that can be objectively verified. In its evaluation, the Company considered its cumulative loss in recent years and its forecasted losses in the near-term as significant negative evidence. Based upon review of available positive and negative evidence, the Company determined that the negative evidence outweighed the positive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evidence and a full valuation allowance on its U.S. and foreign deferred tax assets will be maintained. The Company will continue to assess the realizability of its deferred tax assets and will adjust the valuation allowance as needed.</w:t>
      </w:r>
    </w:p>
    <w:p>
      <w:pPr>
        <w:spacing w:after="0" w:line="186"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 of December 31, 2016, the Company had U.S. federal and state and local net operating loss ("NOL") carryforwards of approximately $14,192,000, which are available to reduce future taxable income. The Company also had U.S. federal tax credits of $400,000 as of December 31, 2016, which may be used to offset future tax liabilities. The NOL and tax credit carryforwards will begin to expire in 2035. The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of 1986 ("IRC"). This could limit the amount of tax attributes that can be utilized annually to offset future taxable income or tax liabilities. Subsequent ownership changes may further affect the limitation in future years. The Company also has Danish NOL carryforwards of $150,000, which have an indefinite carryforward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11—OTHER BENEFITS</w:t>
      </w:r>
    </w:p>
    <w:p>
      <w:pPr>
        <w:spacing w:after="0" w:line="231" w:lineRule="exact"/>
        <w:rPr>
          <w:sz w:val="20"/>
          <w:szCs w:val="20"/>
          <w:color w:val="auto"/>
        </w:rPr>
      </w:pPr>
    </w:p>
    <w:p>
      <w:pPr>
        <w:jc w:val="both"/>
        <w:ind w:right="80" w:firstLine="611"/>
        <w:spacing w:after="0" w:line="298" w:lineRule="auto"/>
        <w:rPr>
          <w:sz w:val="20"/>
          <w:szCs w:val="20"/>
          <w:color w:val="auto"/>
        </w:rPr>
      </w:pPr>
      <w:r>
        <w:rPr>
          <w:rFonts w:ascii="Arial" w:cs="Arial" w:eastAsia="Arial" w:hAnsi="Arial"/>
          <w:sz w:val="16"/>
          <w:szCs w:val="16"/>
          <w:color w:val="auto"/>
        </w:rPr>
        <w:t>The Company has established a retirement program for the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2016. In addition, health insurance benefits for our Danish employees are fully paid for by such employees. Our Danish subsidiary does not incur any costs for these health insurance benefits.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has evaluated subsequent events through February 13, 2018, the date that these consolidated financial statements were issued.</w:t>
      </w:r>
    </w:p>
    <w:p>
      <w:pPr>
        <w:spacing w:after="0" w:line="262" w:lineRule="exact"/>
        <w:rPr>
          <w:sz w:val="20"/>
          <w:szCs w:val="20"/>
          <w:color w:val="auto"/>
        </w:rPr>
      </w:pPr>
    </w:p>
    <w:p>
      <w:pPr>
        <w:ind w:left="540" w:hanging="532"/>
        <w:spacing w:after="0"/>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January and February 2017, the Company issued 1,192,662 shares of common stock at $8.50 per share to investors for proceeds of $10,138,000.</w:t>
      </w:r>
    </w:p>
    <w:p>
      <w:pPr>
        <w:spacing w:after="0" w:line="275" w:lineRule="exact"/>
        <w:rPr>
          <w:rFonts w:ascii="Arial" w:cs="Arial" w:eastAsia="Arial" w:hAnsi="Arial"/>
          <w:sz w:val="16"/>
          <w:szCs w:val="16"/>
          <w:color w:val="auto"/>
        </w:rPr>
      </w:pPr>
    </w:p>
    <w:p>
      <w:pPr>
        <w:ind w:left="540" w:right="40" w:hanging="532"/>
        <w:spacing w:after="0" w:line="256"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June 2017, the Company entered into an Investigator-Sponsored Master Clinical Trial Agreement, which we refer to as the MCTA, with MSK pursuant to which we committed to pay for research services, in connection with clinical studies and related activities for the antibodies we licensed under the license arrangement with MSK over a five year period. Amounts payable to MSK under the MCTA are subject to agreement between the Company and MSK on budgets for individual studies.</w:t>
      </w:r>
    </w:p>
    <w:p>
      <w:pPr>
        <w:spacing w:after="0" w:line="210"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July 2017, the Company's Board of Directors increased the number of authorized shares available to be issued by the Company to a total of 55,500,000 shares, of which 50,000,000 shares are to be shares of common stock and 5,500,000 are to be shares of preferred stock.</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October 2017 the Company issued 5,347,568 shares of common stock at $9.35 per share to investors for proceeds of $50,000,000.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 (Continued)</w:t>
      </w:r>
    </w:p>
    <w:p>
      <w:pPr>
        <w:spacing w:after="0" w:line="245"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November 2017 the Company issued 3,208,556 shares of common stock at $9.35 per share to investors for proceeds of $30,000,000.</w:t>
      </w:r>
    </w:p>
    <w:p>
      <w:pPr>
        <w:spacing w:after="0" w:line="252"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 November 2017, the Company entered in an exclusive license agreement with MSK related to certain CD33 antibodies and bispecific constructs thereof developed in the laboratory of a specific principal investigator at MSK for use in potential anti-cancer treatments. The license agreement contains certain conditions under which MSK or the Company may terminate the agreement. The agreement contains requirements for the Company to make certain milestone payments to MSK upon the achievement of related milestone clinical, regulatory approval and sales based activities. Certain of the milestone payments become due at the earlier of completion of the related milestone activity or the date indicated in the license agreement. Total potential milestones due under the arrangement are $550,000, $500,000 and $7,500,000 for clinical, regulatory and sales based milestones, respectively. In addition, the arrangement contains minimum royalty payments that become due beginning in year 10 of $40,000 per year prior, subject to increase and creditable against any royalty payments due based on sales in the future. The Company is required to pay mid to high single digit royalties on sales of licensed products. The Company also agreed to pay MSK approximately $1,360,000 for research services related to the intellectual property licensed by the Company in this agreement. The research services are expected to occur over the two year period immediately following the entering into this arrangement.</w:t>
      </w:r>
    </w:p>
    <w:p>
      <w:pPr>
        <w:spacing w:after="0" w:line="194" w:lineRule="exact"/>
        <w:rPr>
          <w:rFonts w:ascii="Arial" w:cs="Arial" w:eastAsia="Arial" w:hAnsi="Arial"/>
          <w:sz w:val="16"/>
          <w:szCs w:val="16"/>
          <w:color w:val="auto"/>
        </w:rPr>
      </w:pPr>
    </w:p>
    <w:p>
      <w:pPr>
        <w:ind w:left="540" w:right="40" w:hanging="532"/>
        <w:spacing w:after="0" w:line="288"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On December 22, 2017, H.R.1 "An Act to Provide for Reconciliation Pursuant to Titles II and V of the Concurrent Resolution on the Budget for Fiscal Year 2018" ("tax reform") was signed by the President of the United States and became enacted law. Tax reform is complex and includes various changes which could impact the Company. For example, the 2017 Act reduces the corporate tax rate from 35% to 21% for tax years beginning after December 31, 2017 and as such deferred taxes will need to be remeasured based upon the 21% tax rate. The Company will also need to adjust valuation allowance accordingly. For net operating losses (NOLs) arising after December 31, 2017, the 2017 Act limits a taxpayer's ability to utilize NOL carryforwards to 80% of taxable income. In addition, NOLs arising after 2017 can be carried forward indefinitely, but carryback is generally prohibited. NOLs generated in tax years beginning before January 1, 2018 will not be subject to the taxable income limitation and will continue to have a two year carryback and 20 year carryforward period. The Company will continue to evaluate the impact of tax reform and record its measurement of income tax effects in the 2017 and 2018 financial statements.</w:t>
      </w:r>
    </w:p>
    <w:p>
      <w:pPr>
        <w:spacing w:after="0" w:line="187"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January 2018, the Company entered into a new lease agreement in connection with its corporate headquarters in New York. The term of the lease is five years from date the Company begins to occupy the premises. Fixed rent payable under the lease is approximately $384,000 per annum and is payable in equal monthly installments of approximately $32,000.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246620" cy="431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Through and including , 2018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74" w:lineRule="exact"/>
        <w:rPr>
          <w:sz w:val="20"/>
          <w:szCs w:val="20"/>
          <w:color w:val="auto"/>
        </w:rPr>
      </w:pPr>
    </w:p>
    <w:p>
      <w:pPr>
        <w:ind w:left="646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160020</wp:posOffset>
            </wp:positionV>
            <wp:extent cx="2933065" cy="1037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9330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160020</wp:posOffset>
            </wp:positionV>
            <wp:extent cx="13976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152400</wp:posOffset>
            </wp:positionV>
            <wp:extent cx="13976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BofA Merrill Lynch</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Cowen</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 filing fee and the Nasdaq listing fee.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-111125</wp:posOffset>
            </wp:positionV>
            <wp:extent cx="506857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Financial Industry Regulatory Authority, Inc. filing fee</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Accountants' fees and expenses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Transfer Agent's fees and expenses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Miscellaneous fees and expenses</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105410</wp:posOffset>
            </wp:positionV>
            <wp:extent cx="158623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81" w:lineRule="exact"/>
        <w:rPr>
          <w:sz w:val="20"/>
          <w:szCs w:val="20"/>
          <w:color w:val="auto"/>
        </w:rPr>
      </w:pPr>
    </w:p>
    <w:p>
      <w:pPr>
        <w:ind w:left="2260" w:hanging="540"/>
        <w:spacing w:after="0"/>
        <w:tabs>
          <w:tab w:leader="none" w:pos="2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34"/>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4800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ind w:left="754" w:hanging="754"/>
        <w:spacing w:after="0"/>
        <w:tabs>
          <w:tab w:leader="none" w:pos="75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800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ind w:left="754" w:hanging="754"/>
        <w:spacing w:after="0"/>
        <w:tabs>
          <w:tab w:leader="none" w:pos="75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4800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4800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233" w:lineRule="exact"/>
        <w:rPr>
          <w:sz w:val="20"/>
          <w:szCs w:val="20"/>
          <w:color w:val="auto"/>
        </w:rPr>
      </w:pPr>
    </w:p>
    <w:p>
      <w:pPr>
        <w:sectPr>
          <w:pgSz w:w="11900" w:h="16838" w:orient="portrait"/>
          <w:cols w:equalWidth="0" w:num="2">
            <w:col w:w="8066" w:space="720"/>
            <w:col w:w="2614"/>
          </w:cols>
          <w:pgMar w:left="240" w:top="131" w:right="259" w:bottom="1440" w:gutter="0" w:footer="0" w:header="0"/>
          <w:type w:val="continuous"/>
        </w:sectPr>
      </w:pPr>
    </w:p>
    <w:p>
      <w:pPr>
        <w:spacing w:after="0" w:line="3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Section 102 of the DGCL permits a corporation to eliminate the personal liability of its directors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the DGCL or obtained an improper personal benefit. Upon completion of this offering, our certificate of incorporation will provide that none of our directors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74" w:lineRule="exact"/>
        <w:rPr>
          <w:sz w:val="20"/>
          <w:szCs w:val="20"/>
          <w:color w:val="auto"/>
        </w:rPr>
      </w:pPr>
    </w:p>
    <w:p>
      <w:pPr>
        <w:ind w:right="120" w:firstLine="615"/>
        <w:spacing w:after="0" w:line="288"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that the Court of Chancery or such other court shall deem proper.</w:t>
      </w:r>
    </w:p>
    <w:p>
      <w:pPr>
        <w:spacing w:after="0" w:line="174"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Upon the completion of this offering, our certificate of incorporation will provide that we will indemnify each person who was or is a party or is threatened to be made a party or is involved in any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that will be effective as of the closing date of this offering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87" w:lineRule="exact"/>
        <w:rPr>
          <w:sz w:val="20"/>
          <w:szCs w:val="20"/>
          <w:color w:val="auto"/>
        </w:rPr>
      </w:pPr>
    </w:p>
    <w:p>
      <w:pPr>
        <w:ind w:right="60" w:firstLine="611"/>
        <w:spacing w:after="0" w:line="255" w:lineRule="auto"/>
        <w:rPr>
          <w:sz w:val="20"/>
          <w:szCs w:val="20"/>
          <w:color w:val="auto"/>
        </w:rPr>
      </w:pPr>
      <w:r>
        <w:rPr>
          <w:rFonts w:ascii="Arial" w:cs="Arial" w:eastAsia="Arial" w:hAnsi="Arial"/>
          <w:sz w:val="18"/>
          <w:szCs w:val="18"/>
          <w:color w:val="auto"/>
        </w:rPr>
        <w:t>We plan to enter into indemnification agreements with each of our executive officers and directors. In general, these agreements provide that we will indemnify the director or executive officer to the fullest extent permitted by law for claims arising in his or her capacity as a director or executive officer of our company or in connection with their service at our request for another corporation or entity. The indemnification agreements also provide for procedures that will apply in the event that a director or executive officer makes a claim for indemnification and establish certain presumptions that are favorable to the director or executive officer.</w:t>
      </w:r>
    </w:p>
    <w:p>
      <w:pPr>
        <w:spacing w:after="0" w:line="197"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86" w:lineRule="exact"/>
        <w:rPr>
          <w:sz w:val="20"/>
          <w:szCs w:val="20"/>
          <w:color w:val="auto"/>
        </w:rPr>
      </w:pPr>
    </w:p>
    <w:p>
      <w:pPr>
        <w:ind w:right="180" w:firstLine="611"/>
        <w:spacing w:after="0" w:line="259" w:lineRule="auto"/>
        <w:rPr>
          <w:sz w:val="20"/>
          <w:szCs w:val="20"/>
          <w:color w:val="auto"/>
        </w:rPr>
      </w:pPr>
      <w:r>
        <w:rPr>
          <w:rFonts w:ascii="Arial" w:cs="Arial" w:eastAsia="Arial" w:hAnsi="Arial"/>
          <w:sz w:val="18"/>
          <w:szCs w:val="18"/>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194" w:lineRule="exact"/>
        <w:rPr>
          <w:sz w:val="20"/>
          <w:szCs w:val="20"/>
          <w:color w:val="auto"/>
        </w:rPr>
      </w:pPr>
    </w:p>
    <w:p>
      <w:pPr>
        <w:ind w:right="600" w:firstLine="615"/>
        <w:spacing w:after="0" w:line="306" w:lineRule="auto"/>
        <w:rPr>
          <w:sz w:val="20"/>
          <w:szCs w:val="20"/>
          <w:color w:val="auto"/>
        </w:rPr>
      </w:pPr>
      <w:r>
        <w:rPr>
          <w:rFonts w:ascii="Arial" w:cs="Arial" w:eastAsia="Arial" w:hAnsi="Arial"/>
          <w:sz w:val="16"/>
          <w:szCs w:val="16"/>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Securities and Exchange Commission, such indemnification is against public policy as expressed in the Securities Act and is therefore unenforceable.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firstLine="615"/>
        <w:spacing w:after="0" w:line="335" w:lineRule="auto"/>
        <w:rPr>
          <w:sz w:val="20"/>
          <w:szCs w:val="20"/>
          <w:color w:val="auto"/>
        </w:rPr>
      </w:pPr>
      <w:r>
        <w:rPr>
          <w:rFonts w:ascii="Arial" w:cs="Arial" w:eastAsia="Arial" w:hAnsi="Arial"/>
          <w:sz w:val="15"/>
          <w:szCs w:val="15"/>
          <w:color w:val="auto"/>
        </w:rPr>
        <w:t>Set forth below is information regarding shares of our common stock and shares of our preferred stock issued, and stock options granted, by us within the past three years that were not registered under the Securities Act. Included is the consideration, if any, we received for such shares and options and information relating to the section of the Securities Act, or rule of the Securities and Exchange Commission, under which exemption from registration was claimed.</w:t>
      </w:r>
    </w:p>
    <w:p>
      <w:pPr>
        <w:spacing w:after="0" w:line="142" w:lineRule="exact"/>
        <w:rPr>
          <w:sz w:val="20"/>
          <w:szCs w:val="20"/>
          <w:color w:val="auto"/>
        </w:rPr>
      </w:pPr>
    </w:p>
    <w:p>
      <w:pPr>
        <w:ind w:left="600" w:hanging="592"/>
        <w:spacing w:after="0"/>
        <w:tabs>
          <w:tab w:leader="none" w:pos="60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Grants</w:t>
      </w:r>
    </w:p>
    <w:p>
      <w:pPr>
        <w:spacing w:after="0" w:line="225" w:lineRule="exact"/>
        <w:rPr>
          <w:rFonts w:ascii="Arial" w:cs="Arial" w:eastAsia="Arial" w:hAnsi="Arial"/>
          <w:sz w:val="18"/>
          <w:szCs w:val="18"/>
          <w:b w:val="1"/>
          <w:bCs w:val="1"/>
          <w:i w:val="1"/>
          <w:iCs w:val="1"/>
          <w:color w:val="auto"/>
        </w:rPr>
      </w:pPr>
    </w:p>
    <w:p>
      <w:pPr>
        <w:ind w:left="620" w:right="2200"/>
        <w:spacing w:after="0" w:line="601"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June 2015, we issued and granted 2,190,000 shares of our common stock pursuant to various stock grant agreements. In August 2015, we issued and granted 4,144,900 shares of our common stock pursuant to various stock grant agreements. In May 2016, we issued and granted 479,328 shares of our common stock pursuant to various stock grant agreements.</w:t>
      </w: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August 2016, we issued and granted 520,601 shares of our common stock pursuant to various stock grant agreements.</w:t>
      </w:r>
    </w:p>
    <w:p>
      <w:pPr>
        <w:spacing w:after="0" w:line="225" w:lineRule="exact"/>
        <w:rPr>
          <w:rFonts w:ascii="Arial" w:cs="Arial" w:eastAsia="Arial" w:hAnsi="Arial"/>
          <w:sz w:val="18"/>
          <w:szCs w:val="18"/>
          <w:b w:val="1"/>
          <w:bCs w:val="1"/>
          <w:i w:val="1"/>
          <w:iCs w:val="1"/>
          <w:color w:val="auto"/>
        </w:rPr>
      </w:pPr>
    </w:p>
    <w:p>
      <w:pPr>
        <w:ind w:left="600" w:hanging="592"/>
        <w:spacing w:after="0"/>
        <w:tabs>
          <w:tab w:leader="none" w:pos="60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Issuance and Sale of Shares of Common Stock</w:t>
      </w:r>
    </w:p>
    <w:p>
      <w:pPr>
        <w:spacing w:after="0" w:line="225"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In August 2015, we issued and sold 5,010,000 shares of our common stock at a purchase price of $0.20 per share for an aggregate purchase price of approximately $1,002,000.</w:t>
      </w:r>
    </w:p>
    <w:p>
      <w:pPr>
        <w:spacing w:after="0" w:line="186"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In November 2015, we issued and sold 1,027,397 shares of our common stock at a purchase price of $4.38 per share for an aggregated purchase price of approximately $4,499,999.</w:t>
      </w:r>
    </w:p>
    <w:p>
      <w:pPr>
        <w:spacing w:after="0" w:line="186"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In December 2015, we issued and sold 1,027,487 shares of our common stock at a purchase price of $4.38 per share for an aggregate purchase price of approximately $4,500,400.</w:t>
      </w:r>
    </w:p>
    <w:p>
      <w:pPr>
        <w:spacing w:after="0" w:line="186" w:lineRule="exact"/>
        <w:rPr>
          <w:sz w:val="20"/>
          <w:szCs w:val="20"/>
          <w:color w:val="auto"/>
        </w:rPr>
      </w:pPr>
    </w:p>
    <w:p>
      <w:pPr>
        <w:ind w:right="600" w:firstLine="615"/>
        <w:spacing w:after="0" w:line="268" w:lineRule="auto"/>
        <w:rPr>
          <w:sz w:val="20"/>
          <w:szCs w:val="20"/>
          <w:color w:val="auto"/>
        </w:rPr>
      </w:pPr>
      <w:r>
        <w:rPr>
          <w:rFonts w:ascii="Arial" w:cs="Arial" w:eastAsia="Arial" w:hAnsi="Arial"/>
          <w:sz w:val="18"/>
          <w:szCs w:val="18"/>
          <w:color w:val="auto"/>
        </w:rPr>
        <w:t>In March 2016, we issued and sold 570,776 shares of our common stock at a purchase price of $4.38 per share for an aggregate purchase price of approximately $2,500,000.</w:t>
      </w:r>
    </w:p>
    <w:p>
      <w:pPr>
        <w:spacing w:after="0" w:line="186" w:lineRule="exact"/>
        <w:rPr>
          <w:sz w:val="20"/>
          <w:szCs w:val="20"/>
          <w:color w:val="auto"/>
        </w:rPr>
      </w:pPr>
    </w:p>
    <w:p>
      <w:pPr>
        <w:ind w:right="560" w:firstLine="615"/>
        <w:spacing w:after="0" w:line="268" w:lineRule="auto"/>
        <w:rPr>
          <w:sz w:val="20"/>
          <w:szCs w:val="20"/>
          <w:color w:val="auto"/>
        </w:rPr>
      </w:pPr>
      <w:r>
        <w:rPr>
          <w:rFonts w:ascii="Arial" w:cs="Arial" w:eastAsia="Arial" w:hAnsi="Arial"/>
          <w:sz w:val="18"/>
          <w:szCs w:val="18"/>
          <w:color w:val="auto"/>
        </w:rPr>
        <w:t>In April 2016, we issued and sold 1,261,412 shares of our common stock at a purchase price of $4.38 per share for an aggregate purchase price of approximately $5,525,000.</w:t>
      </w:r>
    </w:p>
    <w:p>
      <w:pPr>
        <w:spacing w:after="0" w:line="186" w:lineRule="exact"/>
        <w:rPr>
          <w:sz w:val="20"/>
          <w:szCs w:val="20"/>
          <w:color w:val="auto"/>
        </w:rPr>
      </w:pPr>
    </w:p>
    <w:p>
      <w:pPr>
        <w:ind w:right="740" w:firstLine="615"/>
        <w:spacing w:after="0" w:line="268" w:lineRule="auto"/>
        <w:rPr>
          <w:sz w:val="20"/>
          <w:szCs w:val="20"/>
          <w:color w:val="auto"/>
        </w:rPr>
      </w:pPr>
      <w:r>
        <w:rPr>
          <w:rFonts w:ascii="Arial" w:cs="Arial" w:eastAsia="Arial" w:hAnsi="Arial"/>
          <w:sz w:val="18"/>
          <w:szCs w:val="18"/>
          <w:color w:val="auto"/>
        </w:rPr>
        <w:t>In May 2016, we issued and sold 515,204 shares of our common stock at a purchase price of $4.38 per share for an aggregate purchase price of approximately $2,256,600.</w:t>
      </w:r>
    </w:p>
    <w:p>
      <w:pPr>
        <w:spacing w:after="0" w:line="186" w:lineRule="exact"/>
        <w:rPr>
          <w:sz w:val="20"/>
          <w:szCs w:val="20"/>
          <w:color w:val="auto"/>
        </w:rPr>
      </w:pPr>
    </w:p>
    <w:p>
      <w:pPr>
        <w:ind w:right="740" w:firstLine="615"/>
        <w:spacing w:after="0" w:line="268" w:lineRule="auto"/>
        <w:rPr>
          <w:sz w:val="20"/>
          <w:szCs w:val="20"/>
          <w:color w:val="auto"/>
        </w:rPr>
      </w:pPr>
      <w:r>
        <w:rPr>
          <w:rFonts w:ascii="Arial" w:cs="Arial" w:eastAsia="Arial" w:hAnsi="Arial"/>
          <w:sz w:val="18"/>
          <w:szCs w:val="18"/>
          <w:color w:val="auto"/>
        </w:rPr>
        <w:t>In June 2016, we issued and sold 890,406 shares of our common stock at a purchase price of $4.38 per share for an aggregate purchase price of approximately $3,900,000.</w:t>
      </w:r>
    </w:p>
    <w:p>
      <w:pPr>
        <w:spacing w:after="0" w:line="186" w:lineRule="exact"/>
        <w:rPr>
          <w:sz w:val="20"/>
          <w:szCs w:val="20"/>
          <w:color w:val="auto"/>
        </w:rPr>
      </w:pPr>
    </w:p>
    <w:p>
      <w:pPr>
        <w:ind w:right="760" w:firstLine="615"/>
        <w:spacing w:after="0" w:line="268" w:lineRule="auto"/>
        <w:rPr>
          <w:sz w:val="20"/>
          <w:szCs w:val="20"/>
          <w:color w:val="auto"/>
        </w:rPr>
      </w:pPr>
      <w:r>
        <w:rPr>
          <w:rFonts w:ascii="Arial" w:cs="Arial" w:eastAsia="Arial" w:hAnsi="Arial"/>
          <w:sz w:val="18"/>
          <w:szCs w:val="18"/>
          <w:color w:val="auto"/>
        </w:rPr>
        <w:t>In July 2016, we issued and sold 187,214 shares of our common stock at a purchase price of $4.38 per share for an aggregate purchase price of approximately $820,000.</w:t>
      </w:r>
    </w:p>
    <w:p>
      <w:pPr>
        <w:spacing w:after="0" w:line="186"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In December 2016, we issued and sold 578,982 shares of our common stock at a purchase price of $8.50 per share for an aggregate purchase price of approximately $4,921,396.</w:t>
      </w:r>
    </w:p>
    <w:p>
      <w:pPr>
        <w:spacing w:after="0" w:line="186" w:lineRule="exact"/>
        <w:rPr>
          <w:sz w:val="20"/>
          <w:szCs w:val="20"/>
          <w:color w:val="auto"/>
        </w:rPr>
      </w:pPr>
    </w:p>
    <w:p>
      <w:pPr>
        <w:ind w:right="380" w:firstLine="615"/>
        <w:spacing w:after="0" w:line="268" w:lineRule="auto"/>
        <w:rPr>
          <w:sz w:val="20"/>
          <w:szCs w:val="20"/>
          <w:color w:val="auto"/>
        </w:rPr>
      </w:pPr>
      <w:r>
        <w:rPr>
          <w:rFonts w:ascii="Arial" w:cs="Arial" w:eastAsia="Arial" w:hAnsi="Arial"/>
          <w:sz w:val="18"/>
          <w:szCs w:val="18"/>
          <w:color w:val="auto"/>
        </w:rPr>
        <w:t>In January 2017, we issued and sold 1,016,486 shares of our common stock at a purchase price of $8.50 per share for an aggregate purchase price of approximately $8,640,172.</w:t>
      </w:r>
    </w:p>
    <w:p>
      <w:pPr>
        <w:spacing w:after="0" w:line="186"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In February 2017, we issued and sold 117,353 shares of our common stock at a purchase price of $8.50 per share for an aggregate purchase price of approximately $997,500.</w:t>
      </w:r>
    </w:p>
    <w:p>
      <w:pPr>
        <w:spacing w:after="0" w:line="186"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In October 2017, we issued and sold 5,347,568 shares of our common stock at a purchase price of $9.35 per share for an aggregate purchase price of approximately $49,999,923.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In November 2017, we issued and sold 3,208,552 shares of our common stock at a purchase price of $9.35 per share for an aggregate purchase price of approximately $30,000,000.</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sections (a) and (b) of this Item 15 were issued in reliance upon the exemption from the registration requirements of the Securities Act, as set forth in Section 4(a)(2) relative to transactions by an issuer not involving any public offering, to the extent an exemption from such registration was required. The recipients of securities in the transactions described above represented that they were accredited investors and were acquiring the securities for their own account for investment purposes only and not with a view to, or for sale in connection with, any distribution thereof and that they could bear the economic and other risks of the investment and could hold the securities for an indefinite period of time and appropriate legends were affixed to the instruments representing such securities issued in such transactions.</w:t>
      </w:r>
    </w:p>
    <w:p>
      <w:pPr>
        <w:spacing w:after="0" w:line="174" w:lineRule="exact"/>
        <w:rPr>
          <w:sz w:val="20"/>
          <w:szCs w:val="20"/>
          <w:color w:val="auto"/>
        </w:rPr>
      </w:pPr>
    </w:p>
    <w:p>
      <w:pPr>
        <w:ind w:left="640" w:hanging="632"/>
        <w:spacing w:after="0"/>
        <w:tabs>
          <w:tab w:leader="none" w:pos="640"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 Grants and Option Exercises</w:t>
      </w:r>
    </w:p>
    <w:p>
      <w:pPr>
        <w:spacing w:after="0" w:line="225"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Between June 6, 2015 and December 14, 2016, we granted options to purchase an aggregate of 2,159,000 shares of common stock, with exercise prices ranging from $2.00 to $8.50 per share, to employees, directors, consultants and advisors pursuant to our 2015 Plan, as amended. As of the date hereof, no options have been exercised.</w:t>
      </w:r>
    </w:p>
    <w:p>
      <w:pPr>
        <w:spacing w:after="0" w:line="194"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No underwriters were involved in the foregoing issuances of securities. The issuances of stock options and the shares of our common stock issued upon the exercise of the options described in section (c) of this Item 15 were issued pursuant to written compensatory plans or arrangements with our employees, directors, consultants and advisors,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us or had access, through employment or other relationships, to such information.</w:t>
      </w:r>
    </w:p>
    <w:p>
      <w:pPr>
        <w:spacing w:after="0" w:line="170" w:lineRule="exact"/>
        <w:rPr>
          <w:sz w:val="20"/>
          <w:szCs w:val="20"/>
          <w:color w:val="auto"/>
        </w:rPr>
      </w:pPr>
    </w:p>
    <w:p>
      <w:pPr>
        <w:jc w:val="both"/>
        <w:ind w:right="260" w:firstLine="605"/>
        <w:spacing w:after="0" w:line="259" w:lineRule="auto"/>
        <w:rPr>
          <w:sz w:val="20"/>
          <w:szCs w:val="20"/>
          <w:color w:val="auto"/>
        </w:rPr>
      </w:pPr>
      <w:r>
        <w:rPr>
          <w:rFonts w:ascii="Arial" w:cs="Arial" w:eastAsia="Arial" w:hAnsi="Arial"/>
          <w:sz w:val="18"/>
          <w:szCs w:val="18"/>
          <w:color w:val="auto"/>
        </w:rPr>
        <w:t>All of the securities described in sections (a), (b) and (c) of this Item 15 are deemed restricted securities for purposes of the Securities Act. All of the certificates representing such securities included appropriate legends setting forth that the securities have not been registered and the applicable restrictions on transfer.</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31" w:lineRule="exact"/>
        <w:rPr>
          <w:sz w:val="20"/>
          <w:szCs w:val="20"/>
          <w:color w:val="auto"/>
        </w:rPr>
      </w:pPr>
    </w:p>
    <w:p>
      <w:pPr>
        <w:ind w:left="600" w:hanging="592"/>
        <w:spacing w:after="0"/>
        <w:tabs>
          <w:tab w:leader="none" w:pos="600" w:val="left"/>
        </w:tabs>
        <w:numPr>
          <w:ilvl w:val="0"/>
          <w:numId w:val="1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5" w:lineRule="exact"/>
        <w:rPr>
          <w:rFonts w:ascii="Arial" w:cs="Arial" w:eastAsia="Arial" w:hAnsi="Arial"/>
          <w:sz w:val="18"/>
          <w:szCs w:val="18"/>
          <w:b w:val="1"/>
          <w:bCs w:val="1"/>
          <w:i w:val="1"/>
          <w:iCs w:val="1"/>
          <w:color w:val="auto"/>
        </w:rPr>
      </w:pP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exhibits to the registration statement are listed in the Exhibit Index attached hereto and incorporated by reference herein.</w:t>
      </w:r>
    </w:p>
    <w:p>
      <w:pPr>
        <w:spacing w:after="0" w:line="225" w:lineRule="exact"/>
        <w:rPr>
          <w:rFonts w:ascii="Arial" w:cs="Arial" w:eastAsia="Arial" w:hAnsi="Arial"/>
          <w:sz w:val="18"/>
          <w:szCs w:val="18"/>
          <w:b w:val="1"/>
          <w:bCs w:val="1"/>
          <w:i w:val="1"/>
          <w:iCs w:val="1"/>
          <w:color w:val="auto"/>
        </w:rPr>
      </w:pPr>
    </w:p>
    <w:p>
      <w:pPr>
        <w:ind w:left="600" w:hanging="592"/>
        <w:spacing w:after="0"/>
        <w:tabs>
          <w:tab w:leader="none" w:pos="600" w:val="left"/>
        </w:tabs>
        <w:numPr>
          <w:ilvl w:val="0"/>
          <w:numId w:val="1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right="380" w:firstLine="615"/>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1080" w:right="100" w:hanging="532"/>
        <w:spacing w:after="0" w:line="332"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289"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306" w:lineRule="auto"/>
        <w:tabs>
          <w:tab w:leader="none" w:pos="162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Arial" w:cs="Arial" w:eastAsia="Arial" w:hAnsi="Arial"/>
          <w:sz w:val="16"/>
          <w:szCs w:val="16"/>
          <w:color w:val="auto"/>
        </w:rPr>
      </w:pPr>
    </w:p>
    <w:p>
      <w:pPr>
        <w:ind w:left="1620" w:right="100" w:hanging="532"/>
        <w:spacing w:after="0" w:line="259"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00" w:type="dxa"/>
            <w:vAlign w:val="bottom"/>
          </w:tcPr>
          <w:p>
            <w:pPr>
              <w:ind w:left="2840"/>
              <w:spacing w:after="0"/>
              <w:rPr>
                <w:sz w:val="20"/>
                <w:szCs w:val="20"/>
                <w:color w:val="auto"/>
              </w:rPr>
            </w:pPr>
            <w:r>
              <w:rPr>
                <w:rFonts w:ascii="Arial" w:cs="Arial" w:eastAsia="Arial" w:hAnsi="Arial"/>
                <w:sz w:val="18"/>
                <w:szCs w:val="18"/>
                <w:b w:val="1"/>
                <w:bCs w:val="1"/>
                <w:color w:val="auto"/>
              </w:rPr>
              <w:t>EXHIBIT INDEX</w:t>
            </w:r>
          </w:p>
        </w:tc>
      </w:tr>
      <w:tr>
        <w:trPr>
          <w:trHeight w:val="354"/>
        </w:trPr>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Exhibit</w:t>
            </w:r>
          </w:p>
        </w:tc>
        <w:tc>
          <w:tcPr>
            <w:tcW w:w="100" w:type="dxa"/>
            <w:vAlign w:val="bottom"/>
          </w:tcPr>
          <w:p>
            <w:pPr>
              <w:spacing w:after="0"/>
              <w:rPr>
                <w:sz w:val="24"/>
                <w:szCs w:val="24"/>
                <w:color w:val="auto"/>
              </w:rPr>
            </w:pPr>
          </w:p>
        </w:tc>
        <w:tc>
          <w:tcPr>
            <w:tcW w:w="8100" w:type="dxa"/>
            <w:vAlign w:val="bottom"/>
          </w:tcPr>
          <w:p>
            <w:pPr>
              <w:spacing w:after="0"/>
              <w:rPr>
                <w:sz w:val="24"/>
                <w:szCs w:val="24"/>
                <w:color w:val="auto"/>
              </w:rPr>
            </w:pP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10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424"/>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3.1*</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Certificate of Incorporation of the Registrant, as amended</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3.2*</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Bylaws of the Registrant</w:t>
            </w:r>
          </w:p>
        </w:tc>
      </w:tr>
      <w:tr>
        <w:trPr>
          <w:trHeight w:val="426"/>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3.3*</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w w:val="90"/>
              </w:rPr>
              <w:t>Form of Amended and Restated Certificate of Incorporation of the Registrant (to be effective upon the closing of</w:t>
            </w:r>
          </w:p>
        </w:tc>
      </w:tr>
      <w:tr>
        <w:trPr>
          <w:trHeight w:val="222"/>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this offering)</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3.4*</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w w:val="96"/>
              </w:rPr>
              <w:t>Form of Amended and Restated Bylaws of the Registrant (to be effective upon the closing of this offering)</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4.1*</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4.2*</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w w:val="89"/>
              </w:rPr>
              <w:t>Registration Rights Agreement, dated as of October 13, 2017, among the Registrant and the other parties thereto</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4.3*</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w w:val="87"/>
              </w:rPr>
              <w:t>Registration Rights Agreement, dated as of November 17, 2017, among the Registrant and the other parties thereto</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5.1*</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Opinion of Satterlee Stephens LLP</w:t>
            </w:r>
          </w:p>
        </w:tc>
      </w:tr>
      <w:tr>
        <w:trPr>
          <w:trHeight w:val="426"/>
        </w:trPr>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95"/>
              </w:rPr>
              <w:t>10.1+*</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w w:val="91"/>
              </w:rPr>
              <w:t>License Agreement, dated as of August 20, 2015, by and between the Registrant and Memorial Sloan Kettering</w:t>
            </w:r>
          </w:p>
        </w:tc>
      </w:tr>
      <w:tr>
        <w:trPr>
          <w:trHeight w:val="222"/>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Cancer Center</w:t>
            </w:r>
          </w:p>
        </w:tc>
      </w:tr>
      <w:tr>
        <w:trPr>
          <w:trHeight w:val="426"/>
        </w:trPr>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95"/>
              </w:rPr>
              <w:t>10.2+*</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w w:val="88"/>
              </w:rPr>
              <w:t>License Agreement, dated as of November 13, 2017, by and between the Registrant and Memorial Sloan Kettering</w:t>
            </w:r>
          </w:p>
        </w:tc>
      </w:tr>
      <w:tr>
        <w:trPr>
          <w:trHeight w:val="222"/>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Cancer Center</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2"/>
              </w:rPr>
              <w:t>10.3†*</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Amended and Restated 2015 Equity Incentive Plan</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2"/>
              </w:rPr>
              <w:t>10.4†*</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w w:val="96"/>
              </w:rPr>
              <w:t>Form of Incentive Stock Option Agreement under the Amended and Restated 2015 Equity Incentive Plan</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2"/>
              </w:rPr>
              <w:t>10.5†*</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Form of Nonstatutory Stock Option Agreement under the 2015 Equity Incentive Plan</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2"/>
              </w:rPr>
              <w:t>10.6†*</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2017 Employee Stock Purchase Plan</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2"/>
              </w:rPr>
              <w:t>10.7†*</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Form of Director and Officer Indemnification Agreement</w:t>
            </w:r>
          </w:p>
        </w:tc>
      </w:tr>
      <w:tr>
        <w:trPr>
          <w:trHeight w:val="432"/>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2"/>
              </w:rPr>
              <w:t>10.8†*</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Service Agreement, effective as of April 1, 2016 between the Registrant and Thomas Gad</w:t>
            </w:r>
          </w:p>
        </w:tc>
      </w:tr>
      <w:tr>
        <w:trPr>
          <w:trHeight w:val="426"/>
        </w:trPr>
        <w:tc>
          <w:tcPr>
            <w:tcW w:w="920" w:type="dxa"/>
            <w:vAlign w:val="bottom"/>
            <w:gridSpan w:val="2"/>
          </w:tcPr>
          <w:p>
            <w:pPr>
              <w:jc w:val="center"/>
              <w:ind w:left="114"/>
              <w:spacing w:after="0"/>
              <w:rPr>
                <w:sz w:val="20"/>
                <w:szCs w:val="20"/>
                <w:color w:val="auto"/>
              </w:rPr>
            </w:pPr>
            <w:r>
              <w:rPr>
                <w:rFonts w:ascii="Arial" w:cs="Arial" w:eastAsia="Arial" w:hAnsi="Arial"/>
                <w:sz w:val="18"/>
                <w:szCs w:val="18"/>
                <w:color w:val="auto"/>
                <w:w w:val="92"/>
              </w:rPr>
              <w:t>10.9†*</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w w:val="90"/>
              </w:rPr>
              <w:t>Service Agreement, effective as of March 1, 2016 between the Registrant and Dr. Claus Juan Møller San Pedro,</w:t>
            </w:r>
          </w:p>
        </w:tc>
      </w:tr>
      <w:tr>
        <w:trPr>
          <w:trHeight w:val="222"/>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M.D., Ph.D.</w:t>
            </w:r>
          </w:p>
        </w:tc>
      </w:tr>
      <w:tr>
        <w:trPr>
          <w:trHeight w:val="432"/>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Service Agreement, effective as of October 1, 2015 between the Registrant and Bo Kruse</w:t>
            </w:r>
          </w:p>
        </w:tc>
      </w:tr>
      <w:tr>
        <w:trPr>
          <w:trHeight w:val="432"/>
        </w:trPr>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10.11*</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Lease Agreement, dated January 10, 2018, by and between the Registrant and RXR HB Owner LLC</w:t>
            </w:r>
          </w:p>
        </w:tc>
      </w:tr>
      <w:tr>
        <w:trPr>
          <w:trHeight w:val="426"/>
        </w:trPr>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10.12*</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w w:val="88"/>
              </w:rPr>
              <w:t>Lease Agreement, effective as of July 1, 2016, by and between Y-mabs Therapeutics, A/S and Weco Management</w:t>
            </w:r>
          </w:p>
        </w:tc>
      </w:tr>
      <w:tr>
        <w:trPr>
          <w:trHeight w:val="222"/>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ApS</w:t>
            </w:r>
          </w:p>
        </w:tc>
      </w:tr>
      <w:tr>
        <w:trPr>
          <w:trHeight w:val="426"/>
        </w:trPr>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w w:val="96"/>
              </w:rPr>
              <w:t>Letter of PricewaterhouseCoopers Statsautoriseret Revisionsparterselskab, independent registered public</w:t>
            </w:r>
          </w:p>
        </w:tc>
      </w:tr>
      <w:tr>
        <w:trPr>
          <w:trHeight w:val="222"/>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accounting firm.</w:t>
            </w:r>
          </w:p>
        </w:tc>
      </w:tr>
      <w:tr>
        <w:trPr>
          <w:trHeight w:val="432"/>
        </w:trPr>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8200" w:type="dxa"/>
            <w:vAlign w:val="bottom"/>
            <w:gridSpan w:val="2"/>
          </w:tcPr>
          <w:p>
            <w:pPr>
              <w:ind w:left="10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bl>
    <w:p>
      <w:pPr>
        <w:spacing w:after="0" w:line="200" w:lineRule="exact"/>
        <w:rPr>
          <w:sz w:val="20"/>
          <w:szCs w:val="20"/>
          <w:color w:val="auto"/>
        </w:rPr>
      </w:pPr>
    </w:p>
    <w:p>
      <w:pPr>
        <w:sectPr>
          <w:pgSz w:w="11900" w:h="16838" w:orient="portrait"/>
          <w:cols w:equalWidth="0" w:num="1">
            <w:col w:w="10280"/>
          </w:cols>
          <w:pgMar w:left="240" w:top="131" w:right="1379" w:bottom="1440" w:gutter="0" w:footer="0" w:header="0"/>
        </w:sectPr>
      </w:pPr>
    </w:p>
    <w:p>
      <w:pPr>
        <w:spacing w:after="0" w:line="2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8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Consent of Satterlee Stephens LLP (included in Exhibit 5.1)</w:t>
            </w:r>
          </w:p>
        </w:tc>
      </w:tr>
      <w:tr>
        <w:trPr>
          <w:trHeight w:val="424"/>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Power of Attorney (included on signature page)</w:t>
            </w:r>
          </w:p>
        </w:tc>
      </w:tr>
      <w:tr>
        <w:trPr>
          <w:trHeight w:val="110"/>
        </w:trPr>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62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1680" w:hanging="531"/>
        <w:spacing w:after="0" w:line="268" w:lineRule="auto"/>
        <w:tabs>
          <w:tab w:leader="none" w:pos="16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199" w:lineRule="exact"/>
        <w:rPr>
          <w:sz w:val="20"/>
          <w:szCs w:val="20"/>
          <w:color w:val="auto"/>
        </w:rPr>
      </w:pPr>
    </w:p>
    <w:p>
      <w:pPr>
        <w:ind w:left="1680" w:hanging="531"/>
        <w:spacing w:after="0"/>
        <w:tabs>
          <w:tab w:leader="none" w:pos="1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w:t>
      </w:r>
    </w:p>
    <w:p>
      <w:pPr>
        <w:spacing w:after="0" w:line="38" w:lineRule="exact"/>
        <w:rPr>
          <w:sz w:val="20"/>
          <w:szCs w:val="20"/>
          <w:color w:val="auto"/>
        </w:rPr>
      </w:pPr>
    </w:p>
    <w:p>
      <w:pPr>
        <w:spacing w:after="0"/>
        <w:tabs>
          <w:tab w:leader="none" w:pos="7180" w:val="left"/>
          <w:tab w:leader="none" w:pos="8680" w:val="left"/>
        </w:tabs>
        <w:rPr>
          <w:sz w:val="20"/>
          <w:szCs w:val="20"/>
          <w:color w:val="auto"/>
        </w:rPr>
      </w:pPr>
      <w:r>
        <w:rPr>
          <w:rFonts w:ascii="Arial" w:cs="Arial" w:eastAsia="Arial" w:hAnsi="Arial"/>
          <w:sz w:val="18"/>
          <w:szCs w:val="18"/>
          <w:color w:val="auto"/>
        </w:rPr>
        <w:t>undersigned, thereunto duly authorized, in the City of New York, State of New York,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2018.</w:t>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148590</wp:posOffset>
            </wp:positionV>
            <wp:extent cx="26244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2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Thomas Gad</w:t>
      </w:r>
    </w:p>
    <w:p>
      <w:pPr>
        <w:spacing w:after="0" w:line="15"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Founder, Chairman, President and Head of Business</w:t>
      </w:r>
    </w:p>
    <w:p>
      <w:pPr>
        <w:spacing w:after="0" w:line="9"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Development</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615"/>
        <w:spacing w:after="0" w:line="312"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Thomas Gad and Claus Juan Møller San Pedro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any subsequent registration statements pursuant to Rule 462 of the Securities Act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each of said attorney-in-fact or his substitute or substitutes, may lawfully do or cause to be done by virtue hereof.</w:t>
      </w:r>
    </w:p>
    <w:p>
      <w:pPr>
        <w:spacing w:after="0" w:line="159"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-185420</wp:posOffset>
            </wp:positionV>
            <wp:extent cx="23323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362585</wp:posOffset>
            </wp:positionV>
            <wp:extent cx="23323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680"/>
        <w:spacing w:after="0"/>
        <w:rPr>
          <w:sz w:val="20"/>
          <w:szCs w:val="20"/>
          <w:color w:val="auto"/>
        </w:rPr>
      </w:pPr>
      <w:r>
        <w:rPr>
          <w:rFonts w:ascii="Arial" w:cs="Arial" w:eastAsia="Arial" w:hAnsi="Arial"/>
          <w:sz w:val="15"/>
          <w:szCs w:val="15"/>
          <w:color w:val="auto"/>
        </w:rPr>
        <w:t>Claus Juan Møller San</w:t>
      </w:r>
    </w:p>
    <w:p>
      <w:pPr>
        <w:spacing w:after="0" w:line="50"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Pedro,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367030</wp:posOffset>
            </wp:positionV>
            <wp:extent cx="23323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Bo Kruse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Founder, Chairman of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President and Head of Business Development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Chief Financial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Secretary Treasurer (principal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 and Director</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260" w:space="720"/>
            <w:col w:w="6420"/>
          </w:cols>
          <w:pgMar w:left="240" w:top="131" w:right="259" w:bottom="1440" w:gutter="0" w:footer="0" w:header="0"/>
          <w:type w:val="continuous"/>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8"/>
          <w:szCs w:val="18"/>
          <w:color w:val="auto"/>
        </w:rPr>
        <w:t>Johan Wedell-Wedellsborg</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color w:val="auto"/>
        </w:rPr>
        <w:t>Gregory Raskin, M.D.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8"/>
          <w:szCs w:val="18"/>
          <w:color w:val="auto"/>
        </w:rPr>
        <w:t>Michael Buschle, Ph.D.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James Healey, M.D.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Ashutosh Tyagi, M.D.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8"/>
          <w:szCs w:val="18"/>
          <w:color w:val="auto"/>
        </w:rPr>
        <w:t>David N. Gill</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7" w:name="page248"/>
    <w:bookmarkEnd w:id="2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decimal"/>
      <w:start w:val="1"/>
    </w:lvl>
  </w:abstractNum>
  <w:abstractNum w:abstractNumId="1">
    <w:nsid w:val="11447B73"/>
    <w:multiLevelType w:val="hybridMultilevel"/>
    <w:lvl w:ilvl="0">
      <w:lvlJc w:val="left"/>
      <w:lvlText w:val="(%1)"/>
      <w:numFmt w:val="decimal"/>
      <w:start w:val="1"/>
    </w:lvl>
  </w:abstractNum>
  <w:abstractNum w:abstractNumId="2">
    <w:nsid w:val="42963E5A"/>
    <w:multiLevelType w:val="hybridMultilevel"/>
    <w:lvl w:ilvl="0">
      <w:lvlJc w:val="left"/>
      <w:lvlText w:val="(%1)"/>
      <w:numFmt w:val="decimal"/>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1)"/>
      <w:numFmt w:val="decimal"/>
      <w:start w:val="1"/>
    </w:lvl>
  </w:abstractNum>
  <w:abstractNum w:abstractNumId="10">
    <w:nsid w:val="6A5EE64"/>
    <w:multiLevelType w:val="hybridMultilevel"/>
    <w:lvl w:ilvl="0">
      <w:lvlJc w:val="left"/>
      <w:lvlText w:val="(%1)"/>
      <w:numFmt w:val="decimal"/>
      <w:start w:val="1"/>
    </w:lvl>
  </w:abstractNum>
  <w:abstractNum w:abstractNumId="11">
    <w:nsid w:val="14330624"/>
    <w:multiLevelType w:val="hybridMultilevel"/>
    <w:lvl w:ilvl="0">
      <w:lvlJc w:val="left"/>
      <w:lvlText w:val="(%1)"/>
      <w:numFmt w:val="decimal"/>
      <w:start w:val="3"/>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1)"/>
      <w:numFmt w:val="decimal"/>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
      <w:numFmt w:val="bullet"/>
      <w:start w:val="1"/>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1)"/>
      <w:numFmt w:val="decimal"/>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
      <w:numFmt w:val="bullet"/>
      <w:start w:val="1"/>
    </w:lvl>
  </w:abstractNum>
  <w:abstractNum w:abstractNumId="74">
    <w:nsid w:val="5C10FE21"/>
    <w:multiLevelType w:val="hybridMultilevel"/>
    <w:lvl w:ilvl="0">
      <w:lvlJc w:val="left"/>
      <w:lvlText w:val="(%1)"/>
      <w:numFmt w:val="lowerRoman"/>
      <w:start w:val="1"/>
    </w:lvl>
  </w:abstractNum>
  <w:abstractNum w:abstractNumId="75">
    <w:nsid w:val="E7FFA2B"/>
    <w:multiLevelType w:val="hybridMultilevel"/>
    <w:lvl w:ilvl="0">
      <w:lvlJc w:val="left"/>
      <w:lvlText w:val="%1)"/>
      <w:numFmt w:val="decimal"/>
      <w:start w:val="201"/>
    </w:lvl>
  </w:abstractNum>
  <w:abstractNum w:abstractNumId="76">
    <w:nsid w:val="3C5991AA"/>
    <w:multiLevelType w:val="hybridMultilevel"/>
    <w:lvl w:ilvl="0">
      <w:lvlJc w:val="left"/>
      <w:lvlText w:val="(%1)"/>
      <w:numFmt w:val="decimal"/>
      <w:start w:val="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
      <w:numFmt w:val="bullet"/>
      <w:start w:val="1"/>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
      <w:numFmt w:val="bullet"/>
      <w:start w:val="1"/>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
      <w:numFmt w:val="bullet"/>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1."/>
      <w:numFmt w:val="decimal"/>
      <w:start w:val="133"/>
    </w:lvl>
  </w:abstractNum>
  <w:abstractNum w:abstractNumId="87">
    <w:nsid w:val="1DF029D3"/>
    <w:multiLevelType w:val="hybridMultilevel"/>
    <w:lvl w:ilvl="0">
      <w:lvlJc w:val="left"/>
      <w:lvlText w:val="•"/>
      <w:numFmt w:val="bullet"/>
      <w:start w:val="1"/>
    </w:lvl>
  </w:abstractNum>
  <w:abstractNum w:abstractNumId="88">
    <w:nsid w:val="5675FF36"/>
    <w:multiLevelType w:val="hybridMultilevel"/>
    <w:lvl w:ilvl="0">
      <w:lvlJc w:val="left"/>
      <w:lvlText w:val="%1."/>
      <w:numFmt w:val="decimal"/>
      <w:start w:val="1"/>
    </w:lvl>
  </w:abstractNum>
  <w:abstractNum w:abstractNumId="89">
    <w:nsid w:val="3DD15094"/>
    <w:multiLevelType w:val="hybridMultilevel"/>
    <w:lvl w:ilvl="0">
      <w:lvlJc w:val="left"/>
      <w:lvlText w:val="%1."/>
      <w:numFmt w:val="decimal"/>
      <w:start w:val="2"/>
    </w:lvl>
  </w:abstractNum>
  <w:abstractNum w:abstractNumId="90">
    <w:nsid w:val="3DB012B3"/>
    <w:multiLevelType w:val="hybridMultilevel"/>
    <w:lvl w:ilvl="0">
      <w:lvlJc w:val="left"/>
      <w:lvlText w:val="•"/>
      <w:numFmt w:val="bullet"/>
      <w:start w:val="1"/>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1)"/>
      <w:numFmt w:val="decimal"/>
      <w:start w:val="1"/>
    </w:lvl>
  </w:abstractNum>
  <w:abstractNum w:abstractNumId="93">
    <w:nsid w:val="175DFCF0"/>
    <w:multiLevelType w:val="hybridMultilevel"/>
    <w:lvl w:ilvl="0">
      <w:lvlJc w:val="left"/>
      <w:lvlText w:val="•"/>
      <w:numFmt w:val="bullet"/>
      <w:start w:val="1"/>
    </w:lvl>
  </w:abstractNum>
  <w:abstractNum w:abstractNumId="94">
    <w:nsid w:val="4F97E3E4"/>
    <w:multiLevelType w:val="hybridMultilevel"/>
    <w:lvl w:ilvl="0">
      <w:lvlJc w:val="left"/>
      <w:lvlText w:val="•"/>
      <w:numFmt w:val="bullet"/>
      <w:start w:val="1"/>
    </w:lvl>
  </w:abstractNum>
  <w:abstractNum w:abstractNumId="95">
    <w:nsid w:val="53B0A9E"/>
    <w:multiLevelType w:val="hybridMultilevel"/>
    <w:lvl w:ilvl="0">
      <w:lvlJc w:val="left"/>
      <w:lvlText w:val="•"/>
      <w:numFmt w:val="bullet"/>
      <w:start w:val="1"/>
    </w:lvl>
  </w:abstractNum>
  <w:abstractNum w:abstractNumId="96">
    <w:nsid w:val="34FD6B4F"/>
    <w:multiLevelType w:val="hybridMultilevel"/>
    <w:lvl w:ilvl="0">
      <w:lvlJc w:val="left"/>
      <w:lvlText w:val="(%1)"/>
      <w:numFmt w:val="decimal"/>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
      <w:numFmt w:val="bullet"/>
      <w:start w:val="1"/>
    </w:lvl>
    <w:lvl w:ilvl="1">
      <w:lvlJc w:val="left"/>
      <w:lvlText w:val="•"/>
      <w:numFmt w:val="bullet"/>
      <w:start w:val="1"/>
    </w:lvl>
  </w:abstractNum>
  <w:abstractNum w:abstractNumId="99">
    <w:nsid w:val="519E3149"/>
    <w:multiLevelType w:val="hybridMultilevel"/>
    <w:lvl w:ilvl="0">
      <w:lvlJc w:val="left"/>
      <w:lvlText w:val="•"/>
      <w:numFmt w:val="bullet"/>
      <w:start w:val="1"/>
    </w:lvl>
  </w:abstractNum>
  <w:abstractNum w:abstractNumId="100">
    <w:nsid w:val="2C6E4AFD"/>
    <w:multiLevelType w:val="hybridMultilevel"/>
    <w:lvl w:ilvl="0">
      <w:lvlJc w:val="left"/>
      <w:lvlText w:val="•"/>
      <w:numFmt w:val="bullet"/>
      <w:start w:val="1"/>
    </w:lvl>
  </w:abstractNum>
  <w:abstractNum w:abstractNumId="101">
    <w:nsid w:val="17A1B582"/>
    <w:multiLevelType w:val="hybridMultilevel"/>
    <w:lvl w:ilvl="0">
      <w:lvlJc w:val="left"/>
      <w:lvlText w:val="•"/>
      <w:numFmt w:val="bullet"/>
      <w:start w:val="1"/>
    </w:lvl>
  </w:abstractNum>
  <w:abstractNum w:abstractNumId="102">
    <w:nsid w:val="4DF72E4E"/>
    <w:multiLevelType w:val="hybridMultilevel"/>
    <w:lvl w:ilvl="0">
      <w:lvlJc w:val="left"/>
      <w:lvlText w:val="•"/>
      <w:numFmt w:val="bullet"/>
      <w:start w:val="1"/>
    </w:lvl>
  </w:abstractNum>
  <w:abstractNum w:abstractNumId="103">
    <w:nsid w:val="5046B5A9"/>
    <w:multiLevelType w:val="hybridMultilevel"/>
    <w:lvl w:ilvl="0">
      <w:lvlJc w:val="left"/>
      <w:lvlText w:val="•"/>
      <w:numFmt w:val="bullet"/>
      <w:start w:val="1"/>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
      <w:numFmt w:val="bullet"/>
      <w:start w:val="1"/>
    </w:lvl>
  </w:abstractNum>
  <w:abstractNum w:abstractNumId="106">
    <w:nsid w:val="5EC6AFD4"/>
    <w:multiLevelType w:val="hybridMultilevel"/>
    <w:lvl w:ilvl="0">
      <w:lvlJc w:val="left"/>
      <w:lvlText w:val="•"/>
      <w:numFmt w:val="bullet"/>
      <w:start w:val="1"/>
    </w:lvl>
  </w:abstractNum>
  <w:abstractNum w:abstractNumId="107">
    <w:nsid w:val="19E21BB2"/>
    <w:multiLevelType w:val="hybridMultilevel"/>
    <w:lvl w:ilvl="0">
      <w:lvlJc w:val="left"/>
      <w:lvlText w:val="•"/>
      <w:numFmt w:val="bullet"/>
      <w:start w:val="1"/>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
      <w:numFmt w:val="bullet"/>
      <w:start w:val="1"/>
    </w:lvl>
  </w:abstractNum>
  <w:abstractNum w:abstractNumId="114">
    <w:nsid w:val="2157F6BC"/>
    <w:multiLevelType w:val="hybridMultilevel"/>
    <w:lvl w:ilvl="0">
      <w:lvlJc w:val="left"/>
      <w:lvlText w:val="•"/>
      <w:numFmt w:val="bullet"/>
      <w:start w:val="1"/>
    </w:lvl>
  </w:abstractNum>
  <w:abstractNum w:abstractNumId="115">
    <w:nsid w:val="704E1DD5"/>
    <w:multiLevelType w:val="hybridMultilevel"/>
    <w:lvl w:ilvl="0">
      <w:lvlJc w:val="left"/>
      <w:lvlText w:val="(%1)"/>
      <w:numFmt w:val="decimal"/>
      <w:start w:val="1"/>
    </w:lvl>
  </w:abstractNum>
  <w:abstractNum w:abstractNumId="116">
    <w:nsid w:val="57D2F10E"/>
    <w:multiLevelType w:val="hybridMultilevel"/>
    <w:lvl w:ilvl="0">
      <w:lvlJc w:val="left"/>
      <w:lvlText w:val="(%1)"/>
      <w:numFmt w:val="decimal"/>
      <w:start w:val="3"/>
    </w:lvl>
  </w:abstractNum>
  <w:abstractNum w:abstractNumId="117">
    <w:nsid w:val="BFFAE18"/>
    <w:multiLevelType w:val="hybridMultilevel"/>
    <w:lvl w:ilvl="0">
      <w:lvlJc w:val="left"/>
      <w:lvlText w:val="•"/>
      <w:numFmt w:val="bullet"/>
      <w:start w:val="1"/>
    </w:lvl>
    <w:lvl w:ilvl="1">
      <w:lvlJc w:val="left"/>
      <w:lvlText w:val="(%2)"/>
      <w:numFmt w:val="decimal"/>
      <w:start w:val="3"/>
    </w:lvl>
  </w:abstractNum>
  <w:abstractNum w:abstractNumId="118">
    <w:nsid w:val="E3E47A8"/>
    <w:multiLevelType w:val="hybridMultilevel"/>
    <w:lvl w:ilvl="0">
      <w:lvlJc w:val="left"/>
      <w:lvlText w:val="•"/>
      <w:numFmt w:val="bullet"/>
      <w:start w:val="1"/>
    </w:lvl>
    <w:lvl w:ilvl="1">
      <w:lvlJc w:val="left"/>
      <w:lvlText w:val="(%2)"/>
      <w:numFmt w:val="decimal"/>
      <w:start w:val="10"/>
    </w:lvl>
  </w:abstractNum>
  <w:abstractNum w:abstractNumId="119">
    <w:nsid w:val="2E48F044"/>
    <w:multiLevelType w:val="hybridMultilevel"/>
    <w:lvl w:ilvl="0">
      <w:lvlJc w:val="left"/>
      <w:lvlText w:val="(%1)"/>
      <w:numFmt w:val="decimal"/>
      <w:start w:val="1"/>
    </w:lvl>
  </w:abstractNum>
  <w:abstractNum w:abstractNumId="120">
    <w:nsid w:val="49D0FEAC"/>
    <w:multiLevelType w:val="hybridMultilevel"/>
    <w:lvl w:ilvl="0">
      <w:lvlJc w:val="left"/>
      <w:lvlText w:val="(%1)"/>
      <w:numFmt w:val="decimal"/>
      <w:start w:val="3"/>
    </w:lvl>
  </w:abstractNum>
  <w:abstractNum w:abstractNumId="121">
    <w:nsid w:val="4BEE5A5B"/>
    <w:multiLevelType w:val="hybridMultilevel"/>
    <w:lvl w:ilvl="0">
      <w:lvlJc w:val="left"/>
      <w:lvlText w:val="(%1)"/>
      <w:numFmt w:val="lowerRoman"/>
      <w:start w:val="1"/>
    </w:lvl>
  </w:abstractNum>
  <w:abstractNum w:abstractNumId="122">
    <w:nsid w:val="5551B9F3"/>
    <w:multiLevelType w:val="hybridMultilevel"/>
    <w:lvl w:ilvl="0">
      <w:lvlJc w:val="left"/>
      <w:lvlText w:val="•"/>
      <w:numFmt w:val="bullet"/>
      <w:start w:val="1"/>
    </w:lvl>
  </w:abstractNum>
  <w:abstractNum w:abstractNumId="123">
    <w:nsid w:val="24F6AB8E"/>
    <w:multiLevelType w:val="hybridMultilevel"/>
    <w:lvl w:ilvl="0">
      <w:lvlJc w:val="left"/>
      <w:lvlText w:val="(%1)"/>
      <w:numFmt w:val="decimal"/>
      <w:start w:val="1"/>
    </w:lvl>
  </w:abstractNum>
  <w:abstractNum w:abstractNumId="124">
    <w:nsid w:val="634C574C"/>
    <w:multiLevelType w:val="hybridMultilevel"/>
    <w:lvl w:ilvl="0">
      <w:lvlJc w:val="left"/>
      <w:lvlText w:val="•"/>
      <w:numFmt w:val="bullet"/>
      <w:start w:val="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1)"/>
      <w:numFmt w:val="decimal"/>
      <w:start w:val="1"/>
    </w:lvl>
  </w:abstractNum>
  <w:abstractNum w:abstractNumId="127">
    <w:nsid w:val="1849C29B"/>
    <w:multiLevelType w:val="hybridMultilevel"/>
    <w:lvl w:ilvl="0">
      <w:lvlJc w:val="left"/>
      <w:lvlText w:val="(%1)"/>
      <w:numFmt w:val="decimal"/>
      <w:start w:val="2"/>
    </w:lvl>
  </w:abstractNum>
  <w:abstractNum w:abstractNumId="128">
    <w:nsid w:val="7DFF9D09"/>
    <w:multiLevelType w:val="hybridMultilevel"/>
    <w:lvl w:ilvl="0">
      <w:lvlJc w:val="left"/>
      <w:lvlText w:val="•"/>
      <w:numFmt w:val="bullet"/>
      <w:start w:val="1"/>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
      <w:numFmt w:val="bullet"/>
      <w:start w:val="1"/>
    </w:lvl>
  </w:abstractNum>
  <w:abstractNum w:abstractNumId="131">
    <w:nsid w:val="2A6DE806"/>
    <w:multiLevelType w:val="hybridMultilevel"/>
    <w:lvl w:ilvl="0">
      <w:lvlJc w:val="left"/>
      <w:lvlText w:val="•"/>
      <w:numFmt w:val="bullet"/>
      <w:start w:val="1"/>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
      <w:numFmt w:val="bullet"/>
      <w:start w:val="1"/>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
      <w:numFmt w:val="bullet"/>
      <w:start w:val="1"/>
    </w:lvl>
  </w:abstractNum>
  <w:abstractNum w:abstractNumId="136">
    <w:nsid w:val="61E74EA3"/>
    <w:multiLevelType w:val="hybridMultilevel"/>
    <w:lvl w:ilvl="0">
      <w:lvlJc w:val="left"/>
      <w:lvlText w:val="(%1)"/>
      <w:numFmt w:val="lowerLetter"/>
      <w:start w:val="1"/>
    </w:lvl>
  </w:abstractNum>
  <w:abstractNum w:abstractNumId="137">
    <w:nsid w:val="597B4D84"/>
    <w:multiLevelType w:val="hybridMultilevel"/>
    <w:lvl w:ilvl="0">
      <w:lvlJc w:val="left"/>
      <w:lvlText w:val="(%1)"/>
      <w:numFmt w:val="lowerLetter"/>
      <w:start w:val="1"/>
    </w:lvl>
  </w:abstractNum>
  <w:abstractNum w:abstractNumId="138">
    <w:nsid w:val="F819E7F"/>
    <w:multiLevelType w:val="hybridMultilevel"/>
    <w:lvl w:ilvl="0">
      <w:lvlJc w:val="left"/>
      <w:lvlText w:val="(%1)"/>
      <w:numFmt w:val="lowerLetter"/>
      <w:start w:val="1"/>
    </w:lvl>
  </w:abstractNum>
  <w:abstractNum w:abstractNumId="139">
    <w:nsid w:val="57C7D42D"/>
    <w:multiLevelType w:val="hybridMultilevel"/>
    <w:lvl w:ilvl="0">
      <w:lvlJc w:val="left"/>
      <w:lvlText w:val="[%1]"/>
      <w:numFmt w:val="decimal"/>
      <w:start w:val="1"/>
    </w:lvl>
  </w:abstractNum>
  <w:abstractNum w:abstractNumId="140">
    <w:nsid w:val="312167AD"/>
    <w:multiLevelType w:val="hybridMultilevel"/>
    <w:lvl w:ilvl="0">
      <w:lvlJc w:val="left"/>
      <w:lvlText w:val="[%1]"/>
      <w:numFmt w:val="decimal"/>
      <w:start w:val="5"/>
    </w:lvl>
  </w:abstractNum>
  <w:abstractNum w:abstractNumId="141">
    <w:nsid w:val="631B64D4"/>
    <w:multiLevelType w:val="hybridMultilevel"/>
    <w:lvl w:ilvl="0">
      <w:lvlJc w:val="left"/>
      <w:lvlText w:val="*"/>
      <w:numFmt w:val="bullet"/>
      <w:start w:val="1"/>
    </w:lvl>
  </w:abstractNum>
  <w:abstractNum w:abstractNumId="142">
    <w:nsid w:val="78B5E776"/>
    <w:multiLevelType w:val="hybridMultilevel"/>
    <w:lvl w:ilvl="0">
      <w:lvlJc w:val="left"/>
      <w:lvlText w:val="$"/>
      <w:numFmt w:val="bullet"/>
      <w:start w:val="1"/>
    </w:lvl>
  </w:abstractNum>
  <w:abstractNum w:abstractNumId="143">
    <w:nsid w:val="75486E47"/>
    <w:multiLevelType w:val="hybridMultilevel"/>
    <w:lvl w:ilvl="0">
      <w:lvlJc w:val="left"/>
      <w:lvlText w:val="$"/>
      <w:numFmt w:val="bullet"/>
      <w:start w:val="1"/>
    </w:lvl>
  </w:abstractNum>
  <w:abstractNum w:abstractNumId="144">
    <w:nsid w:val="6E534CDE"/>
    <w:multiLevelType w:val="hybridMultilevel"/>
    <w:lvl w:ilvl="0">
      <w:lvlJc w:val="left"/>
      <w:lvlText w:val="(%1)"/>
      <w:numFmt w:val="lowerLetter"/>
      <w:start w:val="1"/>
    </w:lvl>
  </w:abstractNum>
  <w:abstractNum w:abstractNumId="145">
    <w:nsid w:val="1A0DDE32"/>
    <w:multiLevelType w:val="hybridMultilevel"/>
    <w:lvl w:ilvl="0">
      <w:lvlJc w:val="left"/>
      <w:lvlText w:val="(%1)"/>
      <w:numFmt w:val="lowerLetter"/>
      <w:start w:val="3"/>
    </w:lvl>
  </w:abstractNum>
  <w:abstractNum w:abstractNumId="146">
    <w:nsid w:val="65968C1C"/>
    <w:multiLevelType w:val="hybridMultilevel"/>
    <w:lvl w:ilvl="0">
      <w:lvlJc w:val="left"/>
      <w:lvlText w:val="(%1)"/>
      <w:numFmt w:val="lowerLetter"/>
      <w:start w:val="1"/>
    </w:lvl>
  </w:abstractNum>
  <w:abstractNum w:abstractNumId="147">
    <w:nsid w:val="46263DEC"/>
    <w:multiLevelType w:val="hybridMultilevel"/>
    <w:lvl w:ilvl="0">
      <w:lvlJc w:val="left"/>
      <w:lvlText w:val="(%1)"/>
      <w:numFmt w:val="lowerLetter"/>
      <w:start w:val="1"/>
    </w:lvl>
  </w:abstractNum>
  <w:abstractNum w:abstractNumId="148">
    <w:nsid w:val="260D8C4A"/>
    <w:multiLevelType w:val="hybridMultilevel"/>
    <w:lvl w:ilvl="0">
      <w:lvlJc w:val="left"/>
      <w:lvlText w:val="(%1)"/>
      <w:numFmt w:val="lowerLetter"/>
      <w:start w:val="2"/>
    </w:lvl>
    <w:lvl w:ilvl="1">
      <w:lvlJc w:val="left"/>
      <w:lvlText w:val="(%2)"/>
      <w:numFmt w:val="decimal"/>
      <w:start w:val="1"/>
    </w:lvl>
  </w:abstractNum>
  <w:abstractNum w:abstractNumId="149">
    <w:nsid w:val="73D4D3C4"/>
    <w:multiLevelType w:val="hybridMultilevel"/>
    <w:lvl w:ilvl="0">
      <w:lvlJc w:val="left"/>
      <w:lvlText w:val="*"/>
      <w:numFmt w:val="bullet"/>
      <w:start w:val="1"/>
    </w:lvl>
  </w:abstractNum>
  <w:abstractNum w:abstractNumId="150">
    <w:nsid w:val="746F2E30"/>
    <w:multiLevelType w:val="hybridMultilevel"/>
    <w:lvl w:ilvl="0">
      <w:lvlJc w:val="left"/>
      <w:lvlText w:val="+"/>
      <w:numFmt w:val="bullet"/>
      <w:start w:val="1"/>
    </w:lvl>
  </w:abstractNum>
  <w:abstractNum w:abstractNumId="151">
    <w:nsid w:val="6FDE8AF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2019-12-08T17:59:07Z</dcterms:created>
  <dcterms:modified xsi:type="dcterms:W3CDTF">2019-12-08T17:59:07Z</dcterms:modified>
</cp:coreProperties>
</file>