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(RULE 13d-101)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RULE 13d-1(a)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 AMENDMENTS THERETO FILED PURSUANT TO RULE 13d-2(a)</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Y-mAbs 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984241109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Nathalie Auber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Sofinnova Investments,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3000 Sand Hill Road, Bldg 4, Suite 250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Menlo Park, CA 94025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681-8420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Jonathan Goodwin,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 Gunderson Dettmer Stough Villeneuve Franklin &amp; Hachigian,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550 Allerton Street, Redwood City, CA 94063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321-2400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4,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240.13d-7 for other parties to whom copies are to be sent.</w:t>
      </w:r>
    </w:p>
    <w:p>
      <w:pPr>
        <w:spacing w:after="0" w:line="17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This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CUSIP NO. 984241109</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ind w:left="1960"/>
              <w:spacing w:after="0"/>
              <w:rPr>
                <w:sz w:val="20"/>
                <w:szCs w:val="20"/>
                <w:color w:val="auto"/>
              </w:rPr>
            </w:pPr>
            <w:r>
              <w:rPr>
                <w:rFonts w:ascii="Arial" w:cs="Arial" w:eastAsia="Arial" w:hAnsi="Arial"/>
                <w:sz w:val="18"/>
                <w:szCs w:val="18"/>
                <w:color w:val="auto"/>
              </w:rPr>
              <w:t>13D</w:t>
            </w:r>
          </w:p>
        </w:tc>
        <w:tc>
          <w:tcPr>
            <w:tcW w:w="1400" w:type="dxa"/>
            <w:vAlign w:val="bottom"/>
          </w:tcPr>
          <w:p>
            <w:pPr>
              <w:spacing w:after="0"/>
              <w:rPr>
                <w:sz w:val="20"/>
                <w:szCs w:val="20"/>
                <w:color w:val="auto"/>
              </w:rPr>
            </w:pPr>
          </w:p>
        </w:tc>
        <w:tc>
          <w:tcPr>
            <w:tcW w:w="1420" w:type="dxa"/>
            <w:vAlign w:val="bottom"/>
          </w:tcPr>
          <w:p>
            <w:pPr>
              <w:ind w:left="520"/>
              <w:spacing w:after="0"/>
              <w:rPr>
                <w:sz w:val="20"/>
                <w:szCs w:val="20"/>
                <w:color w:val="auto"/>
              </w:rPr>
            </w:pPr>
            <w:r>
              <w:rPr>
                <w:rFonts w:ascii="Arial" w:cs="Arial" w:eastAsia="Arial" w:hAnsi="Arial"/>
                <w:sz w:val="18"/>
                <w:szCs w:val="18"/>
                <w:color w:val="auto"/>
                <w:w w:val="84"/>
              </w:rPr>
              <w:t>Page 2 of 13</w:t>
            </w: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5"/>
              </w:rPr>
              <w:t>NAME OF REPORTING PERSON</w:t>
            </w:r>
          </w:p>
        </w:tc>
        <w:tc>
          <w:tcPr>
            <w:tcW w:w="4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14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7600" w:type="dxa"/>
            <w:vAlign w:val="bottom"/>
            <w:gridSpan w:val="4"/>
          </w:tcPr>
          <w:p>
            <w:pPr>
              <w:ind w:left="800"/>
              <w:spacing w:after="0"/>
              <w:rPr>
                <w:sz w:val="20"/>
                <w:szCs w:val="20"/>
                <w:color w:val="auto"/>
              </w:rPr>
            </w:pPr>
            <w:r>
              <w:rPr>
                <w:rFonts w:ascii="Arial" w:cs="Arial" w:eastAsia="Arial" w:hAnsi="Arial"/>
                <w:sz w:val="18"/>
                <w:szCs w:val="18"/>
                <w:color w:val="auto"/>
              </w:rPr>
              <w:t>Sofinnova Venture Partners X, L.P. (“SVP X”)</w:t>
            </w:r>
          </w:p>
        </w:tc>
        <w:tc>
          <w:tcPr>
            <w:tcW w:w="140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900" w:type="dxa"/>
            <w:vAlign w:val="bottom"/>
            <w:tcBorders>
              <w:bottom w:val="single" w:sz="8" w:color="auto"/>
            </w:tcBorders>
            <w:gridSpan w:val="2"/>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340" w:type="dxa"/>
            <w:vAlign w:val="bottom"/>
            <w:tcBorders>
              <w:right w:val="single" w:sz="8" w:color="auto"/>
            </w:tcBorders>
          </w:tcPr>
          <w:p>
            <w:pPr>
              <w:spacing w:after="0"/>
              <w:rPr>
                <w:sz w:val="24"/>
                <w:szCs w:val="24"/>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400" w:type="dxa"/>
            <w:vAlign w:val="bottom"/>
          </w:tcPr>
          <w:p>
            <w:pPr>
              <w:ind w:left="4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340" w:type="dxa"/>
            <w:vAlign w:val="bottom"/>
            <w:tcBorders>
              <w:right w:val="single" w:sz="8" w:color="auto"/>
            </w:tcBorders>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auto"/>
            </w:tcBorders>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20" w:type="dxa"/>
            <w:vAlign w:val="bottom"/>
          </w:tcPr>
          <w:p>
            <w:pPr>
              <w:ind w:left="760"/>
              <w:spacing w:after="0"/>
              <w:rPr>
                <w:sz w:val="20"/>
                <w:szCs w:val="20"/>
                <w:color w:val="auto"/>
              </w:rPr>
            </w:pPr>
            <w:r>
              <w:rPr>
                <w:rFonts w:ascii="Arial" w:cs="Arial" w:eastAsia="Arial" w:hAnsi="Arial"/>
                <w:sz w:val="18"/>
                <w:szCs w:val="18"/>
                <w:color w:val="auto"/>
              </w:rPr>
              <w:t>WC</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gridSpan w:val="3"/>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340" w:type="dxa"/>
            <w:vAlign w:val="bottom"/>
            <w:tcBorders>
              <w:right w:val="single" w:sz="8" w:color="auto"/>
            </w:tcBorders>
          </w:tcPr>
          <w:p>
            <w:pPr>
              <w:spacing w:after="0"/>
              <w:rPr>
                <w:sz w:val="24"/>
                <w:szCs w:val="24"/>
                <w:color w:val="auto"/>
              </w:rPr>
            </w:pPr>
          </w:p>
        </w:tc>
        <w:tc>
          <w:tcPr>
            <w:tcW w:w="9000" w:type="dxa"/>
            <w:vAlign w:val="bottom"/>
            <w:gridSpan w:val="5"/>
          </w:tcPr>
          <w:p>
            <w:pPr>
              <w:ind w:left="100"/>
              <w:spacing w:after="0" w:line="207" w:lineRule="exact"/>
              <w:rPr>
                <w:sz w:val="20"/>
                <w:szCs w:val="20"/>
                <w:color w:val="auto"/>
              </w:rPr>
            </w:pPr>
            <w:r>
              <w:rPr>
                <w:rFonts w:ascii="Arial" w:cs="Arial" w:eastAsia="Arial" w:hAnsi="Arial"/>
                <w:sz w:val="18"/>
                <w:szCs w:val="18"/>
                <w:color w:val="auto"/>
                <w:w w:val="98"/>
              </w:rPr>
              <w:t xml:space="preserve">CHECK BOX IF DISCLOSURE OF LEGAL PROCEEDINGS IS REQUIRED PURSUANT TO ITEM 2(d) or 2(e) </w:t>
            </w:r>
            <w:r>
              <w:rPr>
                <w:rFonts w:ascii="MS PGothic" w:cs="MS PGothic" w:eastAsia="MS PGothic" w:hAnsi="MS PGothic"/>
                <w:sz w:val="18"/>
                <w:szCs w:val="18"/>
                <w:color w:val="auto"/>
                <w:w w:val="98"/>
              </w:rPr>
              <w:t>☐</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900" w:type="dxa"/>
            <w:vAlign w:val="bottom"/>
            <w:tcBorders>
              <w:bottom w:val="single" w:sz="8" w:color="auto"/>
            </w:tcBorders>
            <w:gridSpan w:val="2"/>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340" w:type="dxa"/>
            <w:vAlign w:val="bottom"/>
            <w:tcBorders>
              <w:right w:val="single" w:sz="8" w:color="auto"/>
            </w:tcBorders>
          </w:tcPr>
          <w:p>
            <w:pPr>
              <w:spacing w:after="0"/>
              <w:rPr>
                <w:sz w:val="24"/>
                <w:szCs w:val="24"/>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   Delaware</w:t>
            </w: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2,194,278 shares, except that Sofinnova Management X, L.L.C. (“SM X”), the general partner of SVP</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X, may be deemed to have sole voting power, and Dr. James I. Healy (“Healy”) and Dr. Maha Katabi</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(“Katabi”), the managing members of SM X, may be deemed to have shared power to vote these shares.</w:t>
            </w: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REPORTING</w:t>
            </w:r>
          </w:p>
        </w:tc>
        <w:tc>
          <w:tcPr>
            <w:tcW w:w="6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8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See response to row 7.</w:t>
            </w:r>
          </w:p>
        </w:tc>
        <w:tc>
          <w:tcPr>
            <w:tcW w:w="140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2,194,278 shares, except that SM X, the general partner of SVP X, may be deemed to have sole</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dispositive power, and Healy and Katabi, the managing members of SM X, may be deemed to have</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shared power to dispose of these shares.</w:t>
            </w:r>
          </w:p>
        </w:tc>
        <w:tc>
          <w:tcPr>
            <w:tcW w:w="140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See response to row 9.</w:t>
            </w:r>
          </w:p>
        </w:tc>
        <w:tc>
          <w:tcPr>
            <w:tcW w:w="140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900" w:type="dxa"/>
            <w:vAlign w:val="bottom"/>
            <w:tcBorders>
              <w:bottom w:val="single" w:sz="8" w:color="auto"/>
            </w:tcBorders>
            <w:gridSpan w:val="2"/>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340" w:type="dxa"/>
            <w:vAlign w:val="bottom"/>
            <w:tcBorders>
              <w:right w:val="single" w:sz="8" w:color="auto"/>
            </w:tcBorders>
          </w:tcPr>
          <w:p>
            <w:pPr>
              <w:spacing w:after="0"/>
              <w:rPr>
                <w:sz w:val="24"/>
                <w:szCs w:val="24"/>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2,194,278</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7600" w:type="dxa"/>
            <w:vAlign w:val="bottom"/>
            <w:tcBorders>
              <w:bottom w:val="single" w:sz="8" w:color="auto"/>
            </w:tcBorders>
            <w:gridSpan w:val="4"/>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340" w:type="dxa"/>
            <w:vAlign w:val="bottom"/>
            <w:tcBorders>
              <w:right w:val="single" w:sz="8" w:color="auto"/>
            </w:tcBorders>
          </w:tcPr>
          <w:p>
            <w:pPr>
              <w:spacing w:after="0"/>
              <w:rPr>
                <w:sz w:val="24"/>
                <w:szCs w:val="24"/>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400" w:type="dxa"/>
            <w:vAlign w:val="bottom"/>
          </w:tcPr>
          <w:p>
            <w:pPr>
              <w:spacing w:after="0"/>
              <w:rPr>
                <w:sz w:val="24"/>
                <w:szCs w:val="24"/>
                <w:color w:val="auto"/>
              </w:rPr>
            </w:pPr>
          </w:p>
        </w:tc>
        <w:tc>
          <w:tcPr>
            <w:tcW w:w="1420" w:type="dxa"/>
            <w:vAlign w:val="bottom"/>
            <w:tcBorders>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7600" w:type="dxa"/>
            <w:vAlign w:val="bottom"/>
            <w:tcBorders>
              <w:bottom w:val="single" w:sz="8" w:color="auto"/>
            </w:tcBorders>
            <w:gridSpan w:val="4"/>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340" w:type="dxa"/>
            <w:vAlign w:val="bottom"/>
            <w:tcBorders>
              <w:right w:val="single" w:sz="8" w:color="auto"/>
            </w:tcBorders>
          </w:tcPr>
          <w:p>
            <w:pPr>
              <w:spacing w:after="0"/>
              <w:rPr>
                <w:sz w:val="24"/>
                <w:szCs w:val="24"/>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740" w:type="dxa"/>
            <w:vAlign w:val="bottom"/>
            <w:tcBorders>
              <w:bottom w:val="single" w:sz="8" w:color="auto"/>
            </w:tcBorders>
            <w:gridSpan w:val="3"/>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4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CUSIP NO. 984241109</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40" w:type="dxa"/>
            <w:vAlign w:val="bottom"/>
          </w:tcPr>
          <w:p>
            <w:pPr>
              <w:ind w:left="1960"/>
              <w:spacing w:after="0"/>
              <w:rPr>
                <w:sz w:val="20"/>
                <w:szCs w:val="20"/>
                <w:color w:val="auto"/>
              </w:rPr>
            </w:pPr>
            <w:r>
              <w:rPr>
                <w:rFonts w:ascii="Arial" w:cs="Arial" w:eastAsia="Arial" w:hAnsi="Arial"/>
                <w:sz w:val="18"/>
                <w:szCs w:val="18"/>
                <w:color w:val="auto"/>
              </w:rPr>
              <w:t>13D</w:t>
            </w:r>
          </w:p>
        </w:tc>
        <w:tc>
          <w:tcPr>
            <w:tcW w:w="1320" w:type="dxa"/>
            <w:vAlign w:val="bottom"/>
          </w:tcPr>
          <w:p>
            <w:pPr>
              <w:spacing w:after="0"/>
              <w:rPr>
                <w:sz w:val="20"/>
                <w:szCs w:val="20"/>
                <w:color w:val="auto"/>
              </w:rPr>
            </w:pPr>
          </w:p>
        </w:tc>
        <w:tc>
          <w:tcPr>
            <w:tcW w:w="1420" w:type="dxa"/>
            <w:vAlign w:val="bottom"/>
          </w:tcPr>
          <w:p>
            <w:pPr>
              <w:ind w:left="520"/>
              <w:spacing w:after="0"/>
              <w:rPr>
                <w:sz w:val="20"/>
                <w:szCs w:val="20"/>
                <w:color w:val="auto"/>
              </w:rPr>
            </w:pPr>
            <w:r>
              <w:rPr>
                <w:rFonts w:ascii="Arial" w:cs="Arial" w:eastAsia="Arial" w:hAnsi="Arial"/>
                <w:sz w:val="18"/>
                <w:szCs w:val="18"/>
                <w:color w:val="auto"/>
                <w:w w:val="84"/>
              </w:rPr>
              <w:t>Page 3 of 13</w:t>
            </w: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5"/>
              </w:rPr>
              <w:t>NAME OF REPORTING PERSON</w:t>
            </w:r>
          </w:p>
        </w:tc>
        <w:tc>
          <w:tcPr>
            <w:tcW w:w="4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680" w:type="dxa"/>
            <w:vAlign w:val="bottom"/>
            <w:gridSpan w:val="4"/>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13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7680" w:type="dxa"/>
            <w:vAlign w:val="bottom"/>
            <w:gridSpan w:val="4"/>
          </w:tcPr>
          <w:p>
            <w:pPr>
              <w:ind w:left="800"/>
              <w:spacing w:after="0"/>
              <w:rPr>
                <w:sz w:val="20"/>
                <w:szCs w:val="20"/>
                <w:color w:val="auto"/>
              </w:rPr>
            </w:pPr>
            <w:r>
              <w:rPr>
                <w:rFonts w:ascii="Arial" w:cs="Arial" w:eastAsia="Arial" w:hAnsi="Arial"/>
                <w:sz w:val="18"/>
                <w:szCs w:val="18"/>
                <w:color w:val="auto"/>
              </w:rPr>
              <w:t>Sofinnova Management X, L.L.C. (“SM X”)</w:t>
            </w:r>
          </w:p>
        </w:tc>
        <w:tc>
          <w:tcPr>
            <w:tcW w:w="132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98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340" w:type="dxa"/>
            <w:vAlign w:val="bottom"/>
            <w:tcBorders>
              <w:right w:val="single" w:sz="8" w:color="auto"/>
            </w:tcBorders>
          </w:tcPr>
          <w:p>
            <w:pPr>
              <w:spacing w:after="0"/>
              <w:rPr>
                <w:sz w:val="24"/>
                <w:szCs w:val="24"/>
                <w:color w:val="auto"/>
              </w:rPr>
            </w:pPr>
          </w:p>
        </w:tc>
        <w:tc>
          <w:tcPr>
            <w:tcW w:w="768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320" w:type="dxa"/>
            <w:vAlign w:val="bottom"/>
          </w:tcPr>
          <w:p>
            <w:pPr>
              <w:ind w:left="3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9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340" w:type="dxa"/>
            <w:vAlign w:val="bottom"/>
            <w:tcBorders>
              <w:right w:val="single" w:sz="8" w:color="auto"/>
            </w:tcBorders>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auto"/>
            </w:tcBorders>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20" w:type="dxa"/>
            <w:vAlign w:val="bottom"/>
          </w:tcPr>
          <w:p>
            <w:pPr>
              <w:ind w:left="760"/>
              <w:spacing w:after="0"/>
              <w:rPr>
                <w:sz w:val="20"/>
                <w:szCs w:val="20"/>
                <w:color w:val="auto"/>
              </w:rPr>
            </w:pPr>
            <w:r>
              <w:rPr>
                <w:rFonts w:ascii="Arial" w:cs="Arial" w:eastAsia="Arial" w:hAnsi="Arial"/>
                <w:sz w:val="18"/>
                <w:szCs w:val="18"/>
                <w:color w:val="auto"/>
              </w:rPr>
              <w:t>AF</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gridSpan w:val="3"/>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340" w:type="dxa"/>
            <w:vAlign w:val="bottom"/>
            <w:tcBorders>
              <w:right w:val="single" w:sz="8" w:color="auto"/>
            </w:tcBorders>
          </w:tcPr>
          <w:p>
            <w:pPr>
              <w:spacing w:after="0"/>
              <w:rPr>
                <w:sz w:val="24"/>
                <w:szCs w:val="24"/>
                <w:color w:val="auto"/>
              </w:rPr>
            </w:pPr>
          </w:p>
        </w:tc>
        <w:tc>
          <w:tcPr>
            <w:tcW w:w="9000" w:type="dxa"/>
            <w:vAlign w:val="bottom"/>
            <w:gridSpan w:val="5"/>
          </w:tcPr>
          <w:p>
            <w:pPr>
              <w:ind w:left="100"/>
              <w:spacing w:after="0" w:line="207" w:lineRule="exact"/>
              <w:rPr>
                <w:sz w:val="20"/>
                <w:szCs w:val="20"/>
                <w:color w:val="auto"/>
              </w:rPr>
            </w:pPr>
            <w:r>
              <w:rPr>
                <w:rFonts w:ascii="Arial" w:cs="Arial" w:eastAsia="Arial" w:hAnsi="Arial"/>
                <w:sz w:val="18"/>
                <w:szCs w:val="18"/>
                <w:color w:val="auto"/>
                <w:w w:val="98"/>
              </w:rPr>
              <w:t xml:space="preserve">CHECK BOX IF DISCLOSURE OF LEGAL PROCEEDINGS IS REQUIRED PURSUANT TO ITEM 2(d) or 2(e) </w:t>
            </w:r>
            <w:r>
              <w:rPr>
                <w:rFonts w:ascii="MS PGothic" w:cs="MS PGothic" w:eastAsia="MS PGothic" w:hAnsi="MS PGothic"/>
                <w:sz w:val="18"/>
                <w:szCs w:val="18"/>
                <w:color w:val="auto"/>
                <w:w w:val="98"/>
              </w:rPr>
              <w:t>☐</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980" w:type="dxa"/>
            <w:vAlign w:val="bottom"/>
            <w:tcBorders>
              <w:bottom w:val="single" w:sz="8" w:color="auto"/>
            </w:tcBorders>
            <w:gridSpan w:val="2"/>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340" w:type="dxa"/>
            <w:vAlign w:val="bottom"/>
            <w:tcBorders>
              <w:right w:val="single" w:sz="8" w:color="auto"/>
            </w:tcBorders>
          </w:tcPr>
          <w:p>
            <w:pPr>
              <w:spacing w:after="0"/>
              <w:rPr>
                <w:sz w:val="24"/>
                <w:szCs w:val="24"/>
                <w:color w:val="auto"/>
              </w:rPr>
            </w:pPr>
          </w:p>
        </w:tc>
        <w:tc>
          <w:tcPr>
            <w:tcW w:w="76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   Delaware</w:t>
            </w:r>
          </w:p>
        </w:tc>
        <w:tc>
          <w:tcPr>
            <w:tcW w:w="13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3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2,194,278 shares, all of which are owned directly by SVP X. SM X, the general partner of SVP X, may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be deemed to have sole voting power, and Healy and Katabi, the managing members of SM X, may be</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deemed to have shared power to vote these shares.</w:t>
            </w:r>
          </w:p>
        </w:tc>
        <w:tc>
          <w:tcPr>
            <w:tcW w:w="13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REPORTING</w:t>
            </w:r>
          </w:p>
        </w:tc>
        <w:tc>
          <w:tcPr>
            <w:tcW w:w="6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3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See response to row 7.</w:t>
            </w:r>
          </w:p>
        </w:tc>
        <w:tc>
          <w:tcPr>
            <w:tcW w:w="132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13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2,194,278 shares, all of which are owned directly by SVP X. SM X, the general partner of SVP X, may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be deemed to have sole dispositive power, and Healy and Katabi, the managing members of SM X, may</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w w:val="95"/>
              </w:rPr>
              <w:t>be deemed to have shared dispositive power over these shares.</w:t>
            </w:r>
          </w:p>
        </w:tc>
        <w:tc>
          <w:tcPr>
            <w:tcW w:w="132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3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See response to row 9.</w:t>
            </w:r>
          </w:p>
        </w:tc>
        <w:tc>
          <w:tcPr>
            <w:tcW w:w="132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98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340" w:type="dxa"/>
            <w:vAlign w:val="bottom"/>
            <w:tcBorders>
              <w:right w:val="single" w:sz="8" w:color="auto"/>
            </w:tcBorders>
          </w:tcPr>
          <w:p>
            <w:pPr>
              <w:spacing w:after="0"/>
              <w:rPr>
                <w:sz w:val="24"/>
                <w:szCs w:val="24"/>
                <w:color w:val="auto"/>
              </w:rPr>
            </w:pPr>
          </w:p>
        </w:tc>
        <w:tc>
          <w:tcPr>
            <w:tcW w:w="768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32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2,194,278</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7680" w:type="dxa"/>
            <w:vAlign w:val="bottom"/>
            <w:tcBorders>
              <w:bottom w:val="single" w:sz="8" w:color="auto"/>
            </w:tcBorders>
            <w:gridSpan w:val="4"/>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340" w:type="dxa"/>
            <w:vAlign w:val="bottom"/>
            <w:tcBorders>
              <w:right w:val="single" w:sz="8" w:color="auto"/>
            </w:tcBorders>
          </w:tcPr>
          <w:p>
            <w:pPr>
              <w:spacing w:after="0"/>
              <w:rPr>
                <w:sz w:val="24"/>
                <w:szCs w:val="24"/>
                <w:color w:val="auto"/>
              </w:rPr>
            </w:pPr>
          </w:p>
        </w:tc>
        <w:tc>
          <w:tcPr>
            <w:tcW w:w="768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20" w:type="dxa"/>
            <w:vAlign w:val="bottom"/>
          </w:tcPr>
          <w:p>
            <w:pPr>
              <w:spacing w:after="0"/>
              <w:rPr>
                <w:sz w:val="24"/>
                <w:szCs w:val="24"/>
                <w:color w:val="auto"/>
              </w:rPr>
            </w:pPr>
          </w:p>
        </w:tc>
        <w:tc>
          <w:tcPr>
            <w:tcW w:w="1420" w:type="dxa"/>
            <w:vAlign w:val="bottom"/>
            <w:tcBorders>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7680" w:type="dxa"/>
            <w:vAlign w:val="bottom"/>
            <w:tcBorders>
              <w:bottom w:val="single" w:sz="8" w:color="auto"/>
            </w:tcBorders>
            <w:gridSpan w:val="4"/>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340" w:type="dxa"/>
            <w:vAlign w:val="bottom"/>
            <w:tcBorders>
              <w:right w:val="single" w:sz="8" w:color="auto"/>
            </w:tcBorders>
          </w:tcPr>
          <w:p>
            <w:pPr>
              <w:spacing w:after="0"/>
              <w:rPr>
                <w:sz w:val="24"/>
                <w:szCs w:val="24"/>
                <w:color w:val="auto"/>
              </w:rPr>
            </w:pPr>
          </w:p>
        </w:tc>
        <w:tc>
          <w:tcPr>
            <w:tcW w:w="76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32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740" w:type="dxa"/>
            <w:vAlign w:val="bottom"/>
            <w:tcBorders>
              <w:bottom w:val="single" w:sz="8" w:color="auto"/>
            </w:tcBorders>
            <w:gridSpan w:val="3"/>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4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CUSIP NO. 984241109</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ind w:left="1960"/>
              <w:spacing w:after="0"/>
              <w:rPr>
                <w:sz w:val="20"/>
                <w:szCs w:val="20"/>
                <w:color w:val="auto"/>
              </w:rPr>
            </w:pPr>
            <w:r>
              <w:rPr>
                <w:rFonts w:ascii="Arial" w:cs="Arial" w:eastAsia="Arial" w:hAnsi="Arial"/>
                <w:sz w:val="18"/>
                <w:szCs w:val="18"/>
                <w:color w:val="auto"/>
              </w:rPr>
              <w:t>13D</w:t>
            </w:r>
          </w:p>
        </w:tc>
        <w:tc>
          <w:tcPr>
            <w:tcW w:w="1400" w:type="dxa"/>
            <w:vAlign w:val="bottom"/>
          </w:tcPr>
          <w:p>
            <w:pPr>
              <w:spacing w:after="0"/>
              <w:rPr>
                <w:sz w:val="20"/>
                <w:szCs w:val="20"/>
                <w:color w:val="auto"/>
              </w:rPr>
            </w:pPr>
          </w:p>
        </w:tc>
        <w:tc>
          <w:tcPr>
            <w:tcW w:w="1420" w:type="dxa"/>
            <w:vAlign w:val="bottom"/>
          </w:tcPr>
          <w:p>
            <w:pPr>
              <w:ind w:left="520"/>
              <w:spacing w:after="0"/>
              <w:rPr>
                <w:sz w:val="20"/>
                <w:szCs w:val="20"/>
                <w:color w:val="auto"/>
              </w:rPr>
            </w:pPr>
            <w:r>
              <w:rPr>
                <w:rFonts w:ascii="Arial" w:cs="Arial" w:eastAsia="Arial" w:hAnsi="Arial"/>
                <w:sz w:val="18"/>
                <w:szCs w:val="18"/>
                <w:color w:val="auto"/>
                <w:w w:val="84"/>
              </w:rPr>
              <w:t>Page 4 of 13</w:t>
            </w: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5"/>
              </w:rPr>
              <w:t>NAME OF REPORTING PERSON</w:t>
            </w:r>
          </w:p>
        </w:tc>
        <w:tc>
          <w:tcPr>
            <w:tcW w:w="4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14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7600" w:type="dxa"/>
            <w:vAlign w:val="bottom"/>
            <w:gridSpan w:val="4"/>
          </w:tcPr>
          <w:p>
            <w:pPr>
              <w:ind w:left="800"/>
              <w:spacing w:after="0"/>
              <w:rPr>
                <w:sz w:val="20"/>
                <w:szCs w:val="20"/>
                <w:color w:val="auto"/>
              </w:rPr>
            </w:pPr>
            <w:r>
              <w:rPr>
                <w:rFonts w:ascii="Arial" w:cs="Arial" w:eastAsia="Arial" w:hAnsi="Arial"/>
                <w:sz w:val="18"/>
                <w:szCs w:val="18"/>
                <w:color w:val="auto"/>
              </w:rPr>
              <w:t>Dr. Maha Katabi (“Katabi”)</w:t>
            </w:r>
          </w:p>
        </w:tc>
        <w:tc>
          <w:tcPr>
            <w:tcW w:w="140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900" w:type="dxa"/>
            <w:vAlign w:val="bottom"/>
            <w:tcBorders>
              <w:bottom w:val="single" w:sz="8" w:color="auto"/>
            </w:tcBorders>
            <w:gridSpan w:val="2"/>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340" w:type="dxa"/>
            <w:vAlign w:val="bottom"/>
            <w:tcBorders>
              <w:right w:val="single" w:sz="8" w:color="auto"/>
            </w:tcBorders>
          </w:tcPr>
          <w:p>
            <w:pPr>
              <w:spacing w:after="0"/>
              <w:rPr>
                <w:sz w:val="24"/>
                <w:szCs w:val="24"/>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400" w:type="dxa"/>
            <w:vAlign w:val="bottom"/>
          </w:tcPr>
          <w:p>
            <w:pPr>
              <w:ind w:left="4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340" w:type="dxa"/>
            <w:vAlign w:val="bottom"/>
            <w:tcBorders>
              <w:right w:val="single" w:sz="8" w:color="auto"/>
            </w:tcBorders>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auto"/>
            </w:tcBorders>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20" w:type="dxa"/>
            <w:vAlign w:val="bottom"/>
          </w:tcPr>
          <w:p>
            <w:pPr>
              <w:ind w:left="760"/>
              <w:spacing w:after="0"/>
              <w:rPr>
                <w:sz w:val="20"/>
                <w:szCs w:val="20"/>
                <w:color w:val="auto"/>
              </w:rPr>
            </w:pPr>
            <w:r>
              <w:rPr>
                <w:rFonts w:ascii="Arial" w:cs="Arial" w:eastAsia="Arial" w:hAnsi="Arial"/>
                <w:sz w:val="18"/>
                <w:szCs w:val="18"/>
                <w:color w:val="auto"/>
              </w:rPr>
              <w:t>AF</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gridSpan w:val="3"/>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340" w:type="dxa"/>
            <w:vAlign w:val="bottom"/>
            <w:tcBorders>
              <w:right w:val="single" w:sz="8" w:color="auto"/>
            </w:tcBorders>
          </w:tcPr>
          <w:p>
            <w:pPr>
              <w:spacing w:after="0"/>
              <w:rPr>
                <w:sz w:val="24"/>
                <w:szCs w:val="24"/>
                <w:color w:val="auto"/>
              </w:rPr>
            </w:pPr>
          </w:p>
        </w:tc>
        <w:tc>
          <w:tcPr>
            <w:tcW w:w="9000" w:type="dxa"/>
            <w:vAlign w:val="bottom"/>
            <w:gridSpan w:val="5"/>
          </w:tcPr>
          <w:p>
            <w:pPr>
              <w:ind w:left="100"/>
              <w:spacing w:after="0" w:line="207" w:lineRule="exact"/>
              <w:rPr>
                <w:sz w:val="20"/>
                <w:szCs w:val="20"/>
                <w:color w:val="auto"/>
              </w:rPr>
            </w:pPr>
            <w:r>
              <w:rPr>
                <w:rFonts w:ascii="Arial" w:cs="Arial" w:eastAsia="Arial" w:hAnsi="Arial"/>
                <w:sz w:val="18"/>
                <w:szCs w:val="18"/>
                <w:color w:val="auto"/>
                <w:w w:val="98"/>
              </w:rPr>
              <w:t xml:space="preserve">CHECK BOX IF DISCLOSURE OF LEGAL PROCEEDINGS IS REQUIRED PURSUANT TO ITEM 2(d) or 2(e) </w:t>
            </w:r>
            <w:r>
              <w:rPr>
                <w:rFonts w:ascii="MS PGothic" w:cs="MS PGothic" w:eastAsia="MS PGothic" w:hAnsi="MS PGothic"/>
                <w:sz w:val="18"/>
                <w:szCs w:val="18"/>
                <w:color w:val="auto"/>
                <w:w w:val="98"/>
              </w:rPr>
              <w:t>☐</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900" w:type="dxa"/>
            <w:vAlign w:val="bottom"/>
            <w:tcBorders>
              <w:bottom w:val="single" w:sz="8" w:color="auto"/>
            </w:tcBorders>
            <w:gridSpan w:val="2"/>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340" w:type="dxa"/>
            <w:vAlign w:val="bottom"/>
            <w:tcBorders>
              <w:right w:val="single" w:sz="8" w:color="auto"/>
            </w:tcBorders>
          </w:tcPr>
          <w:p>
            <w:pPr>
              <w:spacing w:after="0"/>
              <w:rPr>
                <w:sz w:val="24"/>
                <w:szCs w:val="24"/>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   Canadian Citizen</w:t>
            </w: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236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236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8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2,194,278 shares, all of which are owned directly by SVP X. SM X, the general partner of SVP X, may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be deemed to have sole voting power, and Katabi, a managing member of SM X, may be deemed to</w:t>
            </w:r>
          </w:p>
        </w:tc>
        <w:tc>
          <w:tcPr>
            <w:tcW w:w="0" w:type="dxa"/>
            <w:vAlign w:val="bottom"/>
          </w:tcPr>
          <w:p>
            <w:pPr>
              <w:spacing w:after="0"/>
              <w:rPr>
                <w:sz w:val="1"/>
                <w:szCs w:val="1"/>
                <w:color w:val="auto"/>
              </w:rPr>
            </w:pPr>
          </w:p>
        </w:tc>
      </w:tr>
      <w:tr>
        <w:trPr>
          <w:trHeight w:val="244"/>
        </w:trPr>
        <w:tc>
          <w:tcPr>
            <w:tcW w:w="4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have shared voting power to vote these shares.</w:t>
            </w:r>
          </w:p>
        </w:tc>
        <w:tc>
          <w:tcPr>
            <w:tcW w:w="140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2,194,278 shares, all of which are owned directly by SVP X. SM X, the general partner of SVP X, may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0"/>
              </w:rPr>
              <w:t>be deemed to have sole dispositive power, and Katabi, a managing member of SM X, may be deemed to</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have shared power to dispose of these shares.</w:t>
            </w:r>
          </w:p>
        </w:tc>
        <w:tc>
          <w:tcPr>
            <w:tcW w:w="140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900" w:type="dxa"/>
            <w:vAlign w:val="bottom"/>
            <w:tcBorders>
              <w:bottom w:val="single" w:sz="8" w:color="auto"/>
            </w:tcBorders>
            <w:gridSpan w:val="2"/>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340" w:type="dxa"/>
            <w:vAlign w:val="bottom"/>
            <w:tcBorders>
              <w:right w:val="single" w:sz="8" w:color="auto"/>
            </w:tcBorders>
          </w:tcPr>
          <w:p>
            <w:pPr>
              <w:spacing w:after="0"/>
              <w:rPr>
                <w:sz w:val="24"/>
                <w:szCs w:val="24"/>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2,194,278</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7600" w:type="dxa"/>
            <w:vAlign w:val="bottom"/>
            <w:tcBorders>
              <w:bottom w:val="single" w:sz="8" w:color="auto"/>
            </w:tcBorders>
            <w:gridSpan w:val="4"/>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340" w:type="dxa"/>
            <w:vAlign w:val="bottom"/>
            <w:tcBorders>
              <w:right w:val="single" w:sz="8" w:color="auto"/>
            </w:tcBorders>
          </w:tcPr>
          <w:p>
            <w:pPr>
              <w:spacing w:after="0"/>
              <w:rPr>
                <w:sz w:val="24"/>
                <w:szCs w:val="24"/>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400" w:type="dxa"/>
            <w:vAlign w:val="bottom"/>
          </w:tcPr>
          <w:p>
            <w:pPr>
              <w:spacing w:after="0"/>
              <w:rPr>
                <w:sz w:val="24"/>
                <w:szCs w:val="24"/>
                <w:color w:val="auto"/>
              </w:rPr>
            </w:pPr>
          </w:p>
        </w:tc>
        <w:tc>
          <w:tcPr>
            <w:tcW w:w="1420" w:type="dxa"/>
            <w:vAlign w:val="bottom"/>
            <w:tcBorders>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7600" w:type="dxa"/>
            <w:vAlign w:val="bottom"/>
            <w:tcBorders>
              <w:bottom w:val="single" w:sz="8" w:color="auto"/>
            </w:tcBorders>
            <w:gridSpan w:val="4"/>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340" w:type="dxa"/>
            <w:vAlign w:val="bottom"/>
            <w:tcBorders>
              <w:right w:val="single" w:sz="8" w:color="auto"/>
            </w:tcBorders>
          </w:tcPr>
          <w:p>
            <w:pPr>
              <w:spacing w:after="0"/>
              <w:rPr>
                <w:sz w:val="24"/>
                <w:szCs w:val="24"/>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740" w:type="dxa"/>
            <w:vAlign w:val="bottom"/>
            <w:tcBorders>
              <w:bottom w:val="single" w:sz="8" w:color="auto"/>
            </w:tcBorders>
            <w:gridSpan w:val="3"/>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4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CUSIP NO. 984241109</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tcPr>
          <w:p>
            <w:pPr>
              <w:ind w:left="1960"/>
              <w:spacing w:after="0"/>
              <w:rPr>
                <w:sz w:val="20"/>
                <w:szCs w:val="20"/>
                <w:color w:val="auto"/>
              </w:rPr>
            </w:pPr>
            <w:r>
              <w:rPr>
                <w:rFonts w:ascii="Arial" w:cs="Arial" w:eastAsia="Arial" w:hAnsi="Arial"/>
                <w:sz w:val="18"/>
                <w:szCs w:val="18"/>
                <w:color w:val="auto"/>
              </w:rPr>
              <w:t>13D</w:t>
            </w:r>
          </w:p>
        </w:tc>
        <w:tc>
          <w:tcPr>
            <w:tcW w:w="960" w:type="dxa"/>
            <w:vAlign w:val="bottom"/>
          </w:tcPr>
          <w:p>
            <w:pPr>
              <w:spacing w:after="0"/>
              <w:rPr>
                <w:sz w:val="20"/>
                <w:szCs w:val="20"/>
                <w:color w:val="auto"/>
              </w:rPr>
            </w:pPr>
          </w:p>
        </w:tc>
        <w:tc>
          <w:tcPr>
            <w:tcW w:w="1420" w:type="dxa"/>
            <w:vAlign w:val="bottom"/>
          </w:tcPr>
          <w:p>
            <w:pPr>
              <w:ind w:left="520"/>
              <w:spacing w:after="0"/>
              <w:rPr>
                <w:sz w:val="20"/>
                <w:szCs w:val="20"/>
                <w:color w:val="auto"/>
              </w:rPr>
            </w:pPr>
            <w:r>
              <w:rPr>
                <w:rFonts w:ascii="Arial" w:cs="Arial" w:eastAsia="Arial" w:hAnsi="Arial"/>
                <w:sz w:val="18"/>
                <w:szCs w:val="18"/>
                <w:color w:val="auto"/>
                <w:w w:val="84"/>
              </w:rPr>
              <w:t>Page 5 of 13</w:t>
            </w: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5"/>
              </w:rPr>
              <w:t>NAME OF REPORTING PERSON</w:t>
            </w:r>
          </w:p>
        </w:tc>
        <w:tc>
          <w:tcPr>
            <w:tcW w:w="5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40" w:type="dxa"/>
            <w:vAlign w:val="bottom"/>
            <w:gridSpan w:val="4"/>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8040" w:type="dxa"/>
            <w:vAlign w:val="bottom"/>
            <w:gridSpan w:val="4"/>
          </w:tcPr>
          <w:p>
            <w:pPr>
              <w:ind w:left="800"/>
              <w:spacing w:after="0"/>
              <w:rPr>
                <w:sz w:val="20"/>
                <w:szCs w:val="20"/>
                <w:color w:val="auto"/>
              </w:rPr>
            </w:pPr>
            <w:r>
              <w:rPr>
                <w:rFonts w:ascii="Arial" w:cs="Arial" w:eastAsia="Arial" w:hAnsi="Arial"/>
                <w:sz w:val="18"/>
                <w:szCs w:val="18"/>
                <w:color w:val="auto"/>
              </w:rPr>
              <w:t>Dr. James I. Healy (“Healy”)</w:t>
            </w: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340" w:type="dxa"/>
            <w:vAlign w:val="bottom"/>
            <w:tcBorders>
              <w:bottom w:val="single" w:sz="8" w:color="auto"/>
            </w:tcBorders>
            <w:gridSpan w:val="2"/>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340" w:type="dxa"/>
            <w:vAlign w:val="bottom"/>
            <w:tcBorders>
              <w:right w:val="single" w:sz="8" w:color="auto"/>
            </w:tcBorders>
          </w:tcPr>
          <w:p>
            <w:pPr>
              <w:spacing w:after="0"/>
              <w:rPr>
                <w:sz w:val="24"/>
                <w:szCs w:val="24"/>
                <w:color w:val="auto"/>
              </w:rPr>
            </w:pPr>
          </w:p>
        </w:tc>
        <w:tc>
          <w:tcPr>
            <w:tcW w:w="804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9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340" w:type="dxa"/>
            <w:vAlign w:val="bottom"/>
            <w:tcBorders>
              <w:right w:val="single" w:sz="8" w:color="auto"/>
            </w:tcBorders>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auto"/>
            </w:tcBorders>
          </w:tcPr>
          <w:p>
            <w:pPr>
              <w:spacing w:after="0"/>
              <w:rPr>
                <w:sz w:val="24"/>
                <w:szCs w:val="24"/>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20" w:type="dxa"/>
            <w:vAlign w:val="bottom"/>
          </w:tcPr>
          <w:p>
            <w:pPr>
              <w:ind w:left="760"/>
              <w:spacing w:after="0"/>
              <w:rPr>
                <w:sz w:val="20"/>
                <w:szCs w:val="20"/>
                <w:color w:val="auto"/>
              </w:rPr>
            </w:pPr>
            <w:r>
              <w:rPr>
                <w:rFonts w:ascii="Arial" w:cs="Arial" w:eastAsia="Arial" w:hAnsi="Arial"/>
                <w:sz w:val="18"/>
                <w:szCs w:val="18"/>
                <w:color w:val="auto"/>
              </w:rPr>
              <w:t>AF</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gridSpan w:val="3"/>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340" w:type="dxa"/>
            <w:vAlign w:val="bottom"/>
            <w:tcBorders>
              <w:right w:val="single" w:sz="8" w:color="auto"/>
            </w:tcBorders>
          </w:tcPr>
          <w:p>
            <w:pPr>
              <w:spacing w:after="0"/>
              <w:rPr>
                <w:sz w:val="24"/>
                <w:szCs w:val="24"/>
                <w:color w:val="auto"/>
              </w:rPr>
            </w:pPr>
          </w:p>
        </w:tc>
        <w:tc>
          <w:tcPr>
            <w:tcW w:w="9000" w:type="dxa"/>
            <w:vAlign w:val="bottom"/>
            <w:gridSpan w:val="5"/>
          </w:tcPr>
          <w:p>
            <w:pPr>
              <w:ind w:left="100"/>
              <w:spacing w:after="0" w:line="207" w:lineRule="exact"/>
              <w:rPr>
                <w:sz w:val="20"/>
                <w:szCs w:val="20"/>
                <w:color w:val="auto"/>
              </w:rPr>
            </w:pPr>
            <w:r>
              <w:rPr>
                <w:rFonts w:ascii="Arial" w:cs="Arial" w:eastAsia="Arial" w:hAnsi="Arial"/>
                <w:sz w:val="18"/>
                <w:szCs w:val="18"/>
                <w:color w:val="auto"/>
                <w:w w:val="98"/>
              </w:rPr>
              <w:t xml:space="preserve">CHECK BOX IF DISCLOSURE OF LEGAL PROCEEDINGS IS REQUIRED PURSUANT TO ITEM 2(d) or 2(e) </w:t>
            </w:r>
            <w:r>
              <w:rPr>
                <w:rFonts w:ascii="MS PGothic" w:cs="MS PGothic" w:eastAsia="MS PGothic" w:hAnsi="MS PGothic"/>
                <w:sz w:val="18"/>
                <w:szCs w:val="18"/>
                <w:color w:val="auto"/>
                <w:w w:val="98"/>
              </w:rPr>
              <w:t>☐</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340" w:type="dxa"/>
            <w:vAlign w:val="bottom"/>
            <w:tcBorders>
              <w:bottom w:val="single" w:sz="8" w:color="auto"/>
            </w:tcBorders>
            <w:gridSpan w:val="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340" w:type="dxa"/>
            <w:vAlign w:val="bottom"/>
            <w:tcBorders>
              <w:right w:val="single" w:sz="8" w:color="auto"/>
            </w:tcBorders>
          </w:tcPr>
          <w:p>
            <w:pPr>
              <w:spacing w:after="0"/>
              <w:rPr>
                <w:sz w:val="24"/>
                <w:szCs w:val="24"/>
                <w:color w:val="auto"/>
              </w:rPr>
            </w:pPr>
          </w:p>
        </w:tc>
        <w:tc>
          <w:tcPr>
            <w:tcW w:w="804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   U.S. Citizen</w:t>
            </w:r>
          </w:p>
        </w:tc>
        <w:tc>
          <w:tcPr>
            <w:tcW w:w="9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9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77,333 shares, including 51,555 shares subject to stock options exercisable by Healy within 60 days of</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tcPr>
          <w:p>
            <w:pPr>
              <w:ind w:left="60"/>
              <w:spacing w:after="0"/>
              <w:rPr>
                <w:sz w:val="20"/>
                <w:szCs w:val="20"/>
                <w:color w:val="auto"/>
              </w:rPr>
            </w:pPr>
            <w:r>
              <w:rPr>
                <w:rFonts w:ascii="Arial" w:cs="Arial" w:eastAsia="Arial" w:hAnsi="Arial"/>
                <w:sz w:val="18"/>
                <w:szCs w:val="18"/>
                <w:color w:val="auto"/>
              </w:rPr>
              <w:t>the date of this filing</w:t>
            </w: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236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236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53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2,194,278 shares, all of which are owned directly by SVP X. SM X, the general partner of SVP X, may</w:t>
            </w:r>
          </w:p>
        </w:tc>
        <w:tc>
          <w:tcPr>
            <w:tcW w:w="0" w:type="dxa"/>
            <w:vAlign w:val="bottom"/>
          </w:tcPr>
          <w:p>
            <w:pPr>
              <w:spacing w:after="0"/>
              <w:rPr>
                <w:sz w:val="1"/>
                <w:szCs w:val="1"/>
                <w:color w:val="auto"/>
              </w:rPr>
            </w:pPr>
          </w:p>
        </w:tc>
      </w:tr>
      <w:tr>
        <w:trPr>
          <w:trHeight w:val="229"/>
        </w:trPr>
        <w:tc>
          <w:tcPr>
            <w:tcW w:w="48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be deemed to have sole voting power, and Healy, a managing member of SM X and a director of the</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tcPr>
          <w:p>
            <w:pPr>
              <w:ind w:left="60"/>
              <w:spacing w:after="0"/>
              <w:rPr>
                <w:sz w:val="20"/>
                <w:szCs w:val="20"/>
                <w:color w:val="auto"/>
              </w:rPr>
            </w:pPr>
            <w:r>
              <w:rPr>
                <w:rFonts w:ascii="Arial" w:cs="Arial" w:eastAsia="Arial" w:hAnsi="Arial"/>
                <w:sz w:val="18"/>
                <w:szCs w:val="18"/>
                <w:color w:val="auto"/>
                <w:w w:val="88"/>
              </w:rPr>
              <w:t>Issuer, may be deemed to have shared voting power to vote these shares.</w:t>
            </w: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9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77,333 shares, including 51,555 shares subject to stock options exercisable by Healy within 60 days of</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tcPr>
          <w:p>
            <w:pPr>
              <w:ind w:left="60"/>
              <w:spacing w:after="0"/>
              <w:rPr>
                <w:sz w:val="20"/>
                <w:szCs w:val="20"/>
                <w:color w:val="auto"/>
              </w:rPr>
            </w:pPr>
            <w:r>
              <w:rPr>
                <w:rFonts w:ascii="Arial" w:cs="Arial" w:eastAsia="Arial" w:hAnsi="Arial"/>
                <w:sz w:val="18"/>
                <w:szCs w:val="18"/>
                <w:color w:val="auto"/>
              </w:rPr>
              <w:t>the date of this filing</w:t>
            </w: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9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2,194,278 shares, all of which are owned directly by SVP X. SM X, the general partner of SVP X, may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be deemed to have sole dispositive power, and Healy, a managing member of SM X and a director of</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60" w:type="dxa"/>
            <w:vAlign w:val="bottom"/>
            <w:gridSpan w:val="2"/>
          </w:tcPr>
          <w:p>
            <w:pPr>
              <w:ind w:left="60"/>
              <w:spacing w:after="0"/>
              <w:rPr>
                <w:sz w:val="20"/>
                <w:szCs w:val="20"/>
                <w:color w:val="auto"/>
              </w:rPr>
            </w:pPr>
            <w:r>
              <w:rPr>
                <w:rFonts w:ascii="Arial" w:cs="Arial" w:eastAsia="Arial" w:hAnsi="Arial"/>
                <w:sz w:val="18"/>
                <w:szCs w:val="18"/>
                <w:color w:val="auto"/>
              </w:rPr>
              <w:t>the Issuer, may be deemed to have shared power to dispose of these shares.</w:t>
            </w: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5340" w:type="dxa"/>
            <w:vAlign w:val="bottom"/>
            <w:tcBorders>
              <w:bottom w:val="single" w:sz="8" w:color="auto"/>
            </w:tcBorders>
            <w:gridSpan w:val="2"/>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340" w:type="dxa"/>
            <w:vAlign w:val="bottom"/>
            <w:tcBorders>
              <w:right w:val="single" w:sz="8" w:color="auto"/>
            </w:tcBorders>
          </w:tcPr>
          <w:p>
            <w:pPr>
              <w:spacing w:after="0"/>
              <w:rPr>
                <w:sz w:val="24"/>
                <w:szCs w:val="24"/>
                <w:color w:val="auto"/>
              </w:rPr>
            </w:pPr>
          </w:p>
        </w:tc>
        <w:tc>
          <w:tcPr>
            <w:tcW w:w="804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96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2,271,611</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gridSpan w:val="4"/>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340" w:type="dxa"/>
            <w:vAlign w:val="bottom"/>
            <w:tcBorders>
              <w:right w:val="single" w:sz="8" w:color="auto"/>
            </w:tcBorders>
          </w:tcPr>
          <w:p>
            <w:pPr>
              <w:spacing w:after="0"/>
              <w:rPr>
                <w:sz w:val="24"/>
                <w:szCs w:val="24"/>
                <w:color w:val="auto"/>
              </w:rPr>
            </w:pPr>
          </w:p>
        </w:tc>
        <w:tc>
          <w:tcPr>
            <w:tcW w:w="804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960" w:type="dxa"/>
            <w:vAlign w:val="bottom"/>
          </w:tcPr>
          <w:p>
            <w:pPr>
              <w:spacing w:after="0"/>
              <w:rPr>
                <w:sz w:val="24"/>
                <w:szCs w:val="24"/>
                <w:color w:val="auto"/>
              </w:rPr>
            </w:pPr>
          </w:p>
        </w:tc>
        <w:tc>
          <w:tcPr>
            <w:tcW w:w="1420" w:type="dxa"/>
            <w:vAlign w:val="bottom"/>
            <w:tcBorders>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48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40" w:type="dxa"/>
            <w:vAlign w:val="bottom"/>
            <w:tcBorders>
              <w:bottom w:val="single" w:sz="8" w:color="auto"/>
            </w:tcBorders>
            <w:gridSpan w:val="4"/>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340" w:type="dxa"/>
            <w:vAlign w:val="bottom"/>
            <w:tcBorders>
              <w:right w:val="single" w:sz="8" w:color="auto"/>
            </w:tcBorders>
          </w:tcPr>
          <w:p>
            <w:pPr>
              <w:spacing w:after="0"/>
              <w:rPr>
                <w:sz w:val="24"/>
                <w:szCs w:val="24"/>
                <w:color w:val="auto"/>
              </w:rPr>
            </w:pPr>
          </w:p>
        </w:tc>
        <w:tc>
          <w:tcPr>
            <w:tcW w:w="804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96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740" w:type="dxa"/>
            <w:vAlign w:val="bottom"/>
            <w:tcBorders>
              <w:bottom w:val="single" w:sz="8" w:color="auto"/>
            </w:tcBorders>
            <w:gridSpan w:val="3"/>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5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5500" w:val="left"/>
          <w:tab w:leader="none" w:pos="1032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6 of 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on Schedule 13D</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Amendment No. 1 (“Amendment No. 1”) amends and restates the Statement on Schedule 13D that was originally filed on October 2, 2018 (the “Original Schedule 13D”). This Amendment No. 1 relates to the beneficial ownership of Common Stock, $0.0001 par value per share (“Common Stock”) of Y-mAbs Therapeutics, Inc., a Delaware corporation (“Issuer”) and is being filed to reflect the acquisition of Common Stock by Sofinnova Venture Partners X, L.P., a Delaware limited partnership (“SVP X”), Sofinnova Management X, L.L.C., a Delaware limited liability company (“SM X”), Dr. James I. Healy (“Healy”), and Dr. Maha Katabi (“Katabi” and collectively with SVP X, SM X, and Healy, the “Reporting Persons”). This Amendment No. 1 is being filed to update the aggregate percentage of the class of securities of the Issuer owned by the Reporting Persons due to dilution caused by the Issuer’s additional sales of Common Stock from time to time since the date of the filing of the Original Schedule 13D. The Issuer reported outstanding Common Stock in the Issuer’s Form 10-Q (File No. 001- 38650) filed on November 4, 2021 causing a decrease in aggregate percentage ownership by the Reporting Persons of one percent (1%) or more from the percentages reported in the Original Schedule 13D.</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SECURITY AND ISSUER.</w:t>
      </w:r>
    </w:p>
    <w:p>
      <w:pPr>
        <w:spacing w:after="0" w:line="229"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class of equity securities to which this statement relates is the Common Stock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Issuer’s principal executive offices are located at 230 Park Avenue, Suite 3350, New York, NY 10169.</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229" w:lineRule="exact"/>
        <w:rPr>
          <w:sz w:val="20"/>
          <w:szCs w:val="20"/>
          <w:color w:val="auto"/>
        </w:rPr>
      </w:pPr>
    </w:p>
    <w:p>
      <w:pPr>
        <w:jc w:val="both"/>
        <w:ind w:firstLine="656"/>
        <w:spacing w:after="0" w:line="259" w:lineRule="auto"/>
        <w:tabs>
          <w:tab w:leader="none" w:pos="146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persons and entities filing this Schedule 13D are SVP X, SM X, Healy, and Katabi. SM X, the general partner of SVP X, may be deemed to have sole power to vote and sole power to dispose of shares of the Issuer directly owned by SVP X. Dr. Anand Mehra and Dr. Michael F. Powell, each reporting persons on the Original Schedule 13D, are no longer managing members of SM X, and accordingly, are no longer reporting persons on this Amendment No. 1.</w:t>
      </w:r>
    </w:p>
    <w:p>
      <w:pPr>
        <w:spacing w:after="0" w:line="186" w:lineRule="exact"/>
        <w:rPr>
          <w:rFonts w:ascii="Arial" w:cs="Arial" w:eastAsia="Arial" w:hAnsi="Arial"/>
          <w:sz w:val="18"/>
          <w:szCs w:val="18"/>
          <w:color w:val="auto"/>
        </w:rPr>
      </w:pPr>
    </w:p>
    <w:p>
      <w:pPr>
        <w:ind w:firstLine="656"/>
        <w:spacing w:after="0" w:line="277" w:lineRule="auto"/>
        <w:tabs>
          <w:tab w:leader="none" w:pos="154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the principal place of business for each of the Reporting Persons is c/o Sofinnova Investments, Inc., 3000 Sand Hill Road, Bldg 4, Suite 250, Menlo Park, California 94025.</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occupation of each of the Reporting Persons is the venture capital investment business. The principal business of SVP X is to make investments in private and public companies, and the principal business of SM X is to serve as the general partner of SVP X. Healy and Katabi are the managing members of SM X. Healy is a member of the board of directors of the Issuer.</w:t>
      </w:r>
    </w:p>
    <w:p>
      <w:pPr>
        <w:spacing w:after="0" w:line="183" w:lineRule="exact"/>
        <w:rPr>
          <w:rFonts w:ascii="Arial" w:cs="Arial" w:eastAsia="Arial" w:hAnsi="Arial"/>
          <w:sz w:val="18"/>
          <w:szCs w:val="18"/>
          <w:color w:val="auto"/>
        </w:rPr>
      </w:pPr>
    </w:p>
    <w:p>
      <w:pPr>
        <w:ind w:firstLine="656"/>
        <w:spacing w:after="0" w:line="277" w:lineRule="auto"/>
        <w:tabs>
          <w:tab w:leader="none" w:pos="1438"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468"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1460" w:hanging="804"/>
        <w:spacing w:after="0"/>
        <w:tabs>
          <w:tab w:leader="none" w:pos="1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SVP X is a Delaware limited partnership. SM X is a Delaware limited liability company. Healy is a U.S. citizen. Katabi is a Canadian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citizen.</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November 2017, SVP X purchased 1,604,278 shares of Common Stock from the Issuer at a purchase price of $9.35 per share, or $15,000,000.00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tabs>
          <w:tab w:leader="none" w:pos="5500" w:val="left"/>
          <w:tab w:leader="none" w:pos="1032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7 of 13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April 24, 2018, Healy was granted a non-employee stock option by the Issuer to purchase 32,000 shares of Common Stock at an exercise price of</w:t>
      </w:r>
    </w:p>
    <w:p>
      <w:pPr>
        <w:spacing w:after="0" w:line="35"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$11.16 per share. 1/36th of the shares of the option vest in equal monthly installments starting April 24, 2018 until such time as the option is 100% vested, subject to Healy continuing to be a service provider to the Issuer on each vesting date. Such option will expire on April 24, 2028.</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closing of the Issuer’s initial public offering of Common Stock (the “Offering”), SVP X purchased 500,000 shares of Common Stock at $16.00 per share, or $8,000,000 in the aggregate. Such purchase occurred pursuant to and on the terms set forth in the Issuer’s Prospectus filed pursuant to Rule 424(b)(4) on September 24, 2018 with the Securities and Exchange Commission (the “Prospectus”).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12, 2019, Healy was granted a non-employee stock option by the Issuer to purchase 16,000 shares of Common Stock at an exercise price of $21.45 per share. The stock option vests in equal monthly installments during the first year following the date of grant, subject to Healy’s continued service on the board of directors of the Issuer, and is exercisable immediately upon vesting. Such option will expire on June 12, 2029.</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closing of a secondary offering of Common Stock by the Issuer, on October 30, 2019, SVP X purchased 90,000 shares of Common Stock from the Issuer at a purchase price of $28.00 per share, or $2,520,000 in the aggregate.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January 15, 2020, Healy exercised stock options for 25,778 shares of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23, 2020, Healy was granted a non-employee stock option by the Issuer to purchase 16,000 shares of Common Stock at an exercise price of $48.67 per share. The stock option vests in equal monthly installments during the first year following the date of grant, subject to Healy’s continued service on the board of directors of the Issuer, and is exercisable immediately upon vesting. Such option will expire on June 23, 2030.</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10, 2021, Healy was granted a non-employee stock option by the Issuer to purchase 16,000 shares of Common Stock at an exercise price of $37.53 per share. The stock option vests in equal monthly installments during the first year following the date of grant, subject to Healy’s continued service on the board of directors of the Issuer, and is exercisable immediately upon vesting. Such option will expire on June 10, 2031.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noted above, the source of the funds for all purchases and acquisitions by the Reporting Persons was from working capital. Certain purchases by SVP X were made using its working capital funded partially through a line of credit with Silicon Valley Bank in the normal course of business and then paid down from the proceeds from investor capital calls.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noted above, no part of the purchase price was borrowed by any Reporting Person for the purpose of acquiring any securities discussed in this Item 3.</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Reporting Persons hold their securities of the Issuer for investment purposes. Depending on the factors discussed herein, the Reporting Persons may, from time to time, acquire additional Common Stock and/or retain and/or sell all or a portion of the Common Stock held by the Reporting Persons in the open market or in privately negotiated transactions, block sales or otherwise or pursuant to ordinary stock exchange transactions effected through one or more broker-dealers whether individually or utilizing specific pricing or other instructions (including by means of Rule 10b5-1 programs), and/or may distribute the Common Stock held by the Reporting Persons to their respective members or limited partners. Any actions the Reporting Persons might undertake will be dependent upon the Reporting Persons’ review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and other future developments. Except as set forth above, the Reporting Persons have no present plans or intentions which would result in or relate to any of the transactions described in subparagraphs (a) through (j) of Item 4 of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CUSIP NO. 984241109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8 of 13</w:t>
      </w:r>
    </w:p>
    <w:p>
      <w:pPr>
        <w:spacing w:after="0" w:line="222" w:lineRule="exact"/>
        <w:rPr>
          <w:sz w:val="20"/>
          <w:szCs w:val="20"/>
          <w:color w:val="auto"/>
        </w:rPr>
      </w:pPr>
    </w:p>
    <w:p>
      <w:pPr>
        <w:sectPr>
          <w:pgSz w:w="11900" w:h="16838" w:orient="portrait"/>
          <w:cols w:equalWidth="0" w:num="3">
            <w:col w:w="4800" w:space="720"/>
            <w:col w:w="4100" w:space="720"/>
            <w:col w:w="900"/>
          </w:cols>
          <w:pgMar w:left="320" w:top="908" w:right="339" w:bottom="1440" w:gutter="0" w:footer="0" w:header="0"/>
        </w:sectPr>
      </w:pPr>
    </w:p>
    <w:p>
      <w:pPr>
        <w:spacing w:after="0" w:line="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29"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6"/>
          <w:szCs w:val="16"/>
          <w:color w:val="auto"/>
        </w:rPr>
        <w:t>(a,b)</w:t>
      </w:r>
      <w:r>
        <w:rPr>
          <w:sz w:val="20"/>
          <w:szCs w:val="20"/>
          <w:color w:val="auto"/>
        </w:rPr>
        <w:tab/>
      </w:r>
      <w:r>
        <w:rPr>
          <w:rFonts w:ascii="Arial" w:cs="Arial" w:eastAsia="Arial" w:hAnsi="Arial"/>
          <w:sz w:val="16"/>
          <w:szCs w:val="16"/>
          <w:color w:val="auto"/>
        </w:rPr>
        <w:t>Regarding aggregate beneficial ownership, see Row 11 of the cover page of each Reporting Person. Regarding percentage beneficial</w:t>
      </w:r>
    </w:p>
    <w:p>
      <w:pPr>
        <w:sectPr>
          <w:pgSz w:w="11900" w:h="16838" w:orient="portrait"/>
          <w:cols w:equalWidth="0" w:num="1">
            <w:col w:w="11240"/>
          </w:cols>
          <w:pgMar w:left="320" w:top="908" w:right="339" w:bottom="1440" w:gutter="0" w:footer="0" w:header="0"/>
          <w:type w:val="continuous"/>
        </w:sectPr>
      </w:pP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ownership, see Row 13 of the cover page of each Reporting Person. Regarding sole power to vote shares, see Row 7 of the cover page of each Reporting Person. Regarding shared power to vote shares, see Row 8 of the cover page of each Reporting Person. Regarding sole power to dispose of shares, see Row 9 of the cover page of each Reporting Person. Regarding shared power to dispose of shares, see Row 10 of the cover page of each Reporting Person. The percentage listed in Row 13 for each Reporting Person was calculated based upon 43,643,916 shares of Common Stock outstanding as of November 2, 2021, as reported by the Issuer in its Form 10-Q filed on November 4, 2021.</w:t>
      </w:r>
    </w:p>
    <w:p>
      <w:pPr>
        <w:spacing w:after="0" w:line="178" w:lineRule="exact"/>
        <w:rPr>
          <w:sz w:val="20"/>
          <w:szCs w:val="20"/>
          <w:color w:val="auto"/>
        </w:rPr>
      </w:pPr>
    </w:p>
    <w:p>
      <w:pPr>
        <w:ind w:left="1400" w:hanging="744"/>
        <w:spacing w:after="0"/>
        <w:tabs>
          <w:tab w:leader="none" w:pos="1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Except as set forth in Item 3 above, the Reporting Persons have not effected any transaction in the securities of the Issuer during the past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 days.</w:t>
      </w:r>
    </w:p>
    <w:p>
      <w:pPr>
        <w:spacing w:after="0" w:line="211" w:lineRule="exact"/>
        <w:rPr>
          <w:sz w:val="20"/>
          <w:szCs w:val="20"/>
          <w:color w:val="auto"/>
        </w:rPr>
      </w:pPr>
    </w:p>
    <w:p>
      <w:pPr>
        <w:jc w:val="both"/>
        <w:ind w:firstLine="656"/>
        <w:spacing w:after="0" w:line="263" w:lineRule="auto"/>
        <w:tabs>
          <w:tab w:leader="none" w:pos="1427"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certain circumstances set forth in the limited partnership agreement of SVP X, the general partner and limited partners of SVP X may be deemed to have the right to receive dividends from, or the proceeds from, the sale of shares of the Issuer owned by such entity of which they are a partner.</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SVP X and Healy have agreed that, without the prior written consent of Merrill Lynch, Pierce, Fenner &amp; Smith Incorporated and Cowen and Company, LLC, on behalf of the Issuer’s underwriters, they will not, subject to limited exceptions, during the period ending 180 days after the date of the Prospectus (i) 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 (ii) exercise any right with respect to the registration of any shares of our common stock or any security convertible into or exercisable or exchangeable for our common stock, or with respect to the filing of any registration statement in connection therewith under the Securities Act; or (iii) enter into any swap or any other agreement or any transaction that transfers, in whole or in part, the economic consequence of ownership of our common stock, whether any transaction described above is to be settled by delivery of our common stock or such other securities, in cash or otherwise. Such Lock-Up Agreement is more fully described in the Prospectus and was filed as Exhibit B of Exhibit 1.1 to the Issuer’s Form S-1 Registration Statement (File No. 333-226999), and such description is incorporated herein by reference.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SVP X is a party to Registration Rights Agreement among the Issuer, SVP X and other shareholders. Subject to the terms of such Registration Rights Agreement, SVP X can demand that the Issuer file a registration statement or request that its Common Stock be covered by a registration statement that the Issuer is otherwise filing under certain specified circumstances. Such Registration Rights Agreement dated as of November 17, 2017 is more fully described in the Prospectus and was filed as Exhibit 4.3(a) to the Issuer’s Form S-1 Registration Statement (File No. File No. 333-226999), and such description is incorporated herein by reference.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Healy, in his capacity as a director of the Issuer, along with the other directors of the Issuer, entered into an Indemnification Agreement with the Issuer. The form of such Indemnification Agreement was filed as Exhibit 10.11 to the Issuer’s Form S-1 Registration Statement (File No. 333-226999), and such description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CUSIP NO. 984241109</w:t>
            </w:r>
          </w:p>
        </w:tc>
        <w:tc>
          <w:tcPr>
            <w:tcW w:w="6820" w:type="dxa"/>
            <w:vAlign w:val="bottom"/>
          </w:tcPr>
          <w:p>
            <w:pPr>
              <w:ind w:left="3540"/>
              <w:spacing w:after="0"/>
              <w:rPr>
                <w:sz w:val="20"/>
                <w:szCs w:val="20"/>
                <w:color w:val="auto"/>
              </w:rPr>
            </w:pPr>
            <w:r>
              <w:rPr>
                <w:rFonts w:ascii="Arial" w:cs="Arial" w:eastAsia="Arial" w:hAnsi="Arial"/>
                <w:sz w:val="18"/>
                <w:szCs w:val="18"/>
                <w:color w:val="auto"/>
              </w:rPr>
              <w:t>13D</w:t>
            </w:r>
          </w:p>
        </w:tc>
        <w:tc>
          <w:tcPr>
            <w:tcW w:w="2440" w:type="dxa"/>
            <w:vAlign w:val="bottom"/>
          </w:tcPr>
          <w:p>
            <w:pPr>
              <w:ind w:left="1540"/>
              <w:spacing w:after="0"/>
              <w:rPr>
                <w:sz w:val="20"/>
                <w:szCs w:val="20"/>
                <w:color w:val="auto"/>
              </w:rPr>
            </w:pPr>
            <w:r>
              <w:rPr>
                <w:rFonts w:ascii="Arial" w:cs="Arial" w:eastAsia="Arial" w:hAnsi="Arial"/>
                <w:sz w:val="18"/>
                <w:szCs w:val="18"/>
                <w:color w:val="auto"/>
                <w:w w:val="86"/>
              </w:rPr>
              <w:t>Page 9 of 13</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7860" w:type="dxa"/>
            <w:vAlign w:val="bottom"/>
            <w:gridSpan w:val="2"/>
          </w:tcPr>
          <w:p>
            <w:pPr>
              <w:ind w:left="40"/>
              <w:spacing w:after="0"/>
              <w:rPr>
                <w:sz w:val="20"/>
                <w:szCs w:val="20"/>
                <w:color w:val="auto"/>
              </w:rPr>
            </w:pPr>
            <w:r>
              <w:rPr>
                <w:rFonts w:ascii="Arial" w:cs="Arial" w:eastAsia="Arial" w:hAnsi="Arial"/>
                <w:sz w:val="18"/>
                <w:szCs w:val="18"/>
                <w:b w:val="1"/>
                <w:bCs w:val="1"/>
                <w:color w:val="auto"/>
              </w:rPr>
              <w:t>MATERIAL TO BE FILED AS EXHIBITS.</w:t>
            </w:r>
          </w:p>
        </w:tc>
        <w:tc>
          <w:tcPr>
            <w:tcW w:w="2440" w:type="dxa"/>
            <w:vAlign w:val="bottom"/>
          </w:tcPr>
          <w:p>
            <w:pPr>
              <w:spacing w:after="0"/>
              <w:rPr>
                <w:sz w:val="24"/>
                <w:szCs w:val="24"/>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EXHIBIT A</w:t>
            </w:r>
          </w:p>
        </w:tc>
        <w:tc>
          <w:tcPr>
            <w:tcW w:w="1040" w:type="dxa"/>
            <w:vAlign w:val="bottom"/>
          </w:tcPr>
          <w:p>
            <w:pPr>
              <w:spacing w:after="0"/>
              <w:rPr>
                <w:sz w:val="24"/>
                <w:szCs w:val="24"/>
                <w:color w:val="auto"/>
              </w:rPr>
            </w:pPr>
          </w:p>
        </w:tc>
        <w:tc>
          <w:tcPr>
            <w:tcW w:w="6820" w:type="dxa"/>
            <w:vAlign w:val="bottom"/>
          </w:tcPr>
          <w:p>
            <w:pPr>
              <w:ind w:left="280"/>
              <w:spacing w:after="0"/>
              <w:rPr>
                <w:sz w:val="20"/>
                <w:szCs w:val="20"/>
                <w:color w:val="auto"/>
              </w:rPr>
            </w:pPr>
            <w:r>
              <w:rPr>
                <w:rFonts w:ascii="Arial" w:cs="Arial" w:eastAsia="Arial" w:hAnsi="Arial"/>
                <w:sz w:val="18"/>
                <w:szCs w:val="18"/>
                <w:color w:val="auto"/>
              </w:rPr>
              <w:t>Agreement of Joint Filing</w:t>
            </w:r>
          </w:p>
        </w:tc>
        <w:tc>
          <w:tcPr>
            <w:tcW w:w="2440" w:type="dxa"/>
            <w:vAlign w:val="bottom"/>
          </w:tcPr>
          <w:p>
            <w:pPr>
              <w:spacing w:after="0"/>
              <w:rPr>
                <w:sz w:val="24"/>
                <w:szCs w:val="24"/>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EXHIBIT B</w:t>
            </w:r>
          </w:p>
        </w:tc>
        <w:tc>
          <w:tcPr>
            <w:tcW w:w="1040" w:type="dxa"/>
            <w:vAlign w:val="bottom"/>
          </w:tcPr>
          <w:p>
            <w:pPr>
              <w:spacing w:after="0"/>
              <w:rPr>
                <w:sz w:val="18"/>
                <w:szCs w:val="18"/>
                <w:color w:val="auto"/>
              </w:rPr>
            </w:pPr>
          </w:p>
        </w:tc>
        <w:tc>
          <w:tcPr>
            <w:tcW w:w="6820" w:type="dxa"/>
            <w:vAlign w:val="bottom"/>
          </w:tcPr>
          <w:p>
            <w:pPr>
              <w:ind w:left="280"/>
              <w:spacing w:after="0"/>
              <w:rPr>
                <w:sz w:val="20"/>
                <w:szCs w:val="20"/>
                <w:color w:val="auto"/>
              </w:rPr>
            </w:pPr>
            <w:r>
              <w:rPr>
                <w:rFonts w:ascii="Arial" w:cs="Arial" w:eastAsia="Arial" w:hAnsi="Arial"/>
                <w:sz w:val="18"/>
                <w:szCs w:val="18"/>
                <w:color w:val="auto"/>
              </w:rPr>
              <w:t>Power of Attorney</w:t>
            </w:r>
          </w:p>
        </w:tc>
        <w:tc>
          <w:tcPr>
            <w:tcW w:w="2440" w:type="dxa"/>
            <w:vAlign w:val="bottom"/>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EXHIBIT C</w:t>
            </w:r>
          </w:p>
        </w:tc>
        <w:tc>
          <w:tcPr>
            <w:tcW w:w="1040" w:type="dxa"/>
            <w:vAlign w:val="bottom"/>
          </w:tcPr>
          <w:p>
            <w:pPr>
              <w:spacing w:after="0"/>
              <w:rPr>
                <w:sz w:val="18"/>
                <w:szCs w:val="18"/>
                <w:color w:val="auto"/>
              </w:rPr>
            </w:pPr>
          </w:p>
        </w:tc>
        <w:tc>
          <w:tcPr>
            <w:tcW w:w="9260" w:type="dxa"/>
            <w:vAlign w:val="bottom"/>
            <w:gridSpan w:val="2"/>
          </w:tcPr>
          <w:p>
            <w:pPr>
              <w:ind w:left="280"/>
              <w:spacing w:after="0"/>
              <w:rPr>
                <w:sz w:val="20"/>
                <w:szCs w:val="20"/>
                <w:color w:val="auto"/>
              </w:rPr>
            </w:pPr>
            <w:r>
              <w:rPr>
                <w:rFonts w:ascii="Arial" w:cs="Arial" w:eastAsia="Arial" w:hAnsi="Arial"/>
                <w:sz w:val="18"/>
                <w:szCs w:val="18"/>
                <w:color w:val="auto"/>
                <w:w w:val="95"/>
              </w:rPr>
              <w:t>Form of Lock-Up Agreement described in Item 6, filed as Exhibit B of Exhibit 1.1 to the Issuer’s Form S-1 Registration</w:t>
            </w:r>
          </w:p>
        </w:tc>
      </w:tr>
      <w:tr>
        <w:trPr>
          <w:trHeight w:val="216"/>
        </w:trPr>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20" w:type="dxa"/>
            <w:vAlign w:val="bottom"/>
          </w:tcPr>
          <w:p>
            <w:pPr>
              <w:ind w:left="280"/>
              <w:spacing w:after="0"/>
              <w:rPr>
                <w:sz w:val="20"/>
                <w:szCs w:val="20"/>
                <w:color w:val="auto"/>
              </w:rPr>
            </w:pPr>
            <w:r>
              <w:rPr>
                <w:rFonts w:ascii="Arial" w:cs="Arial" w:eastAsia="Arial" w:hAnsi="Arial"/>
                <w:sz w:val="18"/>
                <w:szCs w:val="18"/>
                <w:color w:val="auto"/>
              </w:rPr>
              <w:t>Statement (File No. 333-226999) is incorporated herein by reference.</w:t>
            </w:r>
          </w:p>
        </w:tc>
        <w:tc>
          <w:tcPr>
            <w:tcW w:w="2440" w:type="dxa"/>
            <w:vAlign w:val="bottom"/>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EXHIBIT D</w:t>
            </w:r>
          </w:p>
        </w:tc>
        <w:tc>
          <w:tcPr>
            <w:tcW w:w="1040" w:type="dxa"/>
            <w:vAlign w:val="bottom"/>
          </w:tcPr>
          <w:p>
            <w:pPr>
              <w:spacing w:after="0"/>
              <w:rPr>
                <w:sz w:val="18"/>
                <w:szCs w:val="18"/>
                <w:color w:val="auto"/>
              </w:rPr>
            </w:pPr>
          </w:p>
        </w:tc>
        <w:tc>
          <w:tcPr>
            <w:tcW w:w="9260" w:type="dxa"/>
            <w:vAlign w:val="bottom"/>
            <w:gridSpan w:val="2"/>
          </w:tcPr>
          <w:p>
            <w:pPr>
              <w:ind w:left="280"/>
              <w:spacing w:after="0"/>
              <w:rPr>
                <w:sz w:val="20"/>
                <w:szCs w:val="20"/>
                <w:color w:val="auto"/>
              </w:rPr>
            </w:pPr>
            <w:r>
              <w:rPr>
                <w:rFonts w:ascii="Arial" w:cs="Arial" w:eastAsia="Arial" w:hAnsi="Arial"/>
                <w:sz w:val="18"/>
                <w:szCs w:val="18"/>
                <w:color w:val="auto"/>
                <w:w w:val="92"/>
              </w:rPr>
              <w:t>Registration Rights Agreement described in Item 6, filed as Exhibit 4.3(a) to the Issuer’s Form S-1 Registration Statement</w:t>
            </w:r>
          </w:p>
        </w:tc>
      </w:tr>
      <w:tr>
        <w:trPr>
          <w:trHeight w:val="216"/>
        </w:trPr>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20" w:type="dxa"/>
            <w:vAlign w:val="bottom"/>
          </w:tcPr>
          <w:p>
            <w:pPr>
              <w:ind w:left="280"/>
              <w:spacing w:after="0"/>
              <w:rPr>
                <w:sz w:val="20"/>
                <w:szCs w:val="20"/>
                <w:color w:val="auto"/>
              </w:rPr>
            </w:pPr>
            <w:r>
              <w:rPr>
                <w:rFonts w:ascii="Arial" w:cs="Arial" w:eastAsia="Arial" w:hAnsi="Arial"/>
                <w:sz w:val="18"/>
                <w:szCs w:val="18"/>
                <w:color w:val="auto"/>
              </w:rPr>
              <w:t>(File No. 333-226999) is incorporated herein by reference.</w:t>
            </w:r>
          </w:p>
        </w:tc>
        <w:tc>
          <w:tcPr>
            <w:tcW w:w="2440" w:type="dxa"/>
            <w:vAlign w:val="bottom"/>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EXHIBIT E</w:t>
            </w:r>
          </w:p>
        </w:tc>
        <w:tc>
          <w:tcPr>
            <w:tcW w:w="1040" w:type="dxa"/>
            <w:vAlign w:val="bottom"/>
          </w:tcPr>
          <w:p>
            <w:pPr>
              <w:spacing w:after="0"/>
              <w:rPr>
                <w:sz w:val="18"/>
                <w:szCs w:val="18"/>
                <w:color w:val="auto"/>
              </w:rPr>
            </w:pPr>
          </w:p>
        </w:tc>
        <w:tc>
          <w:tcPr>
            <w:tcW w:w="9260" w:type="dxa"/>
            <w:vAlign w:val="bottom"/>
            <w:gridSpan w:val="2"/>
          </w:tcPr>
          <w:p>
            <w:pPr>
              <w:ind w:left="280"/>
              <w:spacing w:after="0"/>
              <w:rPr>
                <w:sz w:val="20"/>
                <w:szCs w:val="20"/>
                <w:color w:val="auto"/>
              </w:rPr>
            </w:pPr>
            <w:r>
              <w:rPr>
                <w:rFonts w:ascii="Arial" w:cs="Arial" w:eastAsia="Arial" w:hAnsi="Arial"/>
                <w:sz w:val="18"/>
                <w:szCs w:val="18"/>
                <w:color w:val="auto"/>
                <w:w w:val="98"/>
              </w:rPr>
              <w:t>Form of Indemnification Agreement described in Item 6, filed as Exhibit 10.11 to the Issuer’s Form S-1 Registration</w:t>
            </w:r>
          </w:p>
        </w:tc>
      </w:tr>
      <w:tr>
        <w:trPr>
          <w:trHeight w:val="230"/>
        </w:trPr>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20" w:type="dxa"/>
            <w:vAlign w:val="bottom"/>
          </w:tcPr>
          <w:p>
            <w:pPr>
              <w:ind w:left="280"/>
              <w:spacing w:after="0"/>
              <w:rPr>
                <w:sz w:val="20"/>
                <w:szCs w:val="20"/>
                <w:color w:val="auto"/>
              </w:rPr>
            </w:pPr>
            <w:r>
              <w:rPr>
                <w:rFonts w:ascii="Arial" w:cs="Arial" w:eastAsia="Arial" w:hAnsi="Arial"/>
                <w:sz w:val="18"/>
                <w:szCs w:val="18"/>
                <w:color w:val="auto"/>
              </w:rPr>
              <w:t>Statement (File No. 333-226999) is incorporated herein by reference.</w:t>
            </w:r>
          </w:p>
        </w:tc>
        <w:tc>
          <w:tcPr>
            <w:tcW w:w="2440" w:type="dxa"/>
            <w:vAlign w:val="bottom"/>
          </w:tcPr>
          <w:p>
            <w:pPr>
              <w:spacing w:after="0"/>
              <w:rPr>
                <w:sz w:val="20"/>
                <w:szCs w:val="20"/>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9" w:name="page10"/>
    <w:bookmarkEnd w:id="9"/>
    <w:p>
      <w:pPr>
        <w:spacing w:after="0"/>
        <w:tabs>
          <w:tab w:leader="none" w:pos="5500" w:val="left"/>
          <w:tab w:leader="none" w:pos="1022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10 of 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SOFINNOVA VENTURE PARTNERS X, L.P., a Delaware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SOFINNOVA MANAGEMENT X, L.L.C., a Delaware Limited Liability</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Nathalie Auber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SOFINNOVA MANAGEMENT X, L.L.C., a Delaware Limited Liability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Nathalie Auber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DR. JAMES I. HEALY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DR. MAHA KATABI</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Nathalie Auber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tabs>
          <w:tab w:leader="none" w:pos="5500" w:val="left"/>
          <w:tab w:leader="none" w:pos="1024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11 of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140" w:hanging="799"/>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of Joint Filing</w:t>
      </w:r>
    </w:p>
    <w:p>
      <w:pPr>
        <w:spacing w:after="0" w:line="23" w:lineRule="exact"/>
        <w:rPr>
          <w:sz w:val="20"/>
          <w:szCs w:val="20"/>
          <w:color w:val="auto"/>
        </w:rPr>
      </w:pPr>
    </w:p>
    <w:p>
      <w:pPr>
        <w:ind w:left="1140" w:hanging="79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9" w:lineRule="exact"/>
        <w:rPr>
          <w:sz w:val="20"/>
          <w:szCs w:val="20"/>
          <w:color w:val="auto"/>
        </w:rPr>
      </w:pPr>
    </w:p>
    <w:p>
      <w:pPr>
        <w:ind w:left="1140" w:right="300" w:hanging="794"/>
        <w:spacing w:after="0" w:line="25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of Lock-Up Agreement described in Item 6, filed as Exhibit B of Exhibit 1.1 to the Issuer’s Form S-1 Registration Statement (File No. 333-226999) is incorporated herein by reference.</w:t>
      </w:r>
    </w:p>
    <w:p>
      <w:pPr>
        <w:spacing w:after="0" w:line="1" w:lineRule="exact"/>
        <w:rPr>
          <w:sz w:val="20"/>
          <w:szCs w:val="20"/>
          <w:color w:val="auto"/>
        </w:rPr>
      </w:pPr>
    </w:p>
    <w:p>
      <w:pPr>
        <w:ind w:left="1140" w:right="240" w:hanging="799"/>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Rights Agreement described in Item 6, filed as Exhibit 4.3(a) to the Issuer’s Form S-1 Registration Statement (File No. 333-226999) is incorporated herein by reference.</w:t>
      </w:r>
    </w:p>
    <w:p>
      <w:pPr>
        <w:spacing w:after="0" w:line="1" w:lineRule="exact"/>
        <w:rPr>
          <w:sz w:val="20"/>
          <w:szCs w:val="20"/>
          <w:color w:val="auto"/>
        </w:rPr>
      </w:pPr>
    </w:p>
    <w:p>
      <w:pPr>
        <w:ind w:left="1140" w:right="560" w:hanging="789"/>
        <w:spacing w:after="0" w:line="260"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of Indemnification Agreement described in Item 6, filed as Exhibit 10.11 to the Issuer’s Form S-1 Registration Statement (File No. 333-226999)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tabs>
          <w:tab w:leader="none" w:pos="5500" w:val="left"/>
          <w:tab w:leader="none" w:pos="1022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12 of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undersigned hereby agree that a single Schedule 13D (or any amendment thereto) relating to the Common Stock of Y-mAbs Therapeutics, Inc. shall be filed on behalf of each of the undersigned and that this Agreement shall be filed as an exhibit to such Schedule 13D.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SOFINNOVA VENTURE PARTNERS X, L.P., a Delaware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SOFINNOVA MANAGEMENT X, L.L.C., a Delaware Limited Liability</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Nathalie Auber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SOFINNOVA MANAGEMENT X, L.L.C., a Delaware Limited Liability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Nathalie Auber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DR. JAMES I. HEALY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DR. MAHA KATABI</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Nathalie Auber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tabs>
          <w:tab w:leader="none" w:pos="5500" w:val="left"/>
          <w:tab w:leader="none" w:pos="1022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13 of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Nathalie Auber has signed this Schedule 13D as Attorney-In-Fact. Note that copies of the applicable Power of Attorney are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3"/>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A"/>
      <w:numFmt w:val="bullet"/>
      <w:start w:val="1"/>
    </w:lvl>
  </w:abstractNum>
  <w:abstractNum w:abstractNumId="5">
    <w:nsid w:val="79E2A9E3"/>
    <w:multiLevelType w:val="hybridMultilevel"/>
    <w:lvl w:ilvl="0">
      <w:lvlJc w:val="left"/>
      <w:lvlText w:val="B"/>
      <w:numFmt w:val="bullet"/>
      <w:start w:val="1"/>
    </w:lvl>
  </w:abstractNum>
  <w:abstractNum w:abstractNumId="6">
    <w:nsid w:val="7545E146"/>
    <w:multiLevelType w:val="hybridMultilevel"/>
    <w:lvl w:ilvl="0">
      <w:lvlJc w:val="left"/>
      <w:lvlText w:val="C"/>
      <w:numFmt w:val="bullet"/>
      <w:start w:val="1"/>
    </w:lvl>
  </w:abstractNum>
  <w:abstractNum w:abstractNumId="7">
    <w:nsid w:val="515F007C"/>
    <w:multiLevelType w:val="hybridMultilevel"/>
    <w:lvl w:ilvl="0">
      <w:lvlJc w:val="left"/>
      <w:lvlText w:val="D"/>
      <w:numFmt w:val="bullet"/>
      <w:start w:val="1"/>
    </w:lvl>
  </w:abstractNum>
  <w:abstractNum w:abstractNumId="8">
    <w:nsid w:val="5BD062C2"/>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2022-02-15T05:46:33Z</dcterms:created>
  <dcterms:modified xsi:type="dcterms:W3CDTF">2022-02-15T05:46:33Z</dcterms:modified>
</cp:coreProperties>
</file>