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0001753224</w:t>
            </w:r>
          </w:p>
        </w:tc>
        <w:tc>
          <w:tcPr>
            <w:tcW w:w="38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Y-mAbs Therapeutics,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001-38650</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230 Park Avenue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Suite3350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New York</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10169</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6468858505</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Arial" w:cs="Arial" w:eastAsia="Arial" w:hAnsi="Arial"/>
                <w:sz w:val="22"/>
                <w:szCs w:val="22"/>
                <w:color w:val="auto"/>
                <w:w w:val="88"/>
              </w:rPr>
              <w:t>Gad Enterprises LLC (Thomas Gad)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J.P. Morgan Securities</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Arial" w:cs="Arial" w:eastAsia="Arial" w:hAnsi="Arial"/>
                <w:sz w:val="22"/>
                <w:szCs w:val="22"/>
                <w:color w:val="auto"/>
              </w:rPr>
              <w:t>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390 Madison Avenue</w:t>
            </w:r>
          </w:p>
        </w:tc>
        <w:tc>
          <w:tcPr>
            <w:tcW w:w="1300" w:type="dxa"/>
            <w:vAlign w:val="bottom"/>
          </w:tcPr>
          <w:p>
            <w:pPr>
              <w:jc w:val="right"/>
              <w:ind w:right="432"/>
              <w:spacing w:after="0" w:line="243" w:lineRule="exact"/>
              <w:rPr>
                <w:sz w:val="20"/>
                <w:szCs w:val="20"/>
                <w:color w:val="auto"/>
              </w:rPr>
            </w:pPr>
            <w:r>
              <w:rPr>
                <w:rFonts w:ascii="Arial" w:cs="Arial" w:eastAsia="Arial" w:hAnsi="Arial"/>
                <w:sz w:val="22"/>
                <w:szCs w:val="22"/>
                <w:color w:val="auto"/>
              </w:rPr>
              <w:t>150000</w:t>
            </w:r>
          </w:p>
        </w:tc>
        <w:tc>
          <w:tcPr>
            <w:tcW w:w="1140" w:type="dxa"/>
            <w:vAlign w:val="bottom"/>
          </w:tcPr>
          <w:p>
            <w:pPr>
              <w:jc w:val="right"/>
              <w:ind w:right="352"/>
              <w:spacing w:after="0" w:line="243" w:lineRule="exact"/>
              <w:rPr>
                <w:sz w:val="20"/>
                <w:szCs w:val="20"/>
                <w:color w:val="auto"/>
              </w:rPr>
            </w:pPr>
            <w:r>
              <w:rPr>
                <w:rFonts w:ascii="Arial" w:cs="Arial" w:eastAsia="Arial" w:hAnsi="Arial"/>
                <w:sz w:val="22"/>
                <w:szCs w:val="22"/>
                <w:color w:val="auto"/>
                <w:w w:val="89"/>
              </w:rPr>
              <w:t>790500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6th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43621618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11/20/2023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rPr>
          <w:sz w:val="20"/>
          <w:szCs w:val="20"/>
          <w:color w:val="auto"/>
        </w:rPr>
      </w:pPr>
      <w:r>
        <w:rPr>
          <w:rFonts w:ascii="Arial" w:cs="Arial" w:eastAsia="Arial" w:hAnsi="Arial"/>
          <w:sz w:val="17"/>
          <w:szCs w:val="17"/>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18"/>
          <w:szCs w:val="18"/>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Payment *</w:t>
      </w:r>
    </w:p>
    <w:p>
      <w:pPr>
        <w:spacing w:after="0" w:line="52"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11"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11"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Arial" w:cs="Arial" w:eastAsia="Arial" w:hAnsi="Arial"/>
          <w:sz w:val="22"/>
          <w:szCs w:val="22"/>
          <w:b w:val="1"/>
          <w:bCs w:val="1"/>
          <w:color w:val="auto"/>
        </w:rPr>
        <w:t>Acquired</w:t>
        <w:tab/>
        <w:t>Gift?</w:t>
      </w:r>
    </w:p>
    <w:p>
      <w:pPr>
        <w:sectPr>
          <w:pgSz w:w="11900" w:h="16838" w:orient="portrait"/>
          <w:cols w:equalWidth="0" w:num="1">
            <w:col w:w="11240"/>
          </w:cols>
          <w:pgMar w:left="320" w:top="111" w:right="339" w:bottom="1440" w:gutter="0" w:footer="0" w:header="0"/>
          <w:type w:val="continuous"/>
        </w:sectPr>
      </w:pPr>
    </w:p>
    <w:p>
      <w:pPr>
        <w:spacing w:after="0" w:line="37"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08/15/2015 Private Investment Issuer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150000</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08/15/2015 Cash</w:t>
      </w:r>
    </w:p>
    <w:p>
      <w:pPr>
        <w:spacing w:after="0" w:line="200" w:lineRule="exact"/>
        <w:rPr>
          <w:sz w:val="20"/>
          <w:szCs w:val="20"/>
          <w:color w:val="auto"/>
        </w:rPr>
      </w:pPr>
    </w:p>
    <w:p>
      <w:pPr>
        <w:sectPr>
          <w:pgSz w:w="11900" w:h="16838" w:orient="portrait"/>
          <w:cols w:equalWidth="0" w:num="4">
            <w:col w:w="860" w:space="660"/>
            <w:col w:w="4980" w:space="720"/>
            <w:col w:w="640" w:space="66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11/20/2023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7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J.P. Morgan Securities LLC as agent and attorney-in-fact for Gad Enterprises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2023-11-20T15:20:05Z</dcterms:created>
  <dcterms:modified xsi:type="dcterms:W3CDTF">2023-11-20T15:20:05Z</dcterms:modified>
</cp:coreProperties>
</file>