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984241109</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2018</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660" w:type="dxa"/>
            <w:vAlign w:val="bottom"/>
          </w:tcPr>
          <w:p>
            <w:pPr>
              <w:ind w:left="60"/>
              <w:spacing w:after="0"/>
              <w:rPr>
                <w:sz w:val="20"/>
                <w:szCs w:val="20"/>
                <w:color w:val="auto"/>
              </w:rPr>
            </w:pPr>
            <w:r>
              <w:rPr>
                <w:rFonts w:ascii="Arial" w:cs="Arial" w:eastAsia="Arial" w:hAnsi="Arial"/>
                <w:sz w:val="18"/>
                <w:szCs w:val="18"/>
                <w:color w:val="auto"/>
              </w:rPr>
              <w:t>CUSIP No. 74257L108</w:t>
            </w:r>
          </w:p>
        </w:tc>
        <w:tc>
          <w:tcPr>
            <w:tcW w:w="7760" w:type="dxa"/>
            <w:vAlign w:val="bottom"/>
          </w:tcPr>
          <w:p>
            <w:pPr>
              <w:ind w:left="1920"/>
              <w:spacing w:after="0"/>
              <w:rPr>
                <w:sz w:val="20"/>
                <w:szCs w:val="20"/>
                <w:color w:val="auto"/>
              </w:rPr>
            </w:pPr>
            <w:r>
              <w:rPr>
                <w:rFonts w:ascii="Arial" w:cs="Arial" w:eastAsia="Arial" w:hAnsi="Arial"/>
                <w:sz w:val="18"/>
                <w:szCs w:val="18"/>
                <w:b w:val="1"/>
                <w:bCs w:val="1"/>
                <w:color w:val="auto"/>
              </w:rPr>
              <w:t>13G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HBM Healthcare Investments (Cayman) Ltd.</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060" w:right="7740" w:hanging="620"/>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Citizenship or Place of Organization Cayman Islands, British West Indies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-563245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-974725</wp:posOffset>
            </wp:positionV>
            <wp:extent cx="6209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-1189355</wp:posOffset>
            </wp:positionV>
            <wp:extent cx="6209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-1806575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2,814,494</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3810</wp:posOffset>
            </wp:positionV>
            <wp:extent cx="5866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2,814,494</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3810</wp:posOffset>
            </wp:positionV>
            <wp:extent cx="5866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440"/>
            <w:col w:w="9180"/>
          </w:cols>
          <w:pgMar w:left="240" w:top="391" w:right="239" w:bottom="1440" w:gutter="0" w:footer="0" w:header="0"/>
          <w:type w:val="continuous"/>
        </w:sectPr>
      </w:pPr>
    </w:p>
    <w:p>
      <w:pPr>
        <w:spacing w:after="0" w:line="227" w:lineRule="exact"/>
        <w:rPr>
          <w:sz w:val="20"/>
          <w:szCs w:val="20"/>
          <w:color w:val="auto"/>
        </w:rPr>
      </w:pPr>
    </w:p>
    <w:p>
      <w:pPr>
        <w:ind w:left="1060" w:right="5560" w:hanging="620"/>
        <w:spacing w:after="0" w:line="292"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2,814,494</w:t>
      </w:r>
      <w:r>
        <w:rPr>
          <w:rFonts w:ascii="Arial" w:cs="Arial" w:eastAsia="Arial" w:hAnsi="Arial"/>
          <w:sz w:val="23"/>
          <w:szCs w:val="23"/>
          <w:color w:val="auto"/>
          <w:vertAlign w:val="superscript"/>
        </w:rPr>
        <w:t>(1)</w:t>
      </w:r>
    </w:p>
    <w:p>
      <w:pPr>
        <w:spacing w:after="0" w:line="290" w:lineRule="exact"/>
        <w:rPr>
          <w:rFonts w:ascii="Arial" w:cs="Arial" w:eastAsia="Arial" w:hAnsi="Arial"/>
          <w:sz w:val="18"/>
          <w:szCs w:val="18"/>
          <w:color w:val="auto"/>
        </w:rPr>
      </w:pPr>
    </w:p>
    <w:p>
      <w:pPr>
        <w:ind w:left="1060" w:hanging="620"/>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92"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8.23%</w:t>
      </w:r>
      <w:r>
        <w:rPr>
          <w:rFonts w:ascii="Arial" w:cs="Arial" w:eastAsia="Arial" w:hAnsi="Arial"/>
          <w:sz w:val="23"/>
          <w:szCs w:val="23"/>
          <w:color w:val="auto"/>
          <w:vertAlign w:val="superscript"/>
        </w:rPr>
        <w:t>(2)</w:t>
      </w:r>
    </w:p>
    <w:p>
      <w:pPr>
        <w:spacing w:after="0" w:line="290" w:lineRule="exact"/>
        <w:rPr>
          <w:rFonts w:ascii="Arial" w:cs="Arial" w:eastAsia="Arial" w:hAnsi="Arial"/>
          <w:sz w:val="18"/>
          <w:szCs w:val="18"/>
          <w:color w:val="auto"/>
        </w:rPr>
      </w:pPr>
    </w:p>
    <w:p>
      <w:pPr>
        <w:ind w:left="1060" w:hanging="620"/>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660" w:right="120" w:hanging="652"/>
        <w:spacing w:after="0" w:line="259" w:lineRule="auto"/>
        <w:tabs>
          <w:tab w:leader="none" w:pos="667"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Voting and investment power over the shares held by HBM Healthcare Investments (Cayman) Ltd. is exercised by the board of directors of HBM Healthcare Investments (Cayman) Ltd. The board of directors of HBM Healthcare Investments (Cayman) Ltd. consists of Jean-Marc LeSieur, Richard H. Coles, Sophia Harris, Dr. Andreas Wicki, Mark Kronenfeld, M.D. and Richard Paul Woodhouse, none of whom has individual voting or investment power with respect to the shares.</w:t>
      </w:r>
    </w:p>
    <w:p>
      <w:pPr>
        <w:spacing w:after="0" w:line="186" w:lineRule="exact"/>
        <w:rPr>
          <w:rFonts w:ascii="Arial" w:cs="Arial" w:eastAsia="Arial" w:hAnsi="Arial"/>
          <w:sz w:val="18"/>
          <w:szCs w:val="18"/>
          <w:color w:val="auto"/>
        </w:rPr>
      </w:pPr>
    </w:p>
    <w:p>
      <w:pPr>
        <w:ind w:left="660" w:right="40" w:hanging="652"/>
        <w:spacing w:after="0" w:line="277" w:lineRule="auto"/>
        <w:tabs>
          <w:tab w:leader="none" w:pos="66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percentage is calculated based upon 34,193,666 shares of the Issuer’s Common Stock outstanding, as set forth in Issuer’s Form 10-Q, filed with the Securities and Exchange Commission on 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-1271270</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-1819910</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-2369185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-2780665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-1056640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7"/>
          <w:szCs w:val="17"/>
          <w:b w:val="1"/>
          <w:bCs w:val="1"/>
          <w:color w:val="auto"/>
        </w:rPr>
        <w:t>Item 1(a).</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2(a).</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2(c).</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2(d).</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8"/>
          <w:szCs w:val="18"/>
          <w:color w:val="auto"/>
        </w:rPr>
        <w:t>Name of Issuer: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40005</wp:posOffset>
            </wp:positionV>
            <wp:extent cx="6320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 of Issuer’s Principal Executive Offices: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230 Park Avenue</w:t>
      </w:r>
    </w:p>
    <w:p>
      <w:pPr>
        <w:ind w:left="20"/>
        <w:spacing w:after="0" w:line="205" w:lineRule="auto"/>
        <w:rPr>
          <w:sz w:val="20"/>
          <w:szCs w:val="20"/>
          <w:color w:val="auto"/>
        </w:rPr>
      </w:pPr>
      <w:r>
        <w:rPr>
          <w:rFonts w:ascii="Arial" w:cs="Arial" w:eastAsia="Arial" w:hAnsi="Arial"/>
          <w:sz w:val="18"/>
          <w:szCs w:val="18"/>
          <w:color w:val="auto"/>
        </w:rPr>
        <w:t>33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38735</wp:posOffset>
            </wp:positionV>
            <wp:extent cx="63201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Person Filing: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HBM Healthcare Investments (Cayman)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40005</wp:posOffset>
            </wp:positionV>
            <wp:extent cx="6320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 of Principal Business Office or, if none, Residence: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Governors Square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Suite #4-212-2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 Lime Tree Bay Avenue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West Bay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Grand Cayman,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40005</wp:posOffset>
            </wp:positionV>
            <wp:extent cx="63201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Cayman Islands, British West Indies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40005</wp:posOffset>
            </wp:positionV>
            <wp:extent cx="63201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40005</wp:posOffset>
            </wp:positionV>
            <wp:extent cx="63201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CUSIP Number: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40005</wp:posOffset>
            </wp:positionV>
            <wp:extent cx="63201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this statement is filed pursuant to §§240.13d-1(b), or 240.13d-2(b) or (c), check whether the person filing is 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820" w:space="620"/>
            <w:col w:w="8719"/>
          </w:cols>
          <w:pgMar w:left="300" w:top="391" w:right="1440" w:bottom="1440" w:gutter="0" w:footer="0" w:header="0"/>
        </w:sectPr>
      </w:pPr>
    </w:p>
    <w:bookmarkStart w:id="3" w:name="page4"/>
    <w:bookmarkEnd w:id="3"/>
    <w:p>
      <w:pPr>
        <w:ind w:left="112"/>
        <w:spacing w:after="0"/>
        <w:tabs>
          <w:tab w:leader="none" w:pos="1192"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00" w:lineRule="exact"/>
        <w:rPr>
          <w:sz w:val="20"/>
          <w:szCs w:val="20"/>
          <w:color w:val="auto"/>
        </w:rPr>
      </w:pPr>
    </w:p>
    <w:p>
      <w:pPr>
        <w:spacing w:after="0" w:line="299" w:lineRule="exact"/>
        <w:rPr>
          <w:sz w:val="20"/>
          <w:szCs w:val="20"/>
          <w:color w:val="auto"/>
        </w:rPr>
      </w:pPr>
    </w:p>
    <w:p>
      <w:pPr>
        <w:ind w:left="1652" w:hanging="374"/>
        <w:spacing w:after="0"/>
        <w:tabs>
          <w:tab w:leader="none" w:pos="1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52"/>
        <w:spacing w:after="0"/>
        <w:rPr>
          <w:rFonts w:ascii="Arial" w:cs="Arial" w:eastAsia="Arial" w:hAnsi="Arial"/>
          <w:sz w:val="18"/>
          <w:szCs w:val="18"/>
          <w:color w:val="auto"/>
        </w:rPr>
      </w:pPr>
      <w:r>
        <w:rPr>
          <w:rFonts w:ascii="Arial" w:cs="Arial" w:eastAsia="Arial" w:hAnsi="Arial"/>
          <w:sz w:val="18"/>
          <w:szCs w:val="18"/>
          <w:color w:val="auto"/>
        </w:rPr>
        <w:t>2,814,494</w:t>
      </w:r>
      <w:r>
        <w:rPr>
          <w:rFonts w:ascii="Arial" w:cs="Arial" w:eastAsia="Arial" w:hAnsi="Arial"/>
          <w:sz w:val="23"/>
          <w:szCs w:val="23"/>
          <w:color w:val="auto"/>
          <w:vertAlign w:val="superscript"/>
        </w:rPr>
        <w:t>(1)</w:t>
      </w:r>
    </w:p>
    <w:p>
      <w:pPr>
        <w:spacing w:after="0" w:line="181" w:lineRule="exact"/>
        <w:rPr>
          <w:rFonts w:ascii="Arial" w:cs="Arial" w:eastAsia="Arial" w:hAnsi="Arial"/>
          <w:sz w:val="18"/>
          <w:szCs w:val="18"/>
          <w:color w:val="auto"/>
        </w:rPr>
      </w:pPr>
    </w:p>
    <w:p>
      <w:pPr>
        <w:ind w:left="1652" w:hanging="379"/>
        <w:spacing w:after="0"/>
        <w:tabs>
          <w:tab w:leader="none" w:pos="1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52"/>
        <w:spacing w:after="0"/>
        <w:rPr>
          <w:rFonts w:ascii="Arial" w:cs="Arial" w:eastAsia="Arial" w:hAnsi="Arial"/>
          <w:sz w:val="18"/>
          <w:szCs w:val="18"/>
          <w:color w:val="auto"/>
        </w:rPr>
      </w:pPr>
      <w:r>
        <w:rPr>
          <w:rFonts w:ascii="Arial" w:cs="Arial" w:eastAsia="Arial" w:hAnsi="Arial"/>
          <w:sz w:val="18"/>
          <w:szCs w:val="18"/>
          <w:color w:val="auto"/>
        </w:rPr>
        <w:t>8.23%</w:t>
      </w:r>
      <w:r>
        <w:rPr>
          <w:rFonts w:ascii="Arial" w:cs="Arial" w:eastAsia="Arial" w:hAnsi="Arial"/>
          <w:sz w:val="23"/>
          <w:szCs w:val="23"/>
          <w:color w:val="auto"/>
          <w:vertAlign w:val="superscript"/>
        </w:rPr>
        <w:t>(2)</w:t>
      </w:r>
    </w:p>
    <w:p>
      <w:pPr>
        <w:spacing w:after="0" w:line="181" w:lineRule="exact"/>
        <w:rPr>
          <w:rFonts w:ascii="Arial" w:cs="Arial" w:eastAsia="Arial" w:hAnsi="Arial"/>
          <w:sz w:val="18"/>
          <w:szCs w:val="18"/>
          <w:color w:val="auto"/>
        </w:rPr>
      </w:pPr>
    </w:p>
    <w:p>
      <w:pPr>
        <w:ind w:left="1652" w:hanging="374"/>
        <w:spacing w:after="0"/>
        <w:tabs>
          <w:tab w:leader="none" w:pos="1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255270</wp:posOffset>
            </wp:positionV>
            <wp:extent cx="61144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8890"/>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-198755</wp:posOffset>
            </wp:positionV>
            <wp:extent cx="61144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8890"/>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-653415</wp:posOffset>
            </wp:positionV>
            <wp:extent cx="61144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72" w:right="6220" w:hanging="446"/>
        <w:spacing w:after="0" w:line="341" w:lineRule="auto"/>
        <w:tabs>
          <w:tab w:leader="none" w:pos="2272"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2,814,494</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-38100</wp:posOffset>
            </wp:positionV>
            <wp:extent cx="57283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26" w:lineRule="exact"/>
        <w:rPr>
          <w:sz w:val="20"/>
          <w:szCs w:val="20"/>
          <w:color w:val="auto"/>
        </w:rPr>
      </w:pPr>
    </w:p>
    <w:p>
      <w:pPr>
        <w:ind w:left="2272" w:right="5980" w:hanging="471"/>
        <w:spacing w:after="0" w:line="340" w:lineRule="auto"/>
        <w:tabs>
          <w:tab w:leader="none" w:pos="2272"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13970</wp:posOffset>
            </wp:positionV>
            <wp:extent cx="57283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109" w:lineRule="exact"/>
        <w:rPr>
          <w:sz w:val="20"/>
          <w:szCs w:val="20"/>
          <w:color w:val="auto"/>
        </w:rPr>
      </w:pPr>
    </w:p>
    <w:p>
      <w:pPr>
        <w:ind w:left="2272" w:right="5260" w:hanging="496"/>
        <w:spacing w:after="0" w:line="341" w:lineRule="auto"/>
        <w:tabs>
          <w:tab w:leader="none" w:pos="2272"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2,814,494</w:t>
      </w:r>
      <w:r>
        <w:rPr>
          <w:rFonts w:ascii="Arial" w:cs="Arial" w:eastAsia="Arial" w:hAnsi="Arial"/>
          <w:sz w:val="23"/>
          <w:szCs w:val="23"/>
          <w:color w:val="auto"/>
          <w:vertAlign w:val="superscript"/>
        </w:rPr>
        <w:t>(1)</w:t>
      </w:r>
    </w:p>
    <w:p>
      <w:pPr>
        <w:spacing w:after="0" w:line="45" w:lineRule="exact"/>
        <w:rPr>
          <w:rFonts w:ascii="Arial" w:cs="Arial" w:eastAsia="Arial" w:hAnsi="Arial"/>
          <w:sz w:val="18"/>
          <w:szCs w:val="18"/>
          <w:color w:val="auto"/>
        </w:rPr>
      </w:pPr>
    </w:p>
    <w:p>
      <w:pPr>
        <w:ind w:left="2272" w:right="5080" w:hanging="491"/>
        <w:spacing w:after="0" w:line="340" w:lineRule="auto"/>
        <w:tabs>
          <w:tab w:leader="none" w:pos="2272"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13970</wp:posOffset>
            </wp:positionV>
            <wp:extent cx="57283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1406525</wp:posOffset>
            </wp:positionH>
            <wp:positionV relativeFrom="paragraph">
              <wp:posOffset>-440055</wp:posOffset>
            </wp:positionV>
            <wp:extent cx="57283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362" w:lineRule="exact"/>
        <w:rPr>
          <w:sz w:val="20"/>
          <w:szCs w:val="20"/>
          <w:color w:val="auto"/>
        </w:rPr>
      </w:pPr>
    </w:p>
    <w:p>
      <w:pPr>
        <w:ind w:left="112"/>
        <w:spacing w:after="0"/>
        <w:tabs>
          <w:tab w:leader="none" w:pos="1192"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left="112" w:right="6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o.</w:t>
      </w:r>
    </w:p>
    <w:p>
      <w:pPr>
        <w:spacing w:after="0" w:line="383" w:lineRule="exact"/>
        <w:rPr>
          <w:sz w:val="20"/>
          <w:szCs w:val="20"/>
          <w:color w:val="auto"/>
        </w:rPr>
      </w:pPr>
    </w:p>
    <w:p>
      <w:pPr>
        <w:ind w:left="112"/>
        <w:spacing w:after="0"/>
        <w:tabs>
          <w:tab w:leader="none" w:pos="1192"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ind w:left="752"/>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212" w:right="740" w:hanging="1093"/>
        <w:spacing w:after="0" w:line="282" w:lineRule="auto"/>
        <w:tabs>
          <w:tab w:leader="none" w:pos="1192"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752"/>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2"/>
        <w:spacing w:after="0"/>
        <w:tabs>
          <w:tab w:leader="none" w:pos="1192"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752"/>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2"/>
        <w:spacing w:after="0"/>
        <w:tabs>
          <w:tab w:leader="none" w:pos="1192"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121" w:lineRule="exact"/>
        <w:rPr>
          <w:sz w:val="20"/>
          <w:szCs w:val="20"/>
          <w:color w:val="auto"/>
        </w:rPr>
      </w:pPr>
    </w:p>
    <w:p>
      <w:pPr>
        <w:ind w:left="752"/>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255270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52" w:hanging="652"/>
        <w:spacing w:after="0" w:line="259" w:lineRule="auto"/>
        <w:tabs>
          <w:tab w:leader="none" w:pos="659"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Voting and investment power over the shares held by HBM Healthcare Investments (Cayman) Ltd. is exercised by the board of directors of HBM Healthcare Investments (Cayman) Ltd. The board of directors of HBM Healthcare Investments (Cayman) Ltd. consists of Jean-Marc LeSieur, Richard H. Coles, Sophia Harris, Dr. Andreas Wicki, Mark Kronenfeld, M.D. and Richard Paul Woodhouse, none of whom has individual voting or investment power with respect to the shares.</w:t>
      </w:r>
    </w:p>
    <w:p>
      <w:pPr>
        <w:spacing w:after="0" w:line="186" w:lineRule="exact"/>
        <w:rPr>
          <w:rFonts w:ascii="Arial" w:cs="Arial" w:eastAsia="Arial" w:hAnsi="Arial"/>
          <w:sz w:val="18"/>
          <w:szCs w:val="18"/>
          <w:color w:val="auto"/>
        </w:rPr>
      </w:pPr>
    </w:p>
    <w:p>
      <w:pPr>
        <w:ind w:left="652" w:right="140" w:hanging="652"/>
        <w:spacing w:after="0" w:line="308" w:lineRule="auto"/>
        <w:tabs>
          <w:tab w:leader="none" w:pos="659"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percentage is calculated based upon 34,193,666 shares of the Issuer’s Common Stock outstanding (includes the exercise of the underwriters’ overallotment), as set forth in Issuer’s Form 10-Q, filed with the Securities and Exchange Commission on November 13, 2018.</w:t>
      </w:r>
    </w:p>
    <w:p>
      <w:pPr>
        <w:spacing w:after="0" w:line="147"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92"/>
          </w:cols>
          <w:pgMar w:left="248" w:top="391" w:right="359" w:bottom="1440" w:gutter="0" w:footer="0" w:header="0"/>
        </w:sectPr>
      </w:pPr>
    </w:p>
    <w:bookmarkStart w:id="4" w:name="page5"/>
    <w:bookmarkEnd w:id="4"/>
    <w:p>
      <w:pPr>
        <w:ind w:left="120"/>
        <w:spacing w:after="0"/>
        <w:tabs>
          <w:tab w:leader="none" w:pos="12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10320" w:type="dxa"/>
            <w:vAlign w:val="bottom"/>
            <w:gridSpan w:val="2"/>
          </w:tcPr>
          <w:p>
            <w:pPr>
              <w:ind w:left="4620"/>
              <w:spacing w:after="0"/>
              <w:rPr>
                <w:sz w:val="20"/>
                <w:szCs w:val="20"/>
                <w:color w:val="auto"/>
              </w:rPr>
            </w:pPr>
            <w:r>
              <w:rPr>
                <w:rFonts w:ascii="Arial" w:cs="Arial" w:eastAsia="Arial" w:hAnsi="Arial"/>
                <w:sz w:val="18"/>
                <w:szCs w:val="18"/>
                <w:color w:val="auto"/>
              </w:rPr>
              <w:t>February 14, 2019</w:t>
            </w:r>
          </w:p>
        </w:tc>
        <w:tc>
          <w:tcPr>
            <w:tcW w:w="40" w:type="dxa"/>
            <w:vAlign w:val="bottom"/>
          </w:tcPr>
          <w:p>
            <w:pPr>
              <w:spacing w:after="0"/>
              <w:rPr>
                <w:sz w:val="20"/>
                <w:szCs w:val="20"/>
                <w:color w:val="auto"/>
              </w:rPr>
            </w:pPr>
          </w:p>
        </w:tc>
      </w:tr>
      <w:tr>
        <w:trPr>
          <w:trHeight w:val="648"/>
        </w:trPr>
        <w:tc>
          <w:tcPr>
            <w:tcW w:w="1100" w:type="dxa"/>
            <w:vAlign w:val="bottom"/>
          </w:tcPr>
          <w:p>
            <w:pPr>
              <w:spacing w:after="0"/>
              <w:rPr>
                <w:sz w:val="24"/>
                <w:szCs w:val="24"/>
                <w:color w:val="auto"/>
              </w:rPr>
            </w:pPr>
          </w:p>
        </w:tc>
        <w:tc>
          <w:tcPr>
            <w:tcW w:w="10320" w:type="dxa"/>
            <w:vAlign w:val="bottom"/>
            <w:gridSpan w:val="2"/>
          </w:tcPr>
          <w:p>
            <w:pPr>
              <w:ind w:left="4620"/>
              <w:spacing w:after="0"/>
              <w:rPr>
                <w:sz w:val="20"/>
                <w:szCs w:val="20"/>
                <w:color w:val="auto"/>
              </w:rPr>
            </w:pPr>
            <w:r>
              <w:rPr>
                <w:rFonts w:ascii="Arial" w:cs="Arial" w:eastAsia="Arial" w:hAnsi="Arial"/>
                <w:sz w:val="18"/>
                <w:szCs w:val="18"/>
                <w:b w:val="1"/>
                <w:bCs w:val="1"/>
                <w:color w:val="auto"/>
              </w:rPr>
              <w:t>HBM HEALTHCARE INVESTMENTS (CAYMAN) LTD.</w:t>
            </w:r>
          </w:p>
        </w:tc>
        <w:tc>
          <w:tcPr>
            <w:tcW w:w="4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10320" w:type="dxa"/>
            <w:vAlign w:val="bottom"/>
            <w:gridSpan w:val="2"/>
          </w:tcPr>
          <w:p>
            <w:pPr>
              <w:ind w:left="4620"/>
              <w:spacing w:after="0"/>
              <w:rPr>
                <w:sz w:val="20"/>
                <w:szCs w:val="20"/>
                <w:color w:val="auto"/>
              </w:rPr>
            </w:pPr>
            <w:r>
              <w:rPr>
                <w:rFonts w:ascii="Arial" w:cs="Arial" w:eastAsia="Arial" w:hAnsi="Arial"/>
                <w:sz w:val="18"/>
                <w:szCs w:val="18"/>
                <w:color w:val="auto"/>
              </w:rPr>
              <w:t>By:  /s/ Jean-Marc LeSieur</w:t>
            </w:r>
          </w:p>
        </w:tc>
        <w:tc>
          <w:tcPr>
            <w:tcW w:w="40" w:type="dxa"/>
            <w:vAlign w:val="bottom"/>
          </w:tcPr>
          <w:p>
            <w:pPr>
              <w:spacing w:after="0"/>
              <w:rPr>
                <w:sz w:val="24"/>
                <w:szCs w:val="24"/>
                <w:color w:val="auto"/>
              </w:rPr>
            </w:pPr>
          </w:p>
        </w:tc>
      </w:tr>
      <w:tr>
        <w:trPr>
          <w:trHeight w:val="224"/>
        </w:trPr>
        <w:tc>
          <w:tcPr>
            <w:tcW w:w="11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Jean-Marc LeSieur, Managing Director</w:t>
            </w:r>
          </w:p>
        </w:tc>
        <w:tc>
          <w:tcPr>
            <w:tcW w:w="40" w:type="dxa"/>
            <w:vAlign w:val="bottom"/>
          </w:tcPr>
          <w:p>
            <w:pPr>
              <w:spacing w:after="0"/>
              <w:rPr>
                <w:sz w:val="19"/>
                <w:szCs w:val="19"/>
                <w:color w:val="auto"/>
              </w:rPr>
            </w:pPr>
          </w:p>
        </w:tc>
      </w:tr>
      <w:tr>
        <w:trPr>
          <w:trHeight w:val="418"/>
        </w:trPr>
        <w:tc>
          <w:tcPr>
            <w:tcW w:w="110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10320" w:type="dxa"/>
            <w:vAlign w:val="bottom"/>
            <w:gridSpan w:val="2"/>
          </w:tcPr>
          <w:p>
            <w:pPr>
              <w:ind w:left="280"/>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tc>
        <w:tc>
          <w:tcPr>
            <w:tcW w:w="4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502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0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tcPr>
          <w:p>
            <w:pPr>
              <w:spacing w:after="0"/>
              <w:rPr>
                <w:sz w:val="11"/>
                <w:szCs w:val="11"/>
                <w:color w:val="auto"/>
              </w:rPr>
            </w:pPr>
          </w:p>
        </w:tc>
        <w:tc>
          <w:tcPr>
            <w:tcW w:w="5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9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1"/>
      <w:numFmt w:val="decimal"/>
      <w:start w:val="1"/>
    </w:lvl>
    <w:lvl w:ilvl="1">
      <w:lvlJc w:val="left"/>
      <w:lvlText w:val="%2."/>
      <w:numFmt w:val="decimal"/>
      <w:start w:val="9"/>
    </w:lvl>
  </w:abstractNum>
  <w:abstractNum w:abstractNumId="3">
    <w:nsid w:val="2EB141F2"/>
    <w:multiLevelType w:val="hybridMultilevel"/>
    <w:lvl w:ilvl="0">
      <w:lvlJc w:val="left"/>
      <w:lvlText w:val="(%1)"/>
      <w:numFmt w:val="decimal"/>
      <w:start w:val="1"/>
    </w:lvl>
    <w:lvl w:ilvl="1">
      <w:lvlJc w:val="left"/>
      <w:lvlText w:val="%2"/>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lowerRoman"/>
      <w:start w:val="3"/>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2019-12-20T15:05:57Z</dcterms:created>
  <dcterms:modified xsi:type="dcterms:W3CDTF">2019-12-20T15:05:57Z</dcterms:modified>
</cp:coreProperties>
</file>