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Gentilcore Douglas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Y-mAbs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YMAB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Y-MABS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230 PARK AVENUE</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10169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 Danyelza Bus. Unit Head</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LaRocca,</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 ID and Forms 3, 4 and 5 and Schedules 13D and 13G)</w:t>
      </w:r>
    </w:p>
    <w:p>
      <w:pPr>
        <w:spacing w:after="0" w:line="250"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John LaRocca and Peter Pfreundschuh of Y-mAbs 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 beneficial owner of a registered class of securities of the Company;</w:t>
      </w:r>
    </w:p>
    <w:p>
      <w:pPr>
        <w:spacing w:after="0" w:line="20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20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and Rule 144 thereunder.</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6, 2025</w:t>
      </w:r>
    </w:p>
    <w:p>
      <w:pPr>
        <w:spacing w:after="0" w:line="2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Douglas J. Gentilcore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Name:Douglas J. Gentilcore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2524" TargetMode="External"/><Relationship Id="rId11"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2025-01-17T15:23:15Z</dcterms:created>
  <dcterms:modified xsi:type="dcterms:W3CDTF">2025-01-17T15:23:15Z</dcterms:modified>
</cp:coreProperties>
</file>