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Times New Roman" w:cs="Times New Roman" w:eastAsia="Times New Roman" w:hAnsi="Times New Roman"/>
          <w:sz w:val="22"/>
          <w:szCs w:val="22"/>
          <w:b w:val="1"/>
          <w:bCs w:val="1"/>
          <w:color w:val="auto"/>
        </w:rPr>
        <w:t>UNITED STATES</w:t>
      </w:r>
    </w:p>
    <w:p>
      <w:pPr>
        <w:spacing w:after="0" w:line="8"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22"/>
          <w:szCs w:val="22"/>
          <w:b w:val="1"/>
          <w:bCs w:val="1"/>
          <w:color w:val="auto"/>
        </w:rPr>
        <w:t>SECURITIES AND EXCHANGE COMMISSION</w:t>
      </w:r>
    </w:p>
    <w:p>
      <w:pPr>
        <w:jc w:val="center"/>
        <w:ind w:right="-119"/>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247"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25"/>
          <w:szCs w:val="25"/>
          <w:b w:val="1"/>
          <w:bCs w:val="1"/>
          <w:color w:val="auto"/>
        </w:rPr>
        <w:t>SCHEDULE 13G</w:t>
      </w:r>
    </w:p>
    <w:p>
      <w:pPr>
        <w:spacing w:after="0" w:line="305"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22"/>
          <w:szCs w:val="22"/>
          <w:b w:val="1"/>
          <w:bCs w:val="1"/>
          <w:color w:val="auto"/>
        </w:rPr>
        <w:t>Under the Securities Exchange Act of 1934</w:t>
      </w:r>
    </w:p>
    <w:p>
      <w:pPr>
        <w:spacing w:after="0" w:line="283"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22"/>
          <w:szCs w:val="22"/>
          <w:b w:val="1"/>
          <w:bCs w:val="1"/>
          <w:color w:val="auto"/>
        </w:rPr>
        <w:t>(Amendment No. 1 )</w:t>
      </w:r>
      <w:r>
        <w:rPr>
          <w:rFonts w:ascii="Times New Roman" w:cs="Times New Roman" w:eastAsia="Times New Roman" w:hAnsi="Times New Roman"/>
          <w:sz w:val="35"/>
          <w:szCs w:val="35"/>
          <w:b w:val="1"/>
          <w:bCs w:val="1"/>
          <w:color w:val="auto"/>
          <w:vertAlign w:val="superscript"/>
        </w:rPr>
        <w:t>*</w:t>
      </w:r>
    </w:p>
    <w:p>
      <w:pPr>
        <w:spacing w:after="0" w:line="200" w:lineRule="exact"/>
        <w:rPr>
          <w:sz w:val="24"/>
          <w:szCs w:val="24"/>
          <w:color w:val="auto"/>
        </w:rPr>
      </w:pPr>
    </w:p>
    <w:p>
      <w:pPr>
        <w:spacing w:after="0" w:line="391"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22"/>
          <w:szCs w:val="22"/>
          <w:color w:val="auto"/>
        </w:rPr>
        <w:t>Y-mAbs Therapeutics,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706120</wp:posOffset>
            </wp:positionH>
            <wp:positionV relativeFrom="paragraph">
              <wp:posOffset>146050</wp:posOffset>
            </wp:positionV>
            <wp:extent cx="5730240" cy="209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730240" cy="20955"/>
                    </a:xfrm>
                    <a:prstGeom prst="rect">
                      <a:avLst/>
                    </a:prstGeom>
                    <a:noFill/>
                  </pic:spPr>
                </pic:pic>
              </a:graphicData>
            </a:graphic>
          </wp:anchor>
        </w:drawing>
      </w:r>
    </w:p>
    <w:p>
      <w:pPr>
        <w:spacing w:after="0" w:line="321" w:lineRule="exact"/>
        <w:rPr>
          <w:sz w:val="24"/>
          <w:szCs w:val="24"/>
          <w:color w:val="auto"/>
        </w:rPr>
      </w:pPr>
    </w:p>
    <w:p>
      <w:pPr>
        <w:ind w:left="4900"/>
        <w:spacing w:after="0"/>
        <w:rPr>
          <w:sz w:val="20"/>
          <w:szCs w:val="20"/>
          <w:color w:val="auto"/>
        </w:rPr>
      </w:pPr>
      <w:r>
        <w:rPr>
          <w:rFonts w:ascii="Times New Roman" w:cs="Times New Roman" w:eastAsia="Times New Roman" w:hAnsi="Times New Roman"/>
          <w:sz w:val="22"/>
          <w:szCs w:val="22"/>
          <w:color w:val="auto"/>
        </w:rPr>
        <w:t>(Name of Issuer)</w:t>
      </w:r>
    </w:p>
    <w:p>
      <w:pPr>
        <w:spacing w:after="0" w:line="206" w:lineRule="exact"/>
        <w:rPr>
          <w:sz w:val="24"/>
          <w:szCs w:val="24"/>
          <w:color w:val="auto"/>
        </w:rPr>
      </w:pPr>
    </w:p>
    <w:p>
      <w:pPr>
        <w:ind w:left="4940"/>
        <w:spacing w:after="0"/>
        <w:rPr>
          <w:sz w:val="20"/>
          <w:szCs w:val="20"/>
          <w:color w:val="auto"/>
        </w:rPr>
      </w:pPr>
      <w:r>
        <w:rPr>
          <w:rFonts w:ascii="Times New Roman" w:cs="Times New Roman" w:eastAsia="Times New Roman" w:hAnsi="Times New Roman"/>
          <w:sz w:val="22"/>
          <w:szCs w:val="22"/>
          <w:color w:val="auto"/>
        </w:rPr>
        <w:t>Common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706120</wp:posOffset>
            </wp:positionH>
            <wp:positionV relativeFrom="paragraph">
              <wp:posOffset>146050</wp:posOffset>
            </wp:positionV>
            <wp:extent cx="5730240" cy="209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730240" cy="20955"/>
                    </a:xfrm>
                    <a:prstGeom prst="rect">
                      <a:avLst/>
                    </a:prstGeom>
                    <a:noFill/>
                  </pic:spPr>
                </pic:pic>
              </a:graphicData>
            </a:graphic>
          </wp:anchor>
        </w:drawing>
      </w:r>
    </w:p>
    <w:p>
      <w:pPr>
        <w:spacing w:after="0" w:line="321"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22"/>
          <w:szCs w:val="22"/>
          <w:color w:val="auto"/>
        </w:rPr>
        <w:t>(Title of Class of Securities)</w:t>
      </w:r>
    </w:p>
    <w:p>
      <w:pPr>
        <w:spacing w:after="0" w:line="206"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22"/>
          <w:szCs w:val="22"/>
          <w:color w:val="auto"/>
        </w:rPr>
        <w:t>984241109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706120</wp:posOffset>
            </wp:positionH>
            <wp:positionV relativeFrom="paragraph">
              <wp:posOffset>146050</wp:posOffset>
            </wp:positionV>
            <wp:extent cx="5730240" cy="209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30240" cy="20955"/>
                    </a:xfrm>
                    <a:prstGeom prst="rect">
                      <a:avLst/>
                    </a:prstGeom>
                    <a:noFill/>
                  </pic:spPr>
                </pic:pic>
              </a:graphicData>
            </a:graphic>
          </wp:anchor>
        </w:drawing>
      </w:r>
    </w:p>
    <w:p>
      <w:pPr>
        <w:spacing w:after="0" w:line="321" w:lineRule="exact"/>
        <w:rPr>
          <w:sz w:val="24"/>
          <w:szCs w:val="24"/>
          <w:color w:val="auto"/>
        </w:rPr>
      </w:pPr>
    </w:p>
    <w:p>
      <w:pPr>
        <w:ind w:left="4860"/>
        <w:spacing w:after="0"/>
        <w:rPr>
          <w:sz w:val="20"/>
          <w:szCs w:val="20"/>
          <w:color w:val="auto"/>
        </w:rPr>
      </w:pPr>
      <w:r>
        <w:rPr>
          <w:rFonts w:ascii="Times New Roman" w:cs="Times New Roman" w:eastAsia="Times New Roman" w:hAnsi="Times New Roman"/>
          <w:sz w:val="22"/>
          <w:szCs w:val="22"/>
          <w:color w:val="auto"/>
        </w:rPr>
        <w:t>(CUSIP Number)</w:t>
      </w:r>
    </w:p>
    <w:p>
      <w:pPr>
        <w:spacing w:after="0" w:line="206" w:lineRule="exact"/>
        <w:rPr>
          <w:sz w:val="24"/>
          <w:szCs w:val="24"/>
          <w:color w:val="auto"/>
        </w:rPr>
      </w:pPr>
    </w:p>
    <w:p>
      <w:pPr>
        <w:ind w:left="4740"/>
        <w:spacing w:after="0"/>
        <w:rPr>
          <w:sz w:val="20"/>
          <w:szCs w:val="20"/>
          <w:color w:val="auto"/>
        </w:rPr>
      </w:pPr>
      <w:r>
        <w:rPr>
          <w:rFonts w:ascii="Times New Roman" w:cs="Times New Roman" w:eastAsia="Times New Roman" w:hAnsi="Times New Roman"/>
          <w:sz w:val="22"/>
          <w:szCs w:val="22"/>
          <w:color w:val="auto"/>
        </w:rPr>
        <w:t>December 31, 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706120</wp:posOffset>
            </wp:positionH>
            <wp:positionV relativeFrom="paragraph">
              <wp:posOffset>146050</wp:posOffset>
            </wp:positionV>
            <wp:extent cx="5730240" cy="215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730240" cy="21590"/>
                    </a:xfrm>
                    <a:prstGeom prst="rect">
                      <a:avLst/>
                    </a:prstGeom>
                    <a:noFill/>
                  </pic:spPr>
                </pic:pic>
              </a:graphicData>
            </a:graphic>
          </wp:anchor>
        </w:drawing>
      </w:r>
    </w:p>
    <w:p>
      <w:pPr>
        <w:spacing w:after="0" w:line="321" w:lineRule="exact"/>
        <w:rPr>
          <w:sz w:val="24"/>
          <w:szCs w:val="24"/>
          <w:color w:val="auto"/>
        </w:rPr>
      </w:pPr>
    </w:p>
    <w:p>
      <w:pPr>
        <w:ind w:left="3180"/>
        <w:spacing w:after="0"/>
        <w:rPr>
          <w:sz w:val="20"/>
          <w:szCs w:val="20"/>
          <w:color w:val="auto"/>
        </w:rPr>
      </w:pPr>
      <w:r>
        <w:rPr>
          <w:rFonts w:ascii="Times New Roman" w:cs="Times New Roman" w:eastAsia="Times New Roman" w:hAnsi="Times New Roman"/>
          <w:sz w:val="22"/>
          <w:szCs w:val="22"/>
          <w:color w:val="auto"/>
        </w:rPr>
        <w:t>(Date of Event Which Requires Filing of this Statement)</w:t>
      </w:r>
    </w:p>
    <w:p>
      <w:pPr>
        <w:spacing w:after="0" w:line="206"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color w:val="auto"/>
        </w:rPr>
        <w:t>Check the appropriate box to designate the rule pursuant to which this Schedule is filed:</w:t>
      </w:r>
    </w:p>
    <w:p>
      <w:pPr>
        <w:spacing w:after="0" w:line="287" w:lineRule="exact"/>
        <w:rPr>
          <w:sz w:val="24"/>
          <w:szCs w:val="24"/>
          <w:color w:val="auto"/>
        </w:rPr>
      </w:pPr>
    </w:p>
    <w:p>
      <w:pPr>
        <w:jc w:val="both"/>
        <w:ind w:left="60" w:right="9420" w:firstLine="2"/>
        <w:spacing w:after="0" w:line="348" w:lineRule="auto"/>
        <w:tabs>
          <w:tab w:leader="none" w:pos="478" w:val="left"/>
        </w:tabs>
        <w:numPr>
          <w:ilvl w:val="1"/>
          <w:numId w:val="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Rule 13d-1(b) [ ] Rule 13d-1(c)</w:t>
      </w:r>
    </w:p>
    <w:p>
      <w:pPr>
        <w:spacing w:after="0" w:line="1" w:lineRule="exact"/>
        <w:rPr>
          <w:rFonts w:ascii="Times New Roman" w:cs="Times New Roman" w:eastAsia="Times New Roman" w:hAnsi="Times New Roman"/>
          <w:sz w:val="21"/>
          <w:szCs w:val="21"/>
          <w:color w:val="auto"/>
        </w:rPr>
      </w:pPr>
    </w:p>
    <w:p>
      <w:pPr>
        <w:ind w:left="60"/>
        <w:spacing w:after="0"/>
        <w:rPr>
          <w:rFonts w:ascii="Times New Roman" w:cs="Times New Roman" w:eastAsia="Times New Roman" w:hAnsi="Times New Roman"/>
          <w:sz w:val="21"/>
          <w:szCs w:val="21"/>
          <w:color w:val="auto"/>
        </w:rPr>
      </w:pPr>
      <w:r>
        <w:rPr>
          <w:rFonts w:ascii="Times New Roman" w:cs="Times New Roman" w:eastAsia="Times New Roman" w:hAnsi="Times New Roman"/>
          <w:sz w:val="22"/>
          <w:szCs w:val="22"/>
          <w:color w:val="auto"/>
        </w:rPr>
        <w:t>[ ]  Rule 13d-1(d)</w:t>
      </w:r>
    </w:p>
    <w:p>
      <w:pPr>
        <w:spacing w:after="0" w:line="269" w:lineRule="exact"/>
        <w:rPr>
          <w:rFonts w:ascii="Times New Roman" w:cs="Times New Roman" w:eastAsia="Times New Roman" w:hAnsi="Times New Roman"/>
          <w:sz w:val="21"/>
          <w:szCs w:val="21"/>
          <w:color w:val="auto"/>
        </w:rPr>
      </w:pPr>
    </w:p>
    <w:p>
      <w:pPr>
        <w:spacing w:after="0" w:line="214" w:lineRule="auto"/>
        <w:rPr>
          <w:rFonts w:ascii="Times New Roman" w:cs="Times New Roman" w:eastAsia="Times New Roman" w:hAnsi="Times New Roman"/>
          <w:sz w:val="21"/>
          <w:szCs w:val="21"/>
          <w:color w:val="auto"/>
        </w:rPr>
      </w:pPr>
      <w:r>
        <w:rPr>
          <w:rFonts w:ascii="Times New Roman" w:cs="Times New Roman" w:eastAsia="Times New Roman" w:hAnsi="Times New Roman"/>
          <w:sz w:val="35"/>
          <w:szCs w:val="35"/>
          <w:color w:val="auto"/>
          <w:vertAlign w:val="superscript"/>
        </w:rPr>
        <w:t>*</w:t>
      </w:r>
      <w:r>
        <w:rPr>
          <w:rFonts w:ascii="Times New Roman" w:cs="Times New Roman" w:eastAsia="Times New Roman" w:hAnsi="Times New Roman"/>
          <w:sz w:val="22"/>
          <w:szCs w:val="22"/>
          <w:color w:val="auto"/>
        </w:rPr>
        <w:t xml:space="preserve"> 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80" w:lineRule="exact"/>
        <w:rPr>
          <w:sz w:val="24"/>
          <w:szCs w:val="24"/>
          <w:color w:val="auto"/>
        </w:rPr>
      </w:pPr>
    </w:p>
    <w:p>
      <w:pPr>
        <w:ind w:right="180"/>
        <w:spacing w:after="0" w:line="244" w:lineRule="auto"/>
        <w:rPr>
          <w:sz w:val="20"/>
          <w:szCs w:val="20"/>
          <w:color w:val="auto"/>
        </w:rPr>
      </w:pPr>
      <w:r>
        <w:rPr>
          <w:rFonts w:ascii="Times New Roman" w:cs="Times New Roman" w:eastAsia="Times New Roman" w:hAnsi="Times New Roman"/>
          <w:sz w:val="22"/>
          <w:szCs w:val="22"/>
          <w:color w:val="auto"/>
        </w:rPr>
        <w:t>The information required in the remainder of this cover page shall not be deemed to be "filed" for the purpose of Section 18 of the Securities Exchange Act of 1934 (the "Act") or otherwise subject to the liabilities of that section of the Act, but shall be subject to all other provisions of the Act (however, see the Notes.)</w:t>
      </w:r>
    </w:p>
    <w:p>
      <w:pPr>
        <w:sectPr>
          <w:pgSz w:w="11900" w:h="16838" w:orient="portrait"/>
          <w:cols w:equalWidth="0" w:num="1">
            <w:col w:w="11120"/>
          </w:cols>
          <w:pgMar w:left="320" w:top="216" w:right="459" w:bottom="1440" w:gutter="0" w:footer="0" w:header="0"/>
        </w:sectPr>
      </w:pPr>
    </w:p>
    <w:bookmarkStart w:id="1" w:name="page2"/>
    <w:bookmarkEnd w:id="1"/>
    <w:p>
      <w:pPr>
        <w:ind w:left="40"/>
        <w:spacing w:after="0"/>
        <w:rPr>
          <w:sz w:val="20"/>
          <w:szCs w:val="20"/>
          <w:color w:val="auto"/>
        </w:rPr>
      </w:pPr>
      <w:r>
        <w:rPr>
          <w:rFonts w:ascii="Times New Roman" w:cs="Times New Roman" w:eastAsia="Times New Roman" w:hAnsi="Times New Roman"/>
          <w:sz w:val="22"/>
          <w:szCs w:val="22"/>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49465" cy="8890"/>
                    </a:xfrm>
                    <a:prstGeom prst="rect">
                      <a:avLst/>
                    </a:prstGeom>
                    <a:noFill/>
                  </pic:spPr>
                </pic:pic>
              </a:graphicData>
            </a:graphic>
          </wp:anchor>
        </w:drawing>
        <w:t>CUSIP No. 984241109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173990</wp:posOffset>
            </wp:positionV>
            <wp:extent cx="713232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348" w:lineRule="exact"/>
        <w:rPr>
          <w:sz w:val="20"/>
          <w:szCs w:val="20"/>
          <w:color w:val="auto"/>
        </w:rPr>
      </w:pPr>
    </w:p>
    <w:tbl>
      <w:tblPr>
        <w:tblLayout w:type="fixed"/>
        <w:tblInd w:w="120" w:type="dxa"/>
        <w:tblCellMar>
          <w:top w:w="0" w:type="dxa"/>
          <w:left w:w="0" w:type="dxa"/>
          <w:bottom w:w="0" w:type="dxa"/>
          <w:right w:w="0" w:type="dxa"/>
        </w:tblCellMar>
      </w:tblPr>
      <w:tr>
        <w:trPr>
          <w:trHeight w:val="282"/>
        </w:trPr>
        <w:tc>
          <w:tcPr>
            <w:tcW w:w="920" w:type="dxa"/>
            <w:vAlign w:val="bottom"/>
          </w:tcPr>
          <w:p>
            <w:pPr>
              <w:jc w:val="right"/>
              <w:ind w:right="652"/>
              <w:spacing w:after="0"/>
              <w:rPr>
                <w:sz w:val="20"/>
                <w:szCs w:val="20"/>
                <w:color w:val="auto"/>
              </w:rPr>
            </w:pPr>
            <w:r>
              <w:rPr>
                <w:rFonts w:ascii="Times New Roman" w:cs="Times New Roman" w:eastAsia="Times New Roman" w:hAnsi="Times New Roman"/>
                <w:sz w:val="22"/>
                <w:szCs w:val="22"/>
                <w:color w:val="auto"/>
                <w:w w:val="84"/>
              </w:rPr>
              <w:t>1.</w:t>
            </w: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NAMES OF REPORTING PERSONS</w:t>
            </w:r>
          </w:p>
        </w:tc>
      </w:tr>
      <w:tr>
        <w:trPr>
          <w:trHeight w:val="486"/>
        </w:trPr>
        <w:tc>
          <w:tcPr>
            <w:tcW w:w="920" w:type="dxa"/>
            <w:vAlign w:val="bottom"/>
          </w:tcPr>
          <w:p>
            <w:pPr>
              <w:spacing w:after="0"/>
              <w:rPr>
                <w:sz w:val="24"/>
                <w:szCs w:val="24"/>
                <w:color w:val="auto"/>
              </w:rPr>
            </w:pP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Wellington Management Group LLP</w:t>
            </w:r>
          </w:p>
        </w:tc>
      </w:tr>
      <w:tr>
        <w:trPr>
          <w:trHeight w:val="459"/>
        </w:trPr>
        <w:tc>
          <w:tcPr>
            <w:tcW w:w="920" w:type="dxa"/>
            <w:vAlign w:val="bottom"/>
          </w:tcPr>
          <w:p>
            <w:pPr>
              <w:jc w:val="right"/>
              <w:ind w:right="652"/>
              <w:spacing w:after="0"/>
              <w:rPr>
                <w:sz w:val="20"/>
                <w:szCs w:val="20"/>
                <w:color w:val="auto"/>
              </w:rPr>
            </w:pPr>
            <w:r>
              <w:rPr>
                <w:rFonts w:ascii="Times New Roman" w:cs="Times New Roman" w:eastAsia="Times New Roman" w:hAnsi="Times New Roman"/>
                <w:sz w:val="22"/>
                <w:szCs w:val="22"/>
                <w:color w:val="auto"/>
                <w:w w:val="84"/>
              </w:rPr>
              <w:t>2.</w:t>
            </w: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w w:val="97"/>
              </w:rPr>
              <w:t>CHECK THE APPROPRIATE BOX IF A MEMBER OF A GROUP</w:t>
            </w:r>
          </w:p>
        </w:tc>
      </w:tr>
      <w:tr>
        <w:trPr>
          <w:trHeight w:val="447"/>
        </w:trPr>
        <w:tc>
          <w:tcPr>
            <w:tcW w:w="920" w:type="dxa"/>
            <w:vAlign w:val="bottom"/>
          </w:tcPr>
          <w:p>
            <w:pPr>
              <w:spacing w:after="0"/>
              <w:rPr>
                <w:sz w:val="24"/>
                <w:szCs w:val="24"/>
                <w:color w:val="auto"/>
              </w:rPr>
            </w:pP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(a) [ ]</w:t>
            </w:r>
          </w:p>
        </w:tc>
      </w:tr>
      <w:tr>
        <w:trPr>
          <w:trHeight w:val="282"/>
        </w:trPr>
        <w:tc>
          <w:tcPr>
            <w:tcW w:w="920" w:type="dxa"/>
            <w:vAlign w:val="bottom"/>
          </w:tcPr>
          <w:p>
            <w:pPr>
              <w:spacing w:after="0"/>
              <w:rPr>
                <w:sz w:val="24"/>
                <w:szCs w:val="24"/>
                <w:color w:val="auto"/>
              </w:rPr>
            </w:pP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(b) [ ]</w:t>
            </w:r>
          </w:p>
        </w:tc>
      </w:tr>
      <w:tr>
        <w:trPr>
          <w:trHeight w:val="459"/>
        </w:trPr>
        <w:tc>
          <w:tcPr>
            <w:tcW w:w="920" w:type="dxa"/>
            <w:vAlign w:val="bottom"/>
          </w:tcPr>
          <w:p>
            <w:pPr>
              <w:jc w:val="right"/>
              <w:ind w:right="652"/>
              <w:spacing w:after="0"/>
              <w:rPr>
                <w:sz w:val="20"/>
                <w:szCs w:val="20"/>
                <w:color w:val="auto"/>
              </w:rPr>
            </w:pPr>
            <w:r>
              <w:rPr>
                <w:rFonts w:ascii="Times New Roman" w:cs="Times New Roman" w:eastAsia="Times New Roman" w:hAnsi="Times New Roman"/>
                <w:sz w:val="22"/>
                <w:szCs w:val="22"/>
                <w:color w:val="auto"/>
                <w:w w:val="84"/>
              </w:rPr>
              <w:t>3.</w:t>
            </w: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SEC USE ONLY</w:t>
            </w:r>
          </w:p>
        </w:tc>
      </w:tr>
      <w:tr>
        <w:trPr>
          <w:trHeight w:val="459"/>
        </w:trPr>
        <w:tc>
          <w:tcPr>
            <w:tcW w:w="920" w:type="dxa"/>
            <w:vAlign w:val="bottom"/>
          </w:tcPr>
          <w:p>
            <w:pPr>
              <w:jc w:val="right"/>
              <w:ind w:right="652"/>
              <w:spacing w:after="0"/>
              <w:rPr>
                <w:sz w:val="20"/>
                <w:szCs w:val="20"/>
                <w:color w:val="auto"/>
              </w:rPr>
            </w:pPr>
            <w:r>
              <w:rPr>
                <w:rFonts w:ascii="Times New Roman" w:cs="Times New Roman" w:eastAsia="Times New Roman" w:hAnsi="Times New Roman"/>
                <w:sz w:val="22"/>
                <w:szCs w:val="22"/>
                <w:color w:val="auto"/>
                <w:w w:val="84"/>
              </w:rPr>
              <w:t>4.</w:t>
            </w: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CITIZENSHIP OR PLACE OF ORGANIZATION</w:t>
            </w:r>
          </w:p>
        </w:tc>
      </w:tr>
      <w:tr>
        <w:trPr>
          <w:trHeight w:val="486"/>
        </w:trPr>
        <w:tc>
          <w:tcPr>
            <w:tcW w:w="920" w:type="dxa"/>
            <w:vAlign w:val="bottom"/>
          </w:tcPr>
          <w:p>
            <w:pPr>
              <w:spacing w:after="0"/>
              <w:rPr>
                <w:sz w:val="24"/>
                <w:szCs w:val="24"/>
                <w:color w:val="auto"/>
              </w:rPr>
            </w:pP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Massachusetts</w:t>
            </w:r>
          </w:p>
        </w:tc>
      </w:tr>
    </w:tbl>
    <w:p>
      <w:pPr>
        <w:spacing w:after="0" w:line="177" w:lineRule="exact"/>
        <w:rPr>
          <w:sz w:val="20"/>
          <w:szCs w:val="20"/>
          <w:color w:val="auto"/>
        </w:rPr>
      </w:pPr>
    </w:p>
    <w:tbl>
      <w:tblPr>
        <w:tblLayout w:type="fixed"/>
        <w:tblInd w:w="0" w:type="dxa"/>
        <w:tblCellMar>
          <w:top w:w="0" w:type="dxa"/>
          <w:left w:w="0" w:type="dxa"/>
          <w:bottom w:w="0" w:type="dxa"/>
          <w:right w:w="0" w:type="dxa"/>
        </w:tblCellMar>
      </w:tblPr>
      <w:tr>
        <w:trPr>
          <w:trHeight w:val="324"/>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NUMBER OF</w:t>
            </w:r>
          </w:p>
        </w:tc>
        <w:tc>
          <w:tcPr>
            <w:tcW w:w="520" w:type="dxa"/>
            <w:vAlign w:val="bottom"/>
          </w:tcPr>
          <w:p>
            <w:pPr>
              <w:spacing w:after="0"/>
              <w:rPr>
                <w:sz w:val="24"/>
                <w:szCs w:val="24"/>
                <w:color w:val="auto"/>
              </w:rPr>
            </w:pPr>
          </w:p>
        </w:tc>
        <w:tc>
          <w:tcPr>
            <w:tcW w:w="6300" w:type="dxa"/>
            <w:vAlign w:val="bottom"/>
          </w:tcPr>
          <w:p>
            <w:pPr>
              <w:ind w:left="140"/>
              <w:spacing w:after="0"/>
              <w:rPr>
                <w:sz w:val="20"/>
                <w:szCs w:val="20"/>
                <w:color w:val="auto"/>
              </w:rPr>
            </w:pPr>
            <w:r>
              <w:rPr>
                <w:rFonts w:ascii="Times New Roman" w:cs="Times New Roman" w:eastAsia="Times New Roman" w:hAnsi="Times New Roman"/>
                <w:sz w:val="22"/>
                <w:szCs w:val="22"/>
                <w:color w:val="auto"/>
              </w:rPr>
              <w:t>5. SOLE VOTING POWER</w:t>
            </w:r>
          </w:p>
        </w:tc>
        <w:tc>
          <w:tcPr>
            <w:tcW w:w="2700" w:type="dxa"/>
            <w:vAlign w:val="bottom"/>
          </w:tcPr>
          <w:p>
            <w:pPr>
              <w:ind w:left="640"/>
              <w:spacing w:after="0"/>
              <w:rPr>
                <w:sz w:val="20"/>
                <w:szCs w:val="20"/>
                <w:color w:val="auto"/>
              </w:rPr>
            </w:pPr>
            <w:r>
              <w:rPr>
                <w:rFonts w:ascii="Times New Roman" w:cs="Times New Roman" w:eastAsia="Times New Roman" w:hAnsi="Times New Roman"/>
                <w:sz w:val="22"/>
                <w:szCs w:val="22"/>
                <w:color w:val="auto"/>
              </w:rPr>
              <w:t>0</w:t>
            </w:r>
          </w:p>
        </w:tc>
        <w:tc>
          <w:tcPr>
            <w:tcW w:w="0" w:type="dxa"/>
            <w:vAlign w:val="bottom"/>
          </w:tcPr>
          <w:p>
            <w:pPr>
              <w:spacing w:after="0"/>
              <w:rPr>
                <w:sz w:val="1"/>
                <w:szCs w:val="1"/>
                <w:color w:val="auto"/>
              </w:rPr>
            </w:pPr>
          </w:p>
        </w:tc>
      </w:tr>
      <w:tr>
        <w:trPr>
          <w:trHeight w:val="243"/>
        </w:trPr>
        <w:tc>
          <w:tcPr>
            <w:tcW w:w="1720" w:type="dxa"/>
            <w:vAlign w:val="bottom"/>
          </w:tcPr>
          <w:p>
            <w:pPr>
              <w:ind w:left="120"/>
              <w:spacing w:after="0" w:line="243" w:lineRule="exact"/>
              <w:rPr>
                <w:sz w:val="20"/>
                <w:szCs w:val="20"/>
                <w:color w:val="auto"/>
              </w:rPr>
            </w:pPr>
            <w:r>
              <w:rPr>
                <w:rFonts w:ascii="Times New Roman" w:cs="Times New Roman" w:eastAsia="Times New Roman" w:hAnsi="Times New Roman"/>
                <w:sz w:val="22"/>
                <w:szCs w:val="22"/>
                <w:color w:val="auto"/>
              </w:rPr>
              <w:t>SHARES</w:t>
            </w:r>
          </w:p>
        </w:tc>
        <w:tc>
          <w:tcPr>
            <w:tcW w:w="520" w:type="dxa"/>
            <w:vAlign w:val="bottom"/>
          </w:tcPr>
          <w:p>
            <w:pPr>
              <w:spacing w:after="0"/>
              <w:rPr>
                <w:sz w:val="21"/>
                <w:szCs w:val="21"/>
                <w:color w:val="auto"/>
              </w:rPr>
            </w:pPr>
          </w:p>
        </w:tc>
        <w:tc>
          <w:tcPr>
            <w:tcW w:w="6300" w:type="dxa"/>
            <w:vAlign w:val="bottom"/>
            <w:vMerge w:val="restart"/>
          </w:tcPr>
          <w:p>
            <w:pPr>
              <w:ind w:left="140"/>
              <w:spacing w:after="0"/>
              <w:rPr>
                <w:sz w:val="20"/>
                <w:szCs w:val="20"/>
                <w:color w:val="auto"/>
              </w:rPr>
            </w:pPr>
            <w:r>
              <w:rPr>
                <w:rFonts w:ascii="Times New Roman" w:cs="Times New Roman" w:eastAsia="Times New Roman" w:hAnsi="Times New Roman"/>
                <w:sz w:val="22"/>
                <w:szCs w:val="22"/>
                <w:color w:val="auto"/>
              </w:rPr>
              <w:t>6. SHARED VOTING POWER</w:t>
            </w:r>
          </w:p>
        </w:tc>
        <w:tc>
          <w:tcPr>
            <w:tcW w:w="2700" w:type="dxa"/>
            <w:vAlign w:val="bottom"/>
            <w:vMerge w:val="restart"/>
          </w:tcPr>
          <w:p>
            <w:pPr>
              <w:ind w:left="640"/>
              <w:spacing w:after="0"/>
              <w:rPr>
                <w:sz w:val="20"/>
                <w:szCs w:val="20"/>
                <w:color w:val="auto"/>
              </w:rPr>
            </w:pPr>
            <w:r>
              <w:rPr>
                <w:rFonts w:ascii="Times New Roman" w:cs="Times New Roman" w:eastAsia="Times New Roman" w:hAnsi="Times New Roman"/>
                <w:sz w:val="22"/>
                <w:szCs w:val="22"/>
                <w:color w:val="auto"/>
              </w:rPr>
              <w:t>2,267,606</w:t>
            </w:r>
          </w:p>
        </w:tc>
        <w:tc>
          <w:tcPr>
            <w:tcW w:w="0" w:type="dxa"/>
            <w:vAlign w:val="bottom"/>
          </w:tcPr>
          <w:p>
            <w:pPr>
              <w:spacing w:after="0"/>
              <w:rPr>
                <w:sz w:val="1"/>
                <w:szCs w:val="1"/>
                <w:color w:val="auto"/>
              </w:rPr>
            </w:pPr>
          </w:p>
        </w:tc>
      </w:tr>
      <w:tr>
        <w:trPr>
          <w:trHeight w:val="174"/>
        </w:trPr>
        <w:tc>
          <w:tcPr>
            <w:tcW w:w="1720" w:type="dxa"/>
            <w:vAlign w:val="bottom"/>
            <w:vMerge w:val="restart"/>
          </w:tcPr>
          <w:p>
            <w:pPr>
              <w:ind w:left="120"/>
              <w:spacing w:after="0" w:line="243" w:lineRule="exact"/>
              <w:rPr>
                <w:sz w:val="20"/>
                <w:szCs w:val="20"/>
                <w:color w:val="auto"/>
              </w:rPr>
            </w:pPr>
            <w:r>
              <w:rPr>
                <w:rFonts w:ascii="Times New Roman" w:cs="Times New Roman" w:eastAsia="Times New Roman" w:hAnsi="Times New Roman"/>
                <w:sz w:val="22"/>
                <w:szCs w:val="22"/>
                <w:color w:val="auto"/>
              </w:rPr>
              <w:t>BENEFICIALLY</w:t>
            </w:r>
          </w:p>
        </w:tc>
        <w:tc>
          <w:tcPr>
            <w:tcW w:w="520" w:type="dxa"/>
            <w:vAlign w:val="bottom"/>
          </w:tcPr>
          <w:p>
            <w:pPr>
              <w:spacing w:after="0"/>
              <w:rPr>
                <w:sz w:val="15"/>
                <w:szCs w:val="15"/>
                <w:color w:val="auto"/>
              </w:rPr>
            </w:pPr>
          </w:p>
        </w:tc>
        <w:tc>
          <w:tcPr>
            <w:tcW w:w="6300" w:type="dxa"/>
            <w:vAlign w:val="bottom"/>
            <w:vMerge w:val="continue"/>
          </w:tcPr>
          <w:p>
            <w:pPr>
              <w:spacing w:after="0"/>
              <w:rPr>
                <w:sz w:val="15"/>
                <w:szCs w:val="15"/>
                <w:color w:val="auto"/>
              </w:rPr>
            </w:pPr>
          </w:p>
        </w:tc>
        <w:tc>
          <w:tcPr>
            <w:tcW w:w="270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69"/>
        </w:trPr>
        <w:tc>
          <w:tcPr>
            <w:tcW w:w="1720" w:type="dxa"/>
            <w:vAlign w:val="bottom"/>
            <w:vMerge w:val="continue"/>
          </w:tcPr>
          <w:p>
            <w:pPr>
              <w:spacing w:after="0"/>
              <w:rPr>
                <w:sz w:val="5"/>
                <w:szCs w:val="5"/>
                <w:color w:val="auto"/>
              </w:rPr>
            </w:pPr>
          </w:p>
        </w:tc>
        <w:tc>
          <w:tcPr>
            <w:tcW w:w="520" w:type="dxa"/>
            <w:vAlign w:val="bottom"/>
          </w:tcPr>
          <w:p>
            <w:pPr>
              <w:spacing w:after="0"/>
              <w:rPr>
                <w:sz w:val="5"/>
                <w:szCs w:val="5"/>
                <w:color w:val="auto"/>
              </w:rPr>
            </w:pPr>
          </w:p>
        </w:tc>
        <w:tc>
          <w:tcPr>
            <w:tcW w:w="6300" w:type="dxa"/>
            <w:vAlign w:val="bottom"/>
          </w:tcPr>
          <w:p>
            <w:pPr>
              <w:spacing w:after="0"/>
              <w:rPr>
                <w:sz w:val="5"/>
                <w:szCs w:val="5"/>
                <w:color w:val="auto"/>
              </w:rPr>
            </w:pPr>
          </w:p>
        </w:tc>
        <w:tc>
          <w:tcPr>
            <w:tcW w:w="27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43"/>
        </w:trPr>
        <w:tc>
          <w:tcPr>
            <w:tcW w:w="2240" w:type="dxa"/>
            <w:vAlign w:val="bottom"/>
            <w:gridSpan w:val="2"/>
          </w:tcPr>
          <w:p>
            <w:pPr>
              <w:ind w:left="120"/>
              <w:spacing w:after="0" w:line="243" w:lineRule="exact"/>
              <w:rPr>
                <w:sz w:val="20"/>
                <w:szCs w:val="20"/>
                <w:color w:val="auto"/>
              </w:rPr>
            </w:pPr>
            <w:r>
              <w:rPr>
                <w:rFonts w:ascii="Times New Roman" w:cs="Times New Roman" w:eastAsia="Times New Roman" w:hAnsi="Times New Roman"/>
                <w:sz w:val="22"/>
                <w:szCs w:val="22"/>
                <w:color w:val="auto"/>
              </w:rPr>
              <w:t>OWNED BY EACH</w:t>
            </w:r>
          </w:p>
        </w:tc>
        <w:tc>
          <w:tcPr>
            <w:tcW w:w="6300" w:type="dxa"/>
            <w:vAlign w:val="bottom"/>
            <w:vMerge w:val="restart"/>
          </w:tcPr>
          <w:p>
            <w:pPr>
              <w:ind w:left="140"/>
              <w:spacing w:after="0"/>
              <w:rPr>
                <w:sz w:val="20"/>
                <w:szCs w:val="20"/>
                <w:color w:val="auto"/>
              </w:rPr>
            </w:pPr>
            <w:r>
              <w:rPr>
                <w:rFonts w:ascii="Times New Roman" w:cs="Times New Roman" w:eastAsia="Times New Roman" w:hAnsi="Times New Roman"/>
                <w:sz w:val="22"/>
                <w:szCs w:val="22"/>
                <w:color w:val="auto"/>
              </w:rPr>
              <w:t>7. SOLE DISPOSITIVE POWER</w:t>
            </w:r>
          </w:p>
        </w:tc>
        <w:tc>
          <w:tcPr>
            <w:tcW w:w="2700" w:type="dxa"/>
            <w:vAlign w:val="bottom"/>
            <w:vMerge w:val="restart"/>
          </w:tcPr>
          <w:p>
            <w:pPr>
              <w:ind w:left="640"/>
              <w:spacing w:after="0"/>
              <w:rPr>
                <w:sz w:val="20"/>
                <w:szCs w:val="20"/>
                <w:color w:val="auto"/>
              </w:rPr>
            </w:pPr>
            <w:r>
              <w:rPr>
                <w:rFonts w:ascii="Times New Roman" w:cs="Times New Roman" w:eastAsia="Times New Roman" w:hAnsi="Times New Roman"/>
                <w:sz w:val="22"/>
                <w:szCs w:val="22"/>
                <w:color w:val="auto"/>
              </w:rPr>
              <w:t>0</w:t>
            </w:r>
          </w:p>
        </w:tc>
        <w:tc>
          <w:tcPr>
            <w:tcW w:w="0" w:type="dxa"/>
            <w:vAlign w:val="bottom"/>
          </w:tcPr>
          <w:p>
            <w:pPr>
              <w:spacing w:after="0"/>
              <w:rPr>
                <w:sz w:val="1"/>
                <w:szCs w:val="1"/>
                <w:color w:val="auto"/>
              </w:rPr>
            </w:pPr>
          </w:p>
        </w:tc>
      </w:tr>
      <w:tr>
        <w:trPr>
          <w:trHeight w:val="147"/>
        </w:trPr>
        <w:tc>
          <w:tcPr>
            <w:tcW w:w="1720" w:type="dxa"/>
            <w:vAlign w:val="bottom"/>
            <w:vMerge w:val="restart"/>
          </w:tcPr>
          <w:p>
            <w:pPr>
              <w:ind w:left="120"/>
              <w:spacing w:after="0" w:line="243" w:lineRule="exact"/>
              <w:rPr>
                <w:sz w:val="20"/>
                <w:szCs w:val="20"/>
                <w:color w:val="auto"/>
              </w:rPr>
            </w:pPr>
            <w:r>
              <w:rPr>
                <w:rFonts w:ascii="Times New Roman" w:cs="Times New Roman" w:eastAsia="Times New Roman" w:hAnsi="Times New Roman"/>
                <w:sz w:val="22"/>
                <w:szCs w:val="22"/>
                <w:color w:val="auto"/>
              </w:rPr>
              <w:t>REPORTING</w:t>
            </w:r>
          </w:p>
        </w:tc>
        <w:tc>
          <w:tcPr>
            <w:tcW w:w="520" w:type="dxa"/>
            <w:vAlign w:val="bottom"/>
          </w:tcPr>
          <w:p>
            <w:pPr>
              <w:spacing w:after="0"/>
              <w:rPr>
                <w:sz w:val="12"/>
                <w:szCs w:val="12"/>
                <w:color w:val="auto"/>
              </w:rPr>
            </w:pPr>
          </w:p>
        </w:tc>
        <w:tc>
          <w:tcPr>
            <w:tcW w:w="6300" w:type="dxa"/>
            <w:vAlign w:val="bottom"/>
            <w:vMerge w:val="continue"/>
          </w:tcPr>
          <w:p>
            <w:pPr>
              <w:spacing w:after="0"/>
              <w:rPr>
                <w:sz w:val="12"/>
                <w:szCs w:val="12"/>
                <w:color w:val="auto"/>
              </w:rPr>
            </w:pPr>
          </w:p>
        </w:tc>
        <w:tc>
          <w:tcPr>
            <w:tcW w:w="27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96"/>
        </w:trPr>
        <w:tc>
          <w:tcPr>
            <w:tcW w:w="1720" w:type="dxa"/>
            <w:vAlign w:val="bottom"/>
            <w:vMerge w:val="continue"/>
          </w:tcPr>
          <w:p>
            <w:pPr>
              <w:spacing w:after="0"/>
              <w:rPr>
                <w:sz w:val="8"/>
                <w:szCs w:val="8"/>
                <w:color w:val="auto"/>
              </w:rPr>
            </w:pPr>
          </w:p>
        </w:tc>
        <w:tc>
          <w:tcPr>
            <w:tcW w:w="520" w:type="dxa"/>
            <w:vAlign w:val="bottom"/>
          </w:tcPr>
          <w:p>
            <w:pPr>
              <w:spacing w:after="0"/>
              <w:rPr>
                <w:sz w:val="8"/>
                <w:szCs w:val="8"/>
                <w:color w:val="auto"/>
              </w:rPr>
            </w:pPr>
          </w:p>
        </w:tc>
        <w:tc>
          <w:tcPr>
            <w:tcW w:w="6300" w:type="dxa"/>
            <w:vAlign w:val="bottom"/>
          </w:tcPr>
          <w:p>
            <w:pPr>
              <w:spacing w:after="0"/>
              <w:rPr>
                <w:sz w:val="8"/>
                <w:szCs w:val="8"/>
                <w:color w:val="auto"/>
              </w:rPr>
            </w:pPr>
          </w:p>
        </w:tc>
        <w:tc>
          <w:tcPr>
            <w:tcW w:w="27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2"/>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PERSON WITH</w:t>
            </w:r>
          </w:p>
        </w:tc>
        <w:tc>
          <w:tcPr>
            <w:tcW w:w="520" w:type="dxa"/>
            <w:vAlign w:val="bottom"/>
          </w:tcPr>
          <w:p>
            <w:pPr>
              <w:spacing w:after="0"/>
              <w:rPr>
                <w:sz w:val="24"/>
                <w:szCs w:val="24"/>
                <w:color w:val="auto"/>
              </w:rPr>
            </w:pPr>
          </w:p>
        </w:tc>
        <w:tc>
          <w:tcPr>
            <w:tcW w:w="6300" w:type="dxa"/>
            <w:vAlign w:val="bottom"/>
            <w:vMerge w:val="restart"/>
          </w:tcPr>
          <w:p>
            <w:pPr>
              <w:ind w:left="140"/>
              <w:spacing w:after="0"/>
              <w:rPr>
                <w:sz w:val="20"/>
                <w:szCs w:val="20"/>
                <w:color w:val="auto"/>
              </w:rPr>
            </w:pPr>
            <w:r>
              <w:rPr>
                <w:rFonts w:ascii="Times New Roman" w:cs="Times New Roman" w:eastAsia="Times New Roman" w:hAnsi="Times New Roman"/>
                <w:sz w:val="22"/>
                <w:szCs w:val="22"/>
                <w:color w:val="auto"/>
              </w:rPr>
              <w:t>8. SHARED DISPOSITIVE POWER</w:t>
            </w:r>
          </w:p>
        </w:tc>
        <w:tc>
          <w:tcPr>
            <w:tcW w:w="2700" w:type="dxa"/>
            <w:vAlign w:val="bottom"/>
            <w:vMerge w:val="restart"/>
          </w:tcPr>
          <w:p>
            <w:pPr>
              <w:ind w:left="640"/>
              <w:spacing w:after="0"/>
              <w:rPr>
                <w:sz w:val="20"/>
                <w:szCs w:val="20"/>
                <w:color w:val="auto"/>
              </w:rPr>
            </w:pPr>
            <w:r>
              <w:rPr>
                <w:rFonts w:ascii="Times New Roman" w:cs="Times New Roman" w:eastAsia="Times New Roman" w:hAnsi="Times New Roman"/>
                <w:sz w:val="22"/>
                <w:szCs w:val="22"/>
                <w:color w:val="auto"/>
              </w:rPr>
              <w:t>2,439,809</w:t>
            </w:r>
          </w:p>
        </w:tc>
        <w:tc>
          <w:tcPr>
            <w:tcW w:w="0" w:type="dxa"/>
            <w:vAlign w:val="bottom"/>
          </w:tcPr>
          <w:p>
            <w:pPr>
              <w:spacing w:after="0"/>
              <w:rPr>
                <w:sz w:val="1"/>
                <w:szCs w:val="1"/>
                <w:color w:val="auto"/>
              </w:rPr>
            </w:pPr>
          </w:p>
        </w:tc>
      </w:tr>
      <w:tr>
        <w:trPr>
          <w:trHeight w:val="81"/>
        </w:trPr>
        <w:tc>
          <w:tcPr>
            <w:tcW w:w="1720" w:type="dxa"/>
            <w:vAlign w:val="bottom"/>
          </w:tcPr>
          <w:p>
            <w:pPr>
              <w:spacing w:after="0"/>
              <w:rPr>
                <w:sz w:val="7"/>
                <w:szCs w:val="7"/>
                <w:color w:val="auto"/>
              </w:rPr>
            </w:pPr>
          </w:p>
        </w:tc>
        <w:tc>
          <w:tcPr>
            <w:tcW w:w="520" w:type="dxa"/>
            <w:vAlign w:val="bottom"/>
          </w:tcPr>
          <w:p>
            <w:pPr>
              <w:spacing w:after="0"/>
              <w:rPr>
                <w:sz w:val="7"/>
                <w:szCs w:val="7"/>
                <w:color w:val="auto"/>
              </w:rPr>
            </w:pPr>
          </w:p>
        </w:tc>
        <w:tc>
          <w:tcPr>
            <w:tcW w:w="6300" w:type="dxa"/>
            <w:vAlign w:val="bottom"/>
            <w:vMerge w:val="continue"/>
          </w:tcPr>
          <w:p>
            <w:pPr>
              <w:spacing w:after="0"/>
              <w:rPr>
                <w:sz w:val="7"/>
                <w:szCs w:val="7"/>
                <w:color w:val="auto"/>
              </w:rPr>
            </w:pPr>
          </w:p>
        </w:tc>
        <w:tc>
          <w:tcPr>
            <w:tcW w:w="270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9.</w:t>
            </w:r>
          </w:p>
        </w:tc>
        <w:tc>
          <w:tcPr>
            <w:tcW w:w="9520" w:type="dxa"/>
            <w:vAlign w:val="bottom"/>
            <w:gridSpan w:val="3"/>
          </w:tcPr>
          <w:p>
            <w:pPr>
              <w:ind w:left="100"/>
              <w:spacing w:after="0"/>
              <w:rPr>
                <w:sz w:val="20"/>
                <w:szCs w:val="20"/>
                <w:color w:val="auto"/>
              </w:rPr>
            </w:pPr>
            <w:r>
              <w:rPr>
                <w:rFonts w:ascii="Times New Roman" w:cs="Times New Roman" w:eastAsia="Times New Roman" w:hAnsi="Times New Roman"/>
                <w:sz w:val="22"/>
                <w:szCs w:val="22"/>
                <w:color w:val="auto"/>
              </w:rPr>
              <w:t>AGGREGATE AMOUNT BENEFICIALLY OWNED BY EACH REPORTING PERSON</w:t>
            </w: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682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2,439,809</w:t>
            </w:r>
          </w:p>
        </w:tc>
        <w:tc>
          <w:tcPr>
            <w:tcW w:w="2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10.</w:t>
            </w:r>
          </w:p>
        </w:tc>
        <w:tc>
          <w:tcPr>
            <w:tcW w:w="9520" w:type="dxa"/>
            <w:vAlign w:val="bottom"/>
            <w:gridSpan w:val="3"/>
          </w:tcPr>
          <w:p>
            <w:pPr>
              <w:ind w:left="100"/>
              <w:spacing w:after="0"/>
              <w:rPr>
                <w:sz w:val="20"/>
                <w:szCs w:val="20"/>
                <w:color w:val="auto"/>
              </w:rPr>
            </w:pPr>
            <w:r>
              <w:rPr>
                <w:rFonts w:ascii="Times New Roman" w:cs="Times New Roman" w:eastAsia="Times New Roman" w:hAnsi="Times New Roman"/>
                <w:sz w:val="22"/>
                <w:szCs w:val="22"/>
                <w:color w:val="auto"/>
              </w:rPr>
              <w:t>CHECK IF THE AGGREGATE AMOUNT IN ROW (9) EXCLUDES CERTAIN SHARES</w:t>
            </w: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52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 ]</w:t>
            </w:r>
          </w:p>
        </w:tc>
        <w:tc>
          <w:tcPr>
            <w:tcW w:w="6300" w:type="dxa"/>
            <w:vAlign w:val="bottom"/>
          </w:tcPr>
          <w:p>
            <w:pPr>
              <w:spacing w:after="0"/>
              <w:rPr>
                <w:sz w:val="24"/>
                <w:szCs w:val="24"/>
                <w:color w:val="auto"/>
              </w:rPr>
            </w:pPr>
          </w:p>
        </w:tc>
        <w:tc>
          <w:tcPr>
            <w:tcW w:w="2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11.</w:t>
            </w:r>
          </w:p>
        </w:tc>
        <w:tc>
          <w:tcPr>
            <w:tcW w:w="682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PERCENT OF CLASS REPRESENTED BY AMOUNT IN ROW (9)</w:t>
            </w:r>
          </w:p>
        </w:tc>
        <w:tc>
          <w:tcPr>
            <w:tcW w:w="2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682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6.02%</w:t>
            </w:r>
          </w:p>
        </w:tc>
        <w:tc>
          <w:tcPr>
            <w:tcW w:w="2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12.</w:t>
            </w:r>
          </w:p>
        </w:tc>
        <w:tc>
          <w:tcPr>
            <w:tcW w:w="682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TYPE OF REPORTING PERSON</w:t>
            </w:r>
          </w:p>
        </w:tc>
        <w:tc>
          <w:tcPr>
            <w:tcW w:w="2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52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HC</w:t>
            </w:r>
          </w:p>
        </w:tc>
        <w:tc>
          <w:tcPr>
            <w:tcW w:w="6300" w:type="dxa"/>
            <w:vAlign w:val="bottom"/>
          </w:tcPr>
          <w:p>
            <w:pPr>
              <w:spacing w:after="0"/>
              <w:rPr>
                <w:sz w:val="24"/>
                <w:szCs w:val="24"/>
                <w:color w:val="auto"/>
              </w:rPr>
            </w:pPr>
          </w:p>
        </w:tc>
        <w:tc>
          <w:tcPr>
            <w:tcW w:w="2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6"/>
        </w:trPr>
        <w:tc>
          <w:tcPr>
            <w:tcW w:w="1720" w:type="dxa"/>
            <w:vAlign w:val="bottom"/>
            <w:tcBorders>
              <w:bottom w:val="single" w:sz="8" w:color="808080"/>
            </w:tcBorders>
          </w:tcPr>
          <w:p>
            <w:pPr>
              <w:spacing w:after="0"/>
              <w:rPr>
                <w:sz w:val="8"/>
                <w:szCs w:val="8"/>
                <w:color w:val="auto"/>
              </w:rPr>
            </w:pPr>
          </w:p>
        </w:tc>
        <w:tc>
          <w:tcPr>
            <w:tcW w:w="520" w:type="dxa"/>
            <w:vAlign w:val="bottom"/>
            <w:tcBorders>
              <w:bottom w:val="single" w:sz="8" w:color="808080"/>
            </w:tcBorders>
          </w:tcPr>
          <w:p>
            <w:pPr>
              <w:spacing w:after="0"/>
              <w:rPr>
                <w:sz w:val="8"/>
                <w:szCs w:val="8"/>
                <w:color w:val="auto"/>
              </w:rPr>
            </w:pPr>
          </w:p>
        </w:tc>
        <w:tc>
          <w:tcPr>
            <w:tcW w:w="6300" w:type="dxa"/>
            <w:vAlign w:val="bottom"/>
            <w:tcBorders>
              <w:bottom w:val="single" w:sz="8" w:color="808080"/>
            </w:tcBorders>
          </w:tcPr>
          <w:p>
            <w:pPr>
              <w:spacing w:after="0"/>
              <w:rPr>
                <w:sz w:val="8"/>
                <w:szCs w:val="8"/>
                <w:color w:val="auto"/>
              </w:rPr>
            </w:pPr>
          </w:p>
        </w:tc>
        <w:tc>
          <w:tcPr>
            <w:tcW w:w="2700" w:type="dxa"/>
            <w:vAlign w:val="bottom"/>
            <w:tcBorders>
              <w:bottom w:val="single" w:sz="8" w:color="808080"/>
            </w:tcBorders>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382" w:right="339" w:bottom="1440" w:gutter="0" w:footer="0" w:header="0"/>
        </w:sectPr>
      </w:pPr>
    </w:p>
    <w:bookmarkStart w:id="2" w:name="page3"/>
    <w:bookmarkEnd w:id="2"/>
    <w:p>
      <w:pPr>
        <w:ind w:left="40"/>
        <w:spacing w:after="0"/>
        <w:rPr>
          <w:sz w:val="20"/>
          <w:szCs w:val="20"/>
          <w:color w:val="auto"/>
        </w:rPr>
      </w:pPr>
      <w:r>
        <w:rPr>
          <w:rFonts w:ascii="Times New Roman" w:cs="Times New Roman" w:eastAsia="Times New Roman" w:hAnsi="Times New Roman"/>
          <w:sz w:val="22"/>
          <w:szCs w:val="22"/>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49465" cy="8255"/>
                    </a:xfrm>
                    <a:prstGeom prst="rect">
                      <a:avLst/>
                    </a:prstGeom>
                    <a:noFill/>
                  </pic:spPr>
                </pic:pic>
              </a:graphicData>
            </a:graphic>
          </wp:anchor>
        </w:drawing>
        <w:t>CUSIP No. 984241109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173990</wp:posOffset>
            </wp:positionV>
            <wp:extent cx="713232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348" w:lineRule="exact"/>
        <w:rPr>
          <w:sz w:val="20"/>
          <w:szCs w:val="20"/>
          <w:color w:val="auto"/>
        </w:rPr>
      </w:pPr>
    </w:p>
    <w:tbl>
      <w:tblPr>
        <w:tblLayout w:type="fixed"/>
        <w:tblInd w:w="120" w:type="dxa"/>
        <w:tblCellMar>
          <w:top w:w="0" w:type="dxa"/>
          <w:left w:w="0" w:type="dxa"/>
          <w:bottom w:w="0" w:type="dxa"/>
          <w:right w:w="0" w:type="dxa"/>
        </w:tblCellMar>
      </w:tblPr>
      <w:tr>
        <w:trPr>
          <w:trHeight w:val="282"/>
        </w:trPr>
        <w:tc>
          <w:tcPr>
            <w:tcW w:w="920" w:type="dxa"/>
            <w:vAlign w:val="bottom"/>
          </w:tcPr>
          <w:p>
            <w:pPr>
              <w:jc w:val="right"/>
              <w:ind w:right="652"/>
              <w:spacing w:after="0"/>
              <w:rPr>
                <w:sz w:val="20"/>
                <w:szCs w:val="20"/>
                <w:color w:val="auto"/>
              </w:rPr>
            </w:pPr>
            <w:r>
              <w:rPr>
                <w:rFonts w:ascii="Times New Roman" w:cs="Times New Roman" w:eastAsia="Times New Roman" w:hAnsi="Times New Roman"/>
                <w:sz w:val="22"/>
                <w:szCs w:val="22"/>
                <w:color w:val="auto"/>
                <w:w w:val="84"/>
              </w:rPr>
              <w:t>1.</w:t>
            </w: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NAMES OF REPORTING PERSONS</w:t>
            </w:r>
          </w:p>
        </w:tc>
      </w:tr>
      <w:tr>
        <w:trPr>
          <w:trHeight w:val="486"/>
        </w:trPr>
        <w:tc>
          <w:tcPr>
            <w:tcW w:w="920" w:type="dxa"/>
            <w:vAlign w:val="bottom"/>
          </w:tcPr>
          <w:p>
            <w:pPr>
              <w:spacing w:after="0"/>
              <w:rPr>
                <w:sz w:val="24"/>
                <w:szCs w:val="24"/>
                <w:color w:val="auto"/>
              </w:rPr>
            </w:pP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Wellington Group Holdings LLP</w:t>
            </w:r>
          </w:p>
        </w:tc>
      </w:tr>
      <w:tr>
        <w:trPr>
          <w:trHeight w:val="459"/>
        </w:trPr>
        <w:tc>
          <w:tcPr>
            <w:tcW w:w="920" w:type="dxa"/>
            <w:vAlign w:val="bottom"/>
          </w:tcPr>
          <w:p>
            <w:pPr>
              <w:jc w:val="right"/>
              <w:ind w:right="652"/>
              <w:spacing w:after="0"/>
              <w:rPr>
                <w:sz w:val="20"/>
                <w:szCs w:val="20"/>
                <w:color w:val="auto"/>
              </w:rPr>
            </w:pPr>
            <w:r>
              <w:rPr>
                <w:rFonts w:ascii="Times New Roman" w:cs="Times New Roman" w:eastAsia="Times New Roman" w:hAnsi="Times New Roman"/>
                <w:sz w:val="22"/>
                <w:szCs w:val="22"/>
                <w:color w:val="auto"/>
                <w:w w:val="84"/>
              </w:rPr>
              <w:t>2.</w:t>
            </w: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w w:val="97"/>
              </w:rPr>
              <w:t>CHECK THE APPROPRIATE BOX IF A MEMBER OF A GROUP</w:t>
            </w:r>
          </w:p>
        </w:tc>
      </w:tr>
      <w:tr>
        <w:trPr>
          <w:trHeight w:val="447"/>
        </w:trPr>
        <w:tc>
          <w:tcPr>
            <w:tcW w:w="920" w:type="dxa"/>
            <w:vAlign w:val="bottom"/>
          </w:tcPr>
          <w:p>
            <w:pPr>
              <w:spacing w:after="0"/>
              <w:rPr>
                <w:sz w:val="24"/>
                <w:szCs w:val="24"/>
                <w:color w:val="auto"/>
              </w:rPr>
            </w:pP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(a) [ ]</w:t>
            </w:r>
          </w:p>
        </w:tc>
      </w:tr>
      <w:tr>
        <w:trPr>
          <w:trHeight w:val="282"/>
        </w:trPr>
        <w:tc>
          <w:tcPr>
            <w:tcW w:w="920" w:type="dxa"/>
            <w:vAlign w:val="bottom"/>
          </w:tcPr>
          <w:p>
            <w:pPr>
              <w:spacing w:after="0"/>
              <w:rPr>
                <w:sz w:val="24"/>
                <w:szCs w:val="24"/>
                <w:color w:val="auto"/>
              </w:rPr>
            </w:pP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(b) [ ]</w:t>
            </w:r>
          </w:p>
        </w:tc>
      </w:tr>
      <w:tr>
        <w:trPr>
          <w:trHeight w:val="459"/>
        </w:trPr>
        <w:tc>
          <w:tcPr>
            <w:tcW w:w="920" w:type="dxa"/>
            <w:vAlign w:val="bottom"/>
          </w:tcPr>
          <w:p>
            <w:pPr>
              <w:jc w:val="right"/>
              <w:ind w:right="652"/>
              <w:spacing w:after="0"/>
              <w:rPr>
                <w:sz w:val="20"/>
                <w:szCs w:val="20"/>
                <w:color w:val="auto"/>
              </w:rPr>
            </w:pPr>
            <w:r>
              <w:rPr>
                <w:rFonts w:ascii="Times New Roman" w:cs="Times New Roman" w:eastAsia="Times New Roman" w:hAnsi="Times New Roman"/>
                <w:sz w:val="22"/>
                <w:szCs w:val="22"/>
                <w:color w:val="auto"/>
                <w:w w:val="84"/>
              </w:rPr>
              <w:t>3.</w:t>
            </w: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SEC USE ONLY</w:t>
            </w:r>
          </w:p>
        </w:tc>
      </w:tr>
      <w:tr>
        <w:trPr>
          <w:trHeight w:val="459"/>
        </w:trPr>
        <w:tc>
          <w:tcPr>
            <w:tcW w:w="920" w:type="dxa"/>
            <w:vAlign w:val="bottom"/>
          </w:tcPr>
          <w:p>
            <w:pPr>
              <w:jc w:val="right"/>
              <w:ind w:right="652"/>
              <w:spacing w:after="0"/>
              <w:rPr>
                <w:sz w:val="20"/>
                <w:szCs w:val="20"/>
                <w:color w:val="auto"/>
              </w:rPr>
            </w:pPr>
            <w:r>
              <w:rPr>
                <w:rFonts w:ascii="Times New Roman" w:cs="Times New Roman" w:eastAsia="Times New Roman" w:hAnsi="Times New Roman"/>
                <w:sz w:val="22"/>
                <w:szCs w:val="22"/>
                <w:color w:val="auto"/>
                <w:w w:val="84"/>
              </w:rPr>
              <w:t>4.</w:t>
            </w: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CITIZENSHIP OR PLACE OF ORGANIZATION</w:t>
            </w:r>
          </w:p>
        </w:tc>
      </w:tr>
      <w:tr>
        <w:trPr>
          <w:trHeight w:val="486"/>
        </w:trPr>
        <w:tc>
          <w:tcPr>
            <w:tcW w:w="920" w:type="dxa"/>
            <w:vAlign w:val="bottom"/>
          </w:tcPr>
          <w:p>
            <w:pPr>
              <w:spacing w:after="0"/>
              <w:rPr>
                <w:sz w:val="24"/>
                <w:szCs w:val="24"/>
                <w:color w:val="auto"/>
              </w:rPr>
            </w:pP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Delaware</w:t>
            </w:r>
          </w:p>
        </w:tc>
      </w:tr>
    </w:tbl>
    <w:p>
      <w:pPr>
        <w:spacing w:after="0" w:line="177" w:lineRule="exact"/>
        <w:rPr>
          <w:sz w:val="20"/>
          <w:szCs w:val="20"/>
          <w:color w:val="auto"/>
        </w:rPr>
      </w:pPr>
    </w:p>
    <w:tbl>
      <w:tblPr>
        <w:tblLayout w:type="fixed"/>
        <w:tblInd w:w="0" w:type="dxa"/>
        <w:tblCellMar>
          <w:top w:w="0" w:type="dxa"/>
          <w:left w:w="0" w:type="dxa"/>
          <w:bottom w:w="0" w:type="dxa"/>
          <w:right w:w="0" w:type="dxa"/>
        </w:tblCellMar>
      </w:tblPr>
      <w:tr>
        <w:trPr>
          <w:trHeight w:val="324"/>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NUMBER OF</w:t>
            </w:r>
          </w:p>
        </w:tc>
        <w:tc>
          <w:tcPr>
            <w:tcW w:w="520" w:type="dxa"/>
            <w:vAlign w:val="bottom"/>
          </w:tcPr>
          <w:p>
            <w:pPr>
              <w:spacing w:after="0"/>
              <w:rPr>
                <w:sz w:val="24"/>
                <w:szCs w:val="24"/>
                <w:color w:val="auto"/>
              </w:rPr>
            </w:pPr>
          </w:p>
        </w:tc>
        <w:tc>
          <w:tcPr>
            <w:tcW w:w="6300" w:type="dxa"/>
            <w:vAlign w:val="bottom"/>
          </w:tcPr>
          <w:p>
            <w:pPr>
              <w:ind w:left="140"/>
              <w:spacing w:after="0"/>
              <w:rPr>
                <w:sz w:val="20"/>
                <w:szCs w:val="20"/>
                <w:color w:val="auto"/>
              </w:rPr>
            </w:pPr>
            <w:r>
              <w:rPr>
                <w:rFonts w:ascii="Times New Roman" w:cs="Times New Roman" w:eastAsia="Times New Roman" w:hAnsi="Times New Roman"/>
                <w:sz w:val="22"/>
                <w:szCs w:val="22"/>
                <w:color w:val="auto"/>
              </w:rPr>
              <w:t>5. SOLE VOTING POWER</w:t>
            </w:r>
          </w:p>
        </w:tc>
        <w:tc>
          <w:tcPr>
            <w:tcW w:w="2700" w:type="dxa"/>
            <w:vAlign w:val="bottom"/>
          </w:tcPr>
          <w:p>
            <w:pPr>
              <w:ind w:left="640"/>
              <w:spacing w:after="0"/>
              <w:rPr>
                <w:sz w:val="20"/>
                <w:szCs w:val="20"/>
                <w:color w:val="auto"/>
              </w:rPr>
            </w:pPr>
            <w:r>
              <w:rPr>
                <w:rFonts w:ascii="Times New Roman" w:cs="Times New Roman" w:eastAsia="Times New Roman" w:hAnsi="Times New Roman"/>
                <w:sz w:val="22"/>
                <w:szCs w:val="22"/>
                <w:color w:val="auto"/>
              </w:rPr>
              <w:t>0</w:t>
            </w:r>
          </w:p>
        </w:tc>
        <w:tc>
          <w:tcPr>
            <w:tcW w:w="0" w:type="dxa"/>
            <w:vAlign w:val="bottom"/>
          </w:tcPr>
          <w:p>
            <w:pPr>
              <w:spacing w:after="0"/>
              <w:rPr>
                <w:sz w:val="1"/>
                <w:szCs w:val="1"/>
                <w:color w:val="auto"/>
              </w:rPr>
            </w:pPr>
          </w:p>
        </w:tc>
      </w:tr>
      <w:tr>
        <w:trPr>
          <w:trHeight w:val="243"/>
        </w:trPr>
        <w:tc>
          <w:tcPr>
            <w:tcW w:w="1720" w:type="dxa"/>
            <w:vAlign w:val="bottom"/>
          </w:tcPr>
          <w:p>
            <w:pPr>
              <w:ind w:left="120"/>
              <w:spacing w:after="0" w:line="243" w:lineRule="exact"/>
              <w:rPr>
                <w:sz w:val="20"/>
                <w:szCs w:val="20"/>
                <w:color w:val="auto"/>
              </w:rPr>
            </w:pPr>
            <w:r>
              <w:rPr>
                <w:rFonts w:ascii="Times New Roman" w:cs="Times New Roman" w:eastAsia="Times New Roman" w:hAnsi="Times New Roman"/>
                <w:sz w:val="22"/>
                <w:szCs w:val="22"/>
                <w:color w:val="auto"/>
              </w:rPr>
              <w:t>SHARES</w:t>
            </w:r>
          </w:p>
        </w:tc>
        <w:tc>
          <w:tcPr>
            <w:tcW w:w="520" w:type="dxa"/>
            <w:vAlign w:val="bottom"/>
          </w:tcPr>
          <w:p>
            <w:pPr>
              <w:spacing w:after="0"/>
              <w:rPr>
                <w:sz w:val="21"/>
                <w:szCs w:val="21"/>
                <w:color w:val="auto"/>
              </w:rPr>
            </w:pPr>
          </w:p>
        </w:tc>
        <w:tc>
          <w:tcPr>
            <w:tcW w:w="6300" w:type="dxa"/>
            <w:vAlign w:val="bottom"/>
            <w:vMerge w:val="restart"/>
          </w:tcPr>
          <w:p>
            <w:pPr>
              <w:ind w:left="140"/>
              <w:spacing w:after="0"/>
              <w:rPr>
                <w:sz w:val="20"/>
                <w:szCs w:val="20"/>
                <w:color w:val="auto"/>
              </w:rPr>
            </w:pPr>
            <w:r>
              <w:rPr>
                <w:rFonts w:ascii="Times New Roman" w:cs="Times New Roman" w:eastAsia="Times New Roman" w:hAnsi="Times New Roman"/>
                <w:sz w:val="22"/>
                <w:szCs w:val="22"/>
                <w:color w:val="auto"/>
              </w:rPr>
              <w:t>6. SHARED VOTING POWER</w:t>
            </w:r>
          </w:p>
        </w:tc>
        <w:tc>
          <w:tcPr>
            <w:tcW w:w="2700" w:type="dxa"/>
            <w:vAlign w:val="bottom"/>
            <w:vMerge w:val="restart"/>
          </w:tcPr>
          <w:p>
            <w:pPr>
              <w:ind w:left="640"/>
              <w:spacing w:after="0"/>
              <w:rPr>
                <w:sz w:val="20"/>
                <w:szCs w:val="20"/>
                <w:color w:val="auto"/>
              </w:rPr>
            </w:pPr>
            <w:r>
              <w:rPr>
                <w:rFonts w:ascii="Times New Roman" w:cs="Times New Roman" w:eastAsia="Times New Roman" w:hAnsi="Times New Roman"/>
                <w:sz w:val="22"/>
                <w:szCs w:val="22"/>
                <w:color w:val="auto"/>
              </w:rPr>
              <w:t>2,267,606</w:t>
            </w:r>
          </w:p>
        </w:tc>
        <w:tc>
          <w:tcPr>
            <w:tcW w:w="0" w:type="dxa"/>
            <w:vAlign w:val="bottom"/>
          </w:tcPr>
          <w:p>
            <w:pPr>
              <w:spacing w:after="0"/>
              <w:rPr>
                <w:sz w:val="1"/>
                <w:szCs w:val="1"/>
                <w:color w:val="auto"/>
              </w:rPr>
            </w:pPr>
          </w:p>
        </w:tc>
      </w:tr>
      <w:tr>
        <w:trPr>
          <w:trHeight w:val="174"/>
        </w:trPr>
        <w:tc>
          <w:tcPr>
            <w:tcW w:w="1720" w:type="dxa"/>
            <w:vAlign w:val="bottom"/>
            <w:vMerge w:val="restart"/>
          </w:tcPr>
          <w:p>
            <w:pPr>
              <w:ind w:left="120"/>
              <w:spacing w:after="0" w:line="243" w:lineRule="exact"/>
              <w:rPr>
                <w:sz w:val="20"/>
                <w:szCs w:val="20"/>
                <w:color w:val="auto"/>
              </w:rPr>
            </w:pPr>
            <w:r>
              <w:rPr>
                <w:rFonts w:ascii="Times New Roman" w:cs="Times New Roman" w:eastAsia="Times New Roman" w:hAnsi="Times New Roman"/>
                <w:sz w:val="22"/>
                <w:szCs w:val="22"/>
                <w:color w:val="auto"/>
              </w:rPr>
              <w:t>BENEFICIALLY</w:t>
            </w:r>
          </w:p>
        </w:tc>
        <w:tc>
          <w:tcPr>
            <w:tcW w:w="520" w:type="dxa"/>
            <w:vAlign w:val="bottom"/>
          </w:tcPr>
          <w:p>
            <w:pPr>
              <w:spacing w:after="0"/>
              <w:rPr>
                <w:sz w:val="15"/>
                <w:szCs w:val="15"/>
                <w:color w:val="auto"/>
              </w:rPr>
            </w:pPr>
          </w:p>
        </w:tc>
        <w:tc>
          <w:tcPr>
            <w:tcW w:w="6300" w:type="dxa"/>
            <w:vAlign w:val="bottom"/>
            <w:vMerge w:val="continue"/>
          </w:tcPr>
          <w:p>
            <w:pPr>
              <w:spacing w:after="0"/>
              <w:rPr>
                <w:sz w:val="15"/>
                <w:szCs w:val="15"/>
                <w:color w:val="auto"/>
              </w:rPr>
            </w:pPr>
          </w:p>
        </w:tc>
        <w:tc>
          <w:tcPr>
            <w:tcW w:w="270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69"/>
        </w:trPr>
        <w:tc>
          <w:tcPr>
            <w:tcW w:w="1720" w:type="dxa"/>
            <w:vAlign w:val="bottom"/>
            <w:vMerge w:val="continue"/>
          </w:tcPr>
          <w:p>
            <w:pPr>
              <w:spacing w:after="0"/>
              <w:rPr>
                <w:sz w:val="5"/>
                <w:szCs w:val="5"/>
                <w:color w:val="auto"/>
              </w:rPr>
            </w:pPr>
          </w:p>
        </w:tc>
        <w:tc>
          <w:tcPr>
            <w:tcW w:w="520" w:type="dxa"/>
            <w:vAlign w:val="bottom"/>
          </w:tcPr>
          <w:p>
            <w:pPr>
              <w:spacing w:after="0"/>
              <w:rPr>
                <w:sz w:val="5"/>
                <w:szCs w:val="5"/>
                <w:color w:val="auto"/>
              </w:rPr>
            </w:pPr>
          </w:p>
        </w:tc>
        <w:tc>
          <w:tcPr>
            <w:tcW w:w="6300" w:type="dxa"/>
            <w:vAlign w:val="bottom"/>
          </w:tcPr>
          <w:p>
            <w:pPr>
              <w:spacing w:after="0"/>
              <w:rPr>
                <w:sz w:val="5"/>
                <w:szCs w:val="5"/>
                <w:color w:val="auto"/>
              </w:rPr>
            </w:pPr>
          </w:p>
        </w:tc>
        <w:tc>
          <w:tcPr>
            <w:tcW w:w="27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43"/>
        </w:trPr>
        <w:tc>
          <w:tcPr>
            <w:tcW w:w="2240" w:type="dxa"/>
            <w:vAlign w:val="bottom"/>
            <w:gridSpan w:val="2"/>
          </w:tcPr>
          <w:p>
            <w:pPr>
              <w:ind w:left="120"/>
              <w:spacing w:after="0" w:line="243" w:lineRule="exact"/>
              <w:rPr>
                <w:sz w:val="20"/>
                <w:szCs w:val="20"/>
                <w:color w:val="auto"/>
              </w:rPr>
            </w:pPr>
            <w:r>
              <w:rPr>
                <w:rFonts w:ascii="Times New Roman" w:cs="Times New Roman" w:eastAsia="Times New Roman" w:hAnsi="Times New Roman"/>
                <w:sz w:val="22"/>
                <w:szCs w:val="22"/>
                <w:color w:val="auto"/>
              </w:rPr>
              <w:t>OWNED BY EACH</w:t>
            </w:r>
          </w:p>
        </w:tc>
        <w:tc>
          <w:tcPr>
            <w:tcW w:w="6300" w:type="dxa"/>
            <w:vAlign w:val="bottom"/>
            <w:vMerge w:val="restart"/>
          </w:tcPr>
          <w:p>
            <w:pPr>
              <w:ind w:left="140"/>
              <w:spacing w:after="0"/>
              <w:rPr>
                <w:sz w:val="20"/>
                <w:szCs w:val="20"/>
                <w:color w:val="auto"/>
              </w:rPr>
            </w:pPr>
            <w:r>
              <w:rPr>
                <w:rFonts w:ascii="Times New Roman" w:cs="Times New Roman" w:eastAsia="Times New Roman" w:hAnsi="Times New Roman"/>
                <w:sz w:val="22"/>
                <w:szCs w:val="22"/>
                <w:color w:val="auto"/>
              </w:rPr>
              <w:t>7. SOLE DISPOSITIVE POWER</w:t>
            </w:r>
          </w:p>
        </w:tc>
        <w:tc>
          <w:tcPr>
            <w:tcW w:w="2700" w:type="dxa"/>
            <w:vAlign w:val="bottom"/>
            <w:vMerge w:val="restart"/>
          </w:tcPr>
          <w:p>
            <w:pPr>
              <w:ind w:left="640"/>
              <w:spacing w:after="0"/>
              <w:rPr>
                <w:sz w:val="20"/>
                <w:szCs w:val="20"/>
                <w:color w:val="auto"/>
              </w:rPr>
            </w:pPr>
            <w:r>
              <w:rPr>
                <w:rFonts w:ascii="Times New Roman" w:cs="Times New Roman" w:eastAsia="Times New Roman" w:hAnsi="Times New Roman"/>
                <w:sz w:val="22"/>
                <w:szCs w:val="22"/>
                <w:color w:val="auto"/>
              </w:rPr>
              <w:t>0</w:t>
            </w:r>
          </w:p>
        </w:tc>
        <w:tc>
          <w:tcPr>
            <w:tcW w:w="0" w:type="dxa"/>
            <w:vAlign w:val="bottom"/>
          </w:tcPr>
          <w:p>
            <w:pPr>
              <w:spacing w:after="0"/>
              <w:rPr>
                <w:sz w:val="1"/>
                <w:szCs w:val="1"/>
                <w:color w:val="auto"/>
              </w:rPr>
            </w:pPr>
          </w:p>
        </w:tc>
      </w:tr>
      <w:tr>
        <w:trPr>
          <w:trHeight w:val="147"/>
        </w:trPr>
        <w:tc>
          <w:tcPr>
            <w:tcW w:w="1720" w:type="dxa"/>
            <w:vAlign w:val="bottom"/>
            <w:vMerge w:val="restart"/>
          </w:tcPr>
          <w:p>
            <w:pPr>
              <w:ind w:left="120"/>
              <w:spacing w:after="0" w:line="243" w:lineRule="exact"/>
              <w:rPr>
                <w:sz w:val="20"/>
                <w:szCs w:val="20"/>
                <w:color w:val="auto"/>
              </w:rPr>
            </w:pPr>
            <w:r>
              <w:rPr>
                <w:rFonts w:ascii="Times New Roman" w:cs="Times New Roman" w:eastAsia="Times New Roman" w:hAnsi="Times New Roman"/>
                <w:sz w:val="22"/>
                <w:szCs w:val="22"/>
                <w:color w:val="auto"/>
              </w:rPr>
              <w:t>REPORTING</w:t>
            </w:r>
          </w:p>
        </w:tc>
        <w:tc>
          <w:tcPr>
            <w:tcW w:w="520" w:type="dxa"/>
            <w:vAlign w:val="bottom"/>
          </w:tcPr>
          <w:p>
            <w:pPr>
              <w:spacing w:after="0"/>
              <w:rPr>
                <w:sz w:val="12"/>
                <w:szCs w:val="12"/>
                <w:color w:val="auto"/>
              </w:rPr>
            </w:pPr>
          </w:p>
        </w:tc>
        <w:tc>
          <w:tcPr>
            <w:tcW w:w="6300" w:type="dxa"/>
            <w:vAlign w:val="bottom"/>
            <w:vMerge w:val="continue"/>
          </w:tcPr>
          <w:p>
            <w:pPr>
              <w:spacing w:after="0"/>
              <w:rPr>
                <w:sz w:val="12"/>
                <w:szCs w:val="12"/>
                <w:color w:val="auto"/>
              </w:rPr>
            </w:pPr>
          </w:p>
        </w:tc>
        <w:tc>
          <w:tcPr>
            <w:tcW w:w="27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96"/>
        </w:trPr>
        <w:tc>
          <w:tcPr>
            <w:tcW w:w="1720" w:type="dxa"/>
            <w:vAlign w:val="bottom"/>
            <w:vMerge w:val="continue"/>
          </w:tcPr>
          <w:p>
            <w:pPr>
              <w:spacing w:after="0"/>
              <w:rPr>
                <w:sz w:val="8"/>
                <w:szCs w:val="8"/>
                <w:color w:val="auto"/>
              </w:rPr>
            </w:pPr>
          </w:p>
        </w:tc>
        <w:tc>
          <w:tcPr>
            <w:tcW w:w="520" w:type="dxa"/>
            <w:vAlign w:val="bottom"/>
          </w:tcPr>
          <w:p>
            <w:pPr>
              <w:spacing w:after="0"/>
              <w:rPr>
                <w:sz w:val="8"/>
                <w:szCs w:val="8"/>
                <w:color w:val="auto"/>
              </w:rPr>
            </w:pPr>
          </w:p>
        </w:tc>
        <w:tc>
          <w:tcPr>
            <w:tcW w:w="6300" w:type="dxa"/>
            <w:vAlign w:val="bottom"/>
          </w:tcPr>
          <w:p>
            <w:pPr>
              <w:spacing w:after="0"/>
              <w:rPr>
                <w:sz w:val="8"/>
                <w:szCs w:val="8"/>
                <w:color w:val="auto"/>
              </w:rPr>
            </w:pPr>
          </w:p>
        </w:tc>
        <w:tc>
          <w:tcPr>
            <w:tcW w:w="27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2"/>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PERSON WITH</w:t>
            </w:r>
          </w:p>
        </w:tc>
        <w:tc>
          <w:tcPr>
            <w:tcW w:w="520" w:type="dxa"/>
            <w:vAlign w:val="bottom"/>
          </w:tcPr>
          <w:p>
            <w:pPr>
              <w:spacing w:after="0"/>
              <w:rPr>
                <w:sz w:val="24"/>
                <w:szCs w:val="24"/>
                <w:color w:val="auto"/>
              </w:rPr>
            </w:pPr>
          </w:p>
        </w:tc>
        <w:tc>
          <w:tcPr>
            <w:tcW w:w="6300" w:type="dxa"/>
            <w:vAlign w:val="bottom"/>
            <w:vMerge w:val="restart"/>
          </w:tcPr>
          <w:p>
            <w:pPr>
              <w:ind w:left="140"/>
              <w:spacing w:after="0"/>
              <w:rPr>
                <w:sz w:val="20"/>
                <w:szCs w:val="20"/>
                <w:color w:val="auto"/>
              </w:rPr>
            </w:pPr>
            <w:r>
              <w:rPr>
                <w:rFonts w:ascii="Times New Roman" w:cs="Times New Roman" w:eastAsia="Times New Roman" w:hAnsi="Times New Roman"/>
                <w:sz w:val="22"/>
                <w:szCs w:val="22"/>
                <w:color w:val="auto"/>
              </w:rPr>
              <w:t>8. SHARED DISPOSITIVE POWER</w:t>
            </w:r>
          </w:p>
        </w:tc>
        <w:tc>
          <w:tcPr>
            <w:tcW w:w="2700" w:type="dxa"/>
            <w:vAlign w:val="bottom"/>
            <w:vMerge w:val="restart"/>
          </w:tcPr>
          <w:p>
            <w:pPr>
              <w:ind w:left="640"/>
              <w:spacing w:after="0"/>
              <w:rPr>
                <w:sz w:val="20"/>
                <w:szCs w:val="20"/>
                <w:color w:val="auto"/>
              </w:rPr>
            </w:pPr>
            <w:r>
              <w:rPr>
                <w:rFonts w:ascii="Times New Roman" w:cs="Times New Roman" w:eastAsia="Times New Roman" w:hAnsi="Times New Roman"/>
                <w:sz w:val="22"/>
                <w:szCs w:val="22"/>
                <w:color w:val="auto"/>
              </w:rPr>
              <w:t>2,439,809</w:t>
            </w:r>
          </w:p>
        </w:tc>
        <w:tc>
          <w:tcPr>
            <w:tcW w:w="0" w:type="dxa"/>
            <w:vAlign w:val="bottom"/>
          </w:tcPr>
          <w:p>
            <w:pPr>
              <w:spacing w:after="0"/>
              <w:rPr>
                <w:sz w:val="1"/>
                <w:szCs w:val="1"/>
                <w:color w:val="auto"/>
              </w:rPr>
            </w:pPr>
          </w:p>
        </w:tc>
      </w:tr>
      <w:tr>
        <w:trPr>
          <w:trHeight w:val="81"/>
        </w:trPr>
        <w:tc>
          <w:tcPr>
            <w:tcW w:w="1720" w:type="dxa"/>
            <w:vAlign w:val="bottom"/>
          </w:tcPr>
          <w:p>
            <w:pPr>
              <w:spacing w:after="0"/>
              <w:rPr>
                <w:sz w:val="7"/>
                <w:szCs w:val="7"/>
                <w:color w:val="auto"/>
              </w:rPr>
            </w:pPr>
          </w:p>
        </w:tc>
        <w:tc>
          <w:tcPr>
            <w:tcW w:w="520" w:type="dxa"/>
            <w:vAlign w:val="bottom"/>
          </w:tcPr>
          <w:p>
            <w:pPr>
              <w:spacing w:after="0"/>
              <w:rPr>
                <w:sz w:val="7"/>
                <w:szCs w:val="7"/>
                <w:color w:val="auto"/>
              </w:rPr>
            </w:pPr>
          </w:p>
        </w:tc>
        <w:tc>
          <w:tcPr>
            <w:tcW w:w="6300" w:type="dxa"/>
            <w:vAlign w:val="bottom"/>
            <w:vMerge w:val="continue"/>
          </w:tcPr>
          <w:p>
            <w:pPr>
              <w:spacing w:after="0"/>
              <w:rPr>
                <w:sz w:val="7"/>
                <w:szCs w:val="7"/>
                <w:color w:val="auto"/>
              </w:rPr>
            </w:pPr>
          </w:p>
        </w:tc>
        <w:tc>
          <w:tcPr>
            <w:tcW w:w="270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9.</w:t>
            </w:r>
          </w:p>
        </w:tc>
        <w:tc>
          <w:tcPr>
            <w:tcW w:w="9520" w:type="dxa"/>
            <w:vAlign w:val="bottom"/>
            <w:gridSpan w:val="3"/>
          </w:tcPr>
          <w:p>
            <w:pPr>
              <w:ind w:left="100"/>
              <w:spacing w:after="0"/>
              <w:rPr>
                <w:sz w:val="20"/>
                <w:szCs w:val="20"/>
                <w:color w:val="auto"/>
              </w:rPr>
            </w:pPr>
            <w:r>
              <w:rPr>
                <w:rFonts w:ascii="Times New Roman" w:cs="Times New Roman" w:eastAsia="Times New Roman" w:hAnsi="Times New Roman"/>
                <w:sz w:val="22"/>
                <w:szCs w:val="22"/>
                <w:color w:val="auto"/>
              </w:rPr>
              <w:t>AGGREGATE AMOUNT BENEFICIALLY OWNED BY EACH REPORTING PERSON</w:t>
            </w: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682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2,439,809</w:t>
            </w:r>
          </w:p>
        </w:tc>
        <w:tc>
          <w:tcPr>
            <w:tcW w:w="2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10.</w:t>
            </w:r>
          </w:p>
        </w:tc>
        <w:tc>
          <w:tcPr>
            <w:tcW w:w="9520" w:type="dxa"/>
            <w:vAlign w:val="bottom"/>
            <w:gridSpan w:val="3"/>
          </w:tcPr>
          <w:p>
            <w:pPr>
              <w:ind w:left="100"/>
              <w:spacing w:after="0"/>
              <w:rPr>
                <w:sz w:val="20"/>
                <w:szCs w:val="20"/>
                <w:color w:val="auto"/>
              </w:rPr>
            </w:pPr>
            <w:r>
              <w:rPr>
                <w:rFonts w:ascii="Times New Roman" w:cs="Times New Roman" w:eastAsia="Times New Roman" w:hAnsi="Times New Roman"/>
                <w:sz w:val="22"/>
                <w:szCs w:val="22"/>
                <w:color w:val="auto"/>
              </w:rPr>
              <w:t>CHECK IF THE AGGREGATE AMOUNT IN ROW (9) EXCLUDES CERTAIN SHARES</w:t>
            </w: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52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 ]</w:t>
            </w:r>
          </w:p>
        </w:tc>
        <w:tc>
          <w:tcPr>
            <w:tcW w:w="6300" w:type="dxa"/>
            <w:vAlign w:val="bottom"/>
          </w:tcPr>
          <w:p>
            <w:pPr>
              <w:spacing w:after="0"/>
              <w:rPr>
                <w:sz w:val="24"/>
                <w:szCs w:val="24"/>
                <w:color w:val="auto"/>
              </w:rPr>
            </w:pPr>
          </w:p>
        </w:tc>
        <w:tc>
          <w:tcPr>
            <w:tcW w:w="2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11.</w:t>
            </w:r>
          </w:p>
        </w:tc>
        <w:tc>
          <w:tcPr>
            <w:tcW w:w="682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PERCENT OF CLASS REPRESENTED BY AMOUNT IN ROW (9)</w:t>
            </w:r>
          </w:p>
        </w:tc>
        <w:tc>
          <w:tcPr>
            <w:tcW w:w="2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682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6.02%</w:t>
            </w:r>
          </w:p>
        </w:tc>
        <w:tc>
          <w:tcPr>
            <w:tcW w:w="2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12.</w:t>
            </w:r>
          </w:p>
        </w:tc>
        <w:tc>
          <w:tcPr>
            <w:tcW w:w="682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TYPE OF REPORTING PERSON</w:t>
            </w:r>
          </w:p>
        </w:tc>
        <w:tc>
          <w:tcPr>
            <w:tcW w:w="2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52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HC</w:t>
            </w:r>
          </w:p>
        </w:tc>
        <w:tc>
          <w:tcPr>
            <w:tcW w:w="6300" w:type="dxa"/>
            <w:vAlign w:val="bottom"/>
          </w:tcPr>
          <w:p>
            <w:pPr>
              <w:spacing w:after="0"/>
              <w:rPr>
                <w:sz w:val="24"/>
                <w:szCs w:val="24"/>
                <w:color w:val="auto"/>
              </w:rPr>
            </w:pPr>
          </w:p>
        </w:tc>
        <w:tc>
          <w:tcPr>
            <w:tcW w:w="2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6"/>
        </w:trPr>
        <w:tc>
          <w:tcPr>
            <w:tcW w:w="1720" w:type="dxa"/>
            <w:vAlign w:val="bottom"/>
            <w:tcBorders>
              <w:bottom w:val="single" w:sz="8" w:color="808080"/>
            </w:tcBorders>
          </w:tcPr>
          <w:p>
            <w:pPr>
              <w:spacing w:after="0"/>
              <w:rPr>
                <w:sz w:val="8"/>
                <w:szCs w:val="8"/>
                <w:color w:val="auto"/>
              </w:rPr>
            </w:pPr>
          </w:p>
        </w:tc>
        <w:tc>
          <w:tcPr>
            <w:tcW w:w="520" w:type="dxa"/>
            <w:vAlign w:val="bottom"/>
            <w:tcBorders>
              <w:bottom w:val="single" w:sz="8" w:color="808080"/>
            </w:tcBorders>
          </w:tcPr>
          <w:p>
            <w:pPr>
              <w:spacing w:after="0"/>
              <w:rPr>
                <w:sz w:val="8"/>
                <w:szCs w:val="8"/>
                <w:color w:val="auto"/>
              </w:rPr>
            </w:pPr>
          </w:p>
        </w:tc>
        <w:tc>
          <w:tcPr>
            <w:tcW w:w="6300" w:type="dxa"/>
            <w:vAlign w:val="bottom"/>
            <w:tcBorders>
              <w:bottom w:val="single" w:sz="8" w:color="808080"/>
            </w:tcBorders>
          </w:tcPr>
          <w:p>
            <w:pPr>
              <w:spacing w:after="0"/>
              <w:rPr>
                <w:sz w:val="8"/>
                <w:szCs w:val="8"/>
                <w:color w:val="auto"/>
              </w:rPr>
            </w:pPr>
          </w:p>
        </w:tc>
        <w:tc>
          <w:tcPr>
            <w:tcW w:w="2700" w:type="dxa"/>
            <w:vAlign w:val="bottom"/>
            <w:tcBorders>
              <w:bottom w:val="single" w:sz="8" w:color="808080"/>
            </w:tcBorders>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382" w:right="339" w:bottom="1440" w:gutter="0" w:footer="0" w:header="0"/>
        </w:sectPr>
      </w:pPr>
    </w:p>
    <w:bookmarkStart w:id="3" w:name="page4"/>
    <w:bookmarkEnd w:id="3"/>
    <w:p>
      <w:pPr>
        <w:ind w:left="40"/>
        <w:spacing w:after="0"/>
        <w:rPr>
          <w:sz w:val="20"/>
          <w:szCs w:val="20"/>
          <w:color w:val="auto"/>
        </w:rPr>
      </w:pPr>
      <w:r>
        <w:rPr>
          <w:rFonts w:ascii="Times New Roman" w:cs="Times New Roman" w:eastAsia="Times New Roman" w:hAnsi="Times New Roman"/>
          <w:sz w:val="22"/>
          <w:szCs w:val="22"/>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49465" cy="8890"/>
                    </a:xfrm>
                    <a:prstGeom prst="rect">
                      <a:avLst/>
                    </a:prstGeom>
                    <a:noFill/>
                  </pic:spPr>
                </pic:pic>
              </a:graphicData>
            </a:graphic>
          </wp:anchor>
        </w:drawing>
        <w:t>CUSIP No. 984241109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173990</wp:posOffset>
            </wp:positionV>
            <wp:extent cx="713232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348" w:lineRule="exact"/>
        <w:rPr>
          <w:sz w:val="20"/>
          <w:szCs w:val="20"/>
          <w:color w:val="auto"/>
        </w:rPr>
      </w:pPr>
    </w:p>
    <w:tbl>
      <w:tblPr>
        <w:tblLayout w:type="fixed"/>
        <w:tblInd w:w="120" w:type="dxa"/>
        <w:tblCellMar>
          <w:top w:w="0" w:type="dxa"/>
          <w:left w:w="0" w:type="dxa"/>
          <w:bottom w:w="0" w:type="dxa"/>
          <w:right w:w="0" w:type="dxa"/>
        </w:tblCellMar>
      </w:tblPr>
      <w:tr>
        <w:trPr>
          <w:trHeight w:val="282"/>
        </w:trPr>
        <w:tc>
          <w:tcPr>
            <w:tcW w:w="920" w:type="dxa"/>
            <w:vAlign w:val="bottom"/>
          </w:tcPr>
          <w:p>
            <w:pPr>
              <w:jc w:val="right"/>
              <w:ind w:right="652"/>
              <w:spacing w:after="0"/>
              <w:rPr>
                <w:sz w:val="20"/>
                <w:szCs w:val="20"/>
                <w:color w:val="auto"/>
              </w:rPr>
            </w:pPr>
            <w:r>
              <w:rPr>
                <w:rFonts w:ascii="Times New Roman" w:cs="Times New Roman" w:eastAsia="Times New Roman" w:hAnsi="Times New Roman"/>
                <w:sz w:val="22"/>
                <w:szCs w:val="22"/>
                <w:color w:val="auto"/>
                <w:w w:val="84"/>
              </w:rPr>
              <w:t>1.</w:t>
            </w: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NAMES OF REPORTING PERSONS</w:t>
            </w:r>
          </w:p>
        </w:tc>
      </w:tr>
      <w:tr>
        <w:trPr>
          <w:trHeight w:val="486"/>
        </w:trPr>
        <w:tc>
          <w:tcPr>
            <w:tcW w:w="920" w:type="dxa"/>
            <w:vAlign w:val="bottom"/>
          </w:tcPr>
          <w:p>
            <w:pPr>
              <w:spacing w:after="0"/>
              <w:rPr>
                <w:sz w:val="24"/>
                <w:szCs w:val="24"/>
                <w:color w:val="auto"/>
              </w:rPr>
            </w:pP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Wellington Investment Advisors Holdings LLP</w:t>
            </w:r>
          </w:p>
        </w:tc>
      </w:tr>
      <w:tr>
        <w:trPr>
          <w:trHeight w:val="459"/>
        </w:trPr>
        <w:tc>
          <w:tcPr>
            <w:tcW w:w="920" w:type="dxa"/>
            <w:vAlign w:val="bottom"/>
          </w:tcPr>
          <w:p>
            <w:pPr>
              <w:jc w:val="right"/>
              <w:ind w:right="652"/>
              <w:spacing w:after="0"/>
              <w:rPr>
                <w:sz w:val="20"/>
                <w:szCs w:val="20"/>
                <w:color w:val="auto"/>
              </w:rPr>
            </w:pPr>
            <w:r>
              <w:rPr>
                <w:rFonts w:ascii="Times New Roman" w:cs="Times New Roman" w:eastAsia="Times New Roman" w:hAnsi="Times New Roman"/>
                <w:sz w:val="22"/>
                <w:szCs w:val="22"/>
                <w:color w:val="auto"/>
                <w:w w:val="84"/>
              </w:rPr>
              <w:t>2.</w:t>
            </w: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w w:val="97"/>
              </w:rPr>
              <w:t>CHECK THE APPROPRIATE BOX IF A MEMBER OF A GROUP</w:t>
            </w:r>
          </w:p>
        </w:tc>
      </w:tr>
      <w:tr>
        <w:trPr>
          <w:trHeight w:val="447"/>
        </w:trPr>
        <w:tc>
          <w:tcPr>
            <w:tcW w:w="920" w:type="dxa"/>
            <w:vAlign w:val="bottom"/>
          </w:tcPr>
          <w:p>
            <w:pPr>
              <w:spacing w:after="0"/>
              <w:rPr>
                <w:sz w:val="24"/>
                <w:szCs w:val="24"/>
                <w:color w:val="auto"/>
              </w:rPr>
            </w:pP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(a) [ ]</w:t>
            </w:r>
          </w:p>
        </w:tc>
      </w:tr>
      <w:tr>
        <w:trPr>
          <w:trHeight w:val="282"/>
        </w:trPr>
        <w:tc>
          <w:tcPr>
            <w:tcW w:w="920" w:type="dxa"/>
            <w:vAlign w:val="bottom"/>
          </w:tcPr>
          <w:p>
            <w:pPr>
              <w:spacing w:after="0"/>
              <w:rPr>
                <w:sz w:val="24"/>
                <w:szCs w:val="24"/>
                <w:color w:val="auto"/>
              </w:rPr>
            </w:pP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(b) [ ]</w:t>
            </w:r>
          </w:p>
        </w:tc>
      </w:tr>
      <w:tr>
        <w:trPr>
          <w:trHeight w:val="459"/>
        </w:trPr>
        <w:tc>
          <w:tcPr>
            <w:tcW w:w="920" w:type="dxa"/>
            <w:vAlign w:val="bottom"/>
          </w:tcPr>
          <w:p>
            <w:pPr>
              <w:jc w:val="right"/>
              <w:ind w:right="652"/>
              <w:spacing w:after="0"/>
              <w:rPr>
                <w:sz w:val="20"/>
                <w:szCs w:val="20"/>
                <w:color w:val="auto"/>
              </w:rPr>
            </w:pPr>
            <w:r>
              <w:rPr>
                <w:rFonts w:ascii="Times New Roman" w:cs="Times New Roman" w:eastAsia="Times New Roman" w:hAnsi="Times New Roman"/>
                <w:sz w:val="22"/>
                <w:szCs w:val="22"/>
                <w:color w:val="auto"/>
                <w:w w:val="84"/>
              </w:rPr>
              <w:t>3.</w:t>
            </w: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SEC USE ONLY</w:t>
            </w:r>
          </w:p>
        </w:tc>
      </w:tr>
      <w:tr>
        <w:trPr>
          <w:trHeight w:val="459"/>
        </w:trPr>
        <w:tc>
          <w:tcPr>
            <w:tcW w:w="920" w:type="dxa"/>
            <w:vAlign w:val="bottom"/>
          </w:tcPr>
          <w:p>
            <w:pPr>
              <w:jc w:val="right"/>
              <w:ind w:right="652"/>
              <w:spacing w:after="0"/>
              <w:rPr>
                <w:sz w:val="20"/>
                <w:szCs w:val="20"/>
                <w:color w:val="auto"/>
              </w:rPr>
            </w:pPr>
            <w:r>
              <w:rPr>
                <w:rFonts w:ascii="Times New Roman" w:cs="Times New Roman" w:eastAsia="Times New Roman" w:hAnsi="Times New Roman"/>
                <w:sz w:val="22"/>
                <w:szCs w:val="22"/>
                <w:color w:val="auto"/>
                <w:w w:val="84"/>
              </w:rPr>
              <w:t>4.</w:t>
            </w: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CITIZENSHIP OR PLACE OF ORGANIZATION</w:t>
            </w:r>
          </w:p>
        </w:tc>
      </w:tr>
      <w:tr>
        <w:trPr>
          <w:trHeight w:val="486"/>
        </w:trPr>
        <w:tc>
          <w:tcPr>
            <w:tcW w:w="920" w:type="dxa"/>
            <w:vAlign w:val="bottom"/>
          </w:tcPr>
          <w:p>
            <w:pPr>
              <w:spacing w:after="0"/>
              <w:rPr>
                <w:sz w:val="24"/>
                <w:szCs w:val="24"/>
                <w:color w:val="auto"/>
              </w:rPr>
            </w:pP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Delaware</w:t>
            </w:r>
          </w:p>
        </w:tc>
      </w:tr>
    </w:tbl>
    <w:p>
      <w:pPr>
        <w:spacing w:after="0" w:line="177" w:lineRule="exact"/>
        <w:rPr>
          <w:sz w:val="20"/>
          <w:szCs w:val="20"/>
          <w:color w:val="auto"/>
        </w:rPr>
      </w:pPr>
    </w:p>
    <w:tbl>
      <w:tblPr>
        <w:tblLayout w:type="fixed"/>
        <w:tblInd w:w="0" w:type="dxa"/>
        <w:tblCellMar>
          <w:top w:w="0" w:type="dxa"/>
          <w:left w:w="0" w:type="dxa"/>
          <w:bottom w:w="0" w:type="dxa"/>
          <w:right w:w="0" w:type="dxa"/>
        </w:tblCellMar>
      </w:tblPr>
      <w:tr>
        <w:trPr>
          <w:trHeight w:val="324"/>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NUMBER OF</w:t>
            </w:r>
          </w:p>
        </w:tc>
        <w:tc>
          <w:tcPr>
            <w:tcW w:w="520" w:type="dxa"/>
            <w:vAlign w:val="bottom"/>
          </w:tcPr>
          <w:p>
            <w:pPr>
              <w:spacing w:after="0"/>
              <w:rPr>
                <w:sz w:val="24"/>
                <w:szCs w:val="24"/>
                <w:color w:val="auto"/>
              </w:rPr>
            </w:pPr>
          </w:p>
        </w:tc>
        <w:tc>
          <w:tcPr>
            <w:tcW w:w="6300" w:type="dxa"/>
            <w:vAlign w:val="bottom"/>
          </w:tcPr>
          <w:p>
            <w:pPr>
              <w:ind w:left="140"/>
              <w:spacing w:after="0"/>
              <w:rPr>
                <w:sz w:val="20"/>
                <w:szCs w:val="20"/>
                <w:color w:val="auto"/>
              </w:rPr>
            </w:pPr>
            <w:r>
              <w:rPr>
                <w:rFonts w:ascii="Times New Roman" w:cs="Times New Roman" w:eastAsia="Times New Roman" w:hAnsi="Times New Roman"/>
                <w:sz w:val="22"/>
                <w:szCs w:val="22"/>
                <w:color w:val="auto"/>
              </w:rPr>
              <w:t>5. SOLE VOTING POWER</w:t>
            </w:r>
          </w:p>
        </w:tc>
        <w:tc>
          <w:tcPr>
            <w:tcW w:w="2700" w:type="dxa"/>
            <w:vAlign w:val="bottom"/>
          </w:tcPr>
          <w:p>
            <w:pPr>
              <w:ind w:left="640"/>
              <w:spacing w:after="0"/>
              <w:rPr>
                <w:sz w:val="20"/>
                <w:szCs w:val="20"/>
                <w:color w:val="auto"/>
              </w:rPr>
            </w:pPr>
            <w:r>
              <w:rPr>
                <w:rFonts w:ascii="Times New Roman" w:cs="Times New Roman" w:eastAsia="Times New Roman" w:hAnsi="Times New Roman"/>
                <w:sz w:val="22"/>
                <w:szCs w:val="22"/>
                <w:color w:val="auto"/>
              </w:rPr>
              <w:t>0</w:t>
            </w:r>
          </w:p>
        </w:tc>
        <w:tc>
          <w:tcPr>
            <w:tcW w:w="0" w:type="dxa"/>
            <w:vAlign w:val="bottom"/>
          </w:tcPr>
          <w:p>
            <w:pPr>
              <w:spacing w:after="0"/>
              <w:rPr>
                <w:sz w:val="1"/>
                <w:szCs w:val="1"/>
                <w:color w:val="auto"/>
              </w:rPr>
            </w:pPr>
          </w:p>
        </w:tc>
      </w:tr>
      <w:tr>
        <w:trPr>
          <w:trHeight w:val="243"/>
        </w:trPr>
        <w:tc>
          <w:tcPr>
            <w:tcW w:w="1720" w:type="dxa"/>
            <w:vAlign w:val="bottom"/>
          </w:tcPr>
          <w:p>
            <w:pPr>
              <w:ind w:left="120"/>
              <w:spacing w:after="0" w:line="243" w:lineRule="exact"/>
              <w:rPr>
                <w:sz w:val="20"/>
                <w:szCs w:val="20"/>
                <w:color w:val="auto"/>
              </w:rPr>
            </w:pPr>
            <w:r>
              <w:rPr>
                <w:rFonts w:ascii="Times New Roman" w:cs="Times New Roman" w:eastAsia="Times New Roman" w:hAnsi="Times New Roman"/>
                <w:sz w:val="22"/>
                <w:szCs w:val="22"/>
                <w:color w:val="auto"/>
              </w:rPr>
              <w:t>SHARES</w:t>
            </w:r>
          </w:p>
        </w:tc>
        <w:tc>
          <w:tcPr>
            <w:tcW w:w="520" w:type="dxa"/>
            <w:vAlign w:val="bottom"/>
          </w:tcPr>
          <w:p>
            <w:pPr>
              <w:spacing w:after="0"/>
              <w:rPr>
                <w:sz w:val="21"/>
                <w:szCs w:val="21"/>
                <w:color w:val="auto"/>
              </w:rPr>
            </w:pPr>
          </w:p>
        </w:tc>
        <w:tc>
          <w:tcPr>
            <w:tcW w:w="6300" w:type="dxa"/>
            <w:vAlign w:val="bottom"/>
            <w:vMerge w:val="restart"/>
          </w:tcPr>
          <w:p>
            <w:pPr>
              <w:ind w:left="140"/>
              <w:spacing w:after="0"/>
              <w:rPr>
                <w:sz w:val="20"/>
                <w:szCs w:val="20"/>
                <w:color w:val="auto"/>
              </w:rPr>
            </w:pPr>
            <w:r>
              <w:rPr>
                <w:rFonts w:ascii="Times New Roman" w:cs="Times New Roman" w:eastAsia="Times New Roman" w:hAnsi="Times New Roman"/>
                <w:sz w:val="22"/>
                <w:szCs w:val="22"/>
                <w:color w:val="auto"/>
              </w:rPr>
              <w:t>6. SHARED VOTING POWER</w:t>
            </w:r>
          </w:p>
        </w:tc>
        <w:tc>
          <w:tcPr>
            <w:tcW w:w="2700" w:type="dxa"/>
            <w:vAlign w:val="bottom"/>
            <w:vMerge w:val="restart"/>
          </w:tcPr>
          <w:p>
            <w:pPr>
              <w:ind w:left="640"/>
              <w:spacing w:after="0"/>
              <w:rPr>
                <w:sz w:val="20"/>
                <w:szCs w:val="20"/>
                <w:color w:val="auto"/>
              </w:rPr>
            </w:pPr>
            <w:r>
              <w:rPr>
                <w:rFonts w:ascii="Times New Roman" w:cs="Times New Roman" w:eastAsia="Times New Roman" w:hAnsi="Times New Roman"/>
                <w:sz w:val="22"/>
                <w:szCs w:val="22"/>
                <w:color w:val="auto"/>
              </w:rPr>
              <w:t>2,267,606</w:t>
            </w:r>
          </w:p>
        </w:tc>
        <w:tc>
          <w:tcPr>
            <w:tcW w:w="0" w:type="dxa"/>
            <w:vAlign w:val="bottom"/>
          </w:tcPr>
          <w:p>
            <w:pPr>
              <w:spacing w:after="0"/>
              <w:rPr>
                <w:sz w:val="1"/>
                <w:szCs w:val="1"/>
                <w:color w:val="auto"/>
              </w:rPr>
            </w:pPr>
          </w:p>
        </w:tc>
      </w:tr>
      <w:tr>
        <w:trPr>
          <w:trHeight w:val="174"/>
        </w:trPr>
        <w:tc>
          <w:tcPr>
            <w:tcW w:w="1720" w:type="dxa"/>
            <w:vAlign w:val="bottom"/>
            <w:vMerge w:val="restart"/>
          </w:tcPr>
          <w:p>
            <w:pPr>
              <w:ind w:left="120"/>
              <w:spacing w:after="0" w:line="243" w:lineRule="exact"/>
              <w:rPr>
                <w:sz w:val="20"/>
                <w:szCs w:val="20"/>
                <w:color w:val="auto"/>
              </w:rPr>
            </w:pPr>
            <w:r>
              <w:rPr>
                <w:rFonts w:ascii="Times New Roman" w:cs="Times New Roman" w:eastAsia="Times New Roman" w:hAnsi="Times New Roman"/>
                <w:sz w:val="22"/>
                <w:szCs w:val="22"/>
                <w:color w:val="auto"/>
              </w:rPr>
              <w:t>BENEFICIALLY</w:t>
            </w:r>
          </w:p>
        </w:tc>
        <w:tc>
          <w:tcPr>
            <w:tcW w:w="520" w:type="dxa"/>
            <w:vAlign w:val="bottom"/>
          </w:tcPr>
          <w:p>
            <w:pPr>
              <w:spacing w:after="0"/>
              <w:rPr>
                <w:sz w:val="15"/>
                <w:szCs w:val="15"/>
                <w:color w:val="auto"/>
              </w:rPr>
            </w:pPr>
          </w:p>
        </w:tc>
        <w:tc>
          <w:tcPr>
            <w:tcW w:w="6300" w:type="dxa"/>
            <w:vAlign w:val="bottom"/>
            <w:vMerge w:val="continue"/>
          </w:tcPr>
          <w:p>
            <w:pPr>
              <w:spacing w:after="0"/>
              <w:rPr>
                <w:sz w:val="15"/>
                <w:szCs w:val="15"/>
                <w:color w:val="auto"/>
              </w:rPr>
            </w:pPr>
          </w:p>
        </w:tc>
        <w:tc>
          <w:tcPr>
            <w:tcW w:w="270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69"/>
        </w:trPr>
        <w:tc>
          <w:tcPr>
            <w:tcW w:w="1720" w:type="dxa"/>
            <w:vAlign w:val="bottom"/>
            <w:vMerge w:val="continue"/>
          </w:tcPr>
          <w:p>
            <w:pPr>
              <w:spacing w:after="0"/>
              <w:rPr>
                <w:sz w:val="5"/>
                <w:szCs w:val="5"/>
                <w:color w:val="auto"/>
              </w:rPr>
            </w:pPr>
          </w:p>
        </w:tc>
        <w:tc>
          <w:tcPr>
            <w:tcW w:w="520" w:type="dxa"/>
            <w:vAlign w:val="bottom"/>
          </w:tcPr>
          <w:p>
            <w:pPr>
              <w:spacing w:after="0"/>
              <w:rPr>
                <w:sz w:val="5"/>
                <w:szCs w:val="5"/>
                <w:color w:val="auto"/>
              </w:rPr>
            </w:pPr>
          </w:p>
        </w:tc>
        <w:tc>
          <w:tcPr>
            <w:tcW w:w="6300" w:type="dxa"/>
            <w:vAlign w:val="bottom"/>
          </w:tcPr>
          <w:p>
            <w:pPr>
              <w:spacing w:after="0"/>
              <w:rPr>
                <w:sz w:val="5"/>
                <w:szCs w:val="5"/>
                <w:color w:val="auto"/>
              </w:rPr>
            </w:pPr>
          </w:p>
        </w:tc>
        <w:tc>
          <w:tcPr>
            <w:tcW w:w="27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43"/>
        </w:trPr>
        <w:tc>
          <w:tcPr>
            <w:tcW w:w="2240" w:type="dxa"/>
            <w:vAlign w:val="bottom"/>
            <w:gridSpan w:val="2"/>
          </w:tcPr>
          <w:p>
            <w:pPr>
              <w:ind w:left="120"/>
              <w:spacing w:after="0" w:line="243" w:lineRule="exact"/>
              <w:rPr>
                <w:sz w:val="20"/>
                <w:szCs w:val="20"/>
                <w:color w:val="auto"/>
              </w:rPr>
            </w:pPr>
            <w:r>
              <w:rPr>
                <w:rFonts w:ascii="Times New Roman" w:cs="Times New Roman" w:eastAsia="Times New Roman" w:hAnsi="Times New Roman"/>
                <w:sz w:val="22"/>
                <w:szCs w:val="22"/>
                <w:color w:val="auto"/>
              </w:rPr>
              <w:t>OWNED BY EACH</w:t>
            </w:r>
          </w:p>
        </w:tc>
        <w:tc>
          <w:tcPr>
            <w:tcW w:w="6300" w:type="dxa"/>
            <w:vAlign w:val="bottom"/>
            <w:vMerge w:val="restart"/>
          </w:tcPr>
          <w:p>
            <w:pPr>
              <w:ind w:left="140"/>
              <w:spacing w:after="0"/>
              <w:rPr>
                <w:sz w:val="20"/>
                <w:szCs w:val="20"/>
                <w:color w:val="auto"/>
              </w:rPr>
            </w:pPr>
            <w:r>
              <w:rPr>
                <w:rFonts w:ascii="Times New Roman" w:cs="Times New Roman" w:eastAsia="Times New Roman" w:hAnsi="Times New Roman"/>
                <w:sz w:val="22"/>
                <w:szCs w:val="22"/>
                <w:color w:val="auto"/>
              </w:rPr>
              <w:t>7. SOLE DISPOSITIVE POWER</w:t>
            </w:r>
          </w:p>
        </w:tc>
        <w:tc>
          <w:tcPr>
            <w:tcW w:w="2700" w:type="dxa"/>
            <w:vAlign w:val="bottom"/>
            <w:vMerge w:val="restart"/>
          </w:tcPr>
          <w:p>
            <w:pPr>
              <w:ind w:left="640"/>
              <w:spacing w:after="0"/>
              <w:rPr>
                <w:sz w:val="20"/>
                <w:szCs w:val="20"/>
                <w:color w:val="auto"/>
              </w:rPr>
            </w:pPr>
            <w:r>
              <w:rPr>
                <w:rFonts w:ascii="Times New Roman" w:cs="Times New Roman" w:eastAsia="Times New Roman" w:hAnsi="Times New Roman"/>
                <w:sz w:val="22"/>
                <w:szCs w:val="22"/>
                <w:color w:val="auto"/>
              </w:rPr>
              <w:t>0</w:t>
            </w:r>
          </w:p>
        </w:tc>
        <w:tc>
          <w:tcPr>
            <w:tcW w:w="0" w:type="dxa"/>
            <w:vAlign w:val="bottom"/>
          </w:tcPr>
          <w:p>
            <w:pPr>
              <w:spacing w:after="0"/>
              <w:rPr>
                <w:sz w:val="1"/>
                <w:szCs w:val="1"/>
                <w:color w:val="auto"/>
              </w:rPr>
            </w:pPr>
          </w:p>
        </w:tc>
      </w:tr>
      <w:tr>
        <w:trPr>
          <w:trHeight w:val="147"/>
        </w:trPr>
        <w:tc>
          <w:tcPr>
            <w:tcW w:w="1720" w:type="dxa"/>
            <w:vAlign w:val="bottom"/>
            <w:vMerge w:val="restart"/>
          </w:tcPr>
          <w:p>
            <w:pPr>
              <w:ind w:left="120"/>
              <w:spacing w:after="0" w:line="243" w:lineRule="exact"/>
              <w:rPr>
                <w:sz w:val="20"/>
                <w:szCs w:val="20"/>
                <w:color w:val="auto"/>
              </w:rPr>
            </w:pPr>
            <w:r>
              <w:rPr>
                <w:rFonts w:ascii="Times New Roman" w:cs="Times New Roman" w:eastAsia="Times New Roman" w:hAnsi="Times New Roman"/>
                <w:sz w:val="22"/>
                <w:szCs w:val="22"/>
                <w:color w:val="auto"/>
              </w:rPr>
              <w:t>REPORTING</w:t>
            </w:r>
          </w:p>
        </w:tc>
        <w:tc>
          <w:tcPr>
            <w:tcW w:w="520" w:type="dxa"/>
            <w:vAlign w:val="bottom"/>
          </w:tcPr>
          <w:p>
            <w:pPr>
              <w:spacing w:after="0"/>
              <w:rPr>
                <w:sz w:val="12"/>
                <w:szCs w:val="12"/>
                <w:color w:val="auto"/>
              </w:rPr>
            </w:pPr>
          </w:p>
        </w:tc>
        <w:tc>
          <w:tcPr>
            <w:tcW w:w="6300" w:type="dxa"/>
            <w:vAlign w:val="bottom"/>
            <w:vMerge w:val="continue"/>
          </w:tcPr>
          <w:p>
            <w:pPr>
              <w:spacing w:after="0"/>
              <w:rPr>
                <w:sz w:val="12"/>
                <w:szCs w:val="12"/>
                <w:color w:val="auto"/>
              </w:rPr>
            </w:pPr>
          </w:p>
        </w:tc>
        <w:tc>
          <w:tcPr>
            <w:tcW w:w="27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96"/>
        </w:trPr>
        <w:tc>
          <w:tcPr>
            <w:tcW w:w="1720" w:type="dxa"/>
            <w:vAlign w:val="bottom"/>
            <w:vMerge w:val="continue"/>
          </w:tcPr>
          <w:p>
            <w:pPr>
              <w:spacing w:after="0"/>
              <w:rPr>
                <w:sz w:val="8"/>
                <w:szCs w:val="8"/>
                <w:color w:val="auto"/>
              </w:rPr>
            </w:pPr>
          </w:p>
        </w:tc>
        <w:tc>
          <w:tcPr>
            <w:tcW w:w="520" w:type="dxa"/>
            <w:vAlign w:val="bottom"/>
          </w:tcPr>
          <w:p>
            <w:pPr>
              <w:spacing w:after="0"/>
              <w:rPr>
                <w:sz w:val="8"/>
                <w:szCs w:val="8"/>
                <w:color w:val="auto"/>
              </w:rPr>
            </w:pPr>
          </w:p>
        </w:tc>
        <w:tc>
          <w:tcPr>
            <w:tcW w:w="6300" w:type="dxa"/>
            <w:vAlign w:val="bottom"/>
          </w:tcPr>
          <w:p>
            <w:pPr>
              <w:spacing w:after="0"/>
              <w:rPr>
                <w:sz w:val="8"/>
                <w:szCs w:val="8"/>
                <w:color w:val="auto"/>
              </w:rPr>
            </w:pPr>
          </w:p>
        </w:tc>
        <w:tc>
          <w:tcPr>
            <w:tcW w:w="27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2"/>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PERSON WITH</w:t>
            </w:r>
          </w:p>
        </w:tc>
        <w:tc>
          <w:tcPr>
            <w:tcW w:w="520" w:type="dxa"/>
            <w:vAlign w:val="bottom"/>
          </w:tcPr>
          <w:p>
            <w:pPr>
              <w:spacing w:after="0"/>
              <w:rPr>
                <w:sz w:val="24"/>
                <w:szCs w:val="24"/>
                <w:color w:val="auto"/>
              </w:rPr>
            </w:pPr>
          </w:p>
        </w:tc>
        <w:tc>
          <w:tcPr>
            <w:tcW w:w="6300" w:type="dxa"/>
            <w:vAlign w:val="bottom"/>
            <w:vMerge w:val="restart"/>
          </w:tcPr>
          <w:p>
            <w:pPr>
              <w:ind w:left="140"/>
              <w:spacing w:after="0"/>
              <w:rPr>
                <w:sz w:val="20"/>
                <w:szCs w:val="20"/>
                <w:color w:val="auto"/>
              </w:rPr>
            </w:pPr>
            <w:r>
              <w:rPr>
                <w:rFonts w:ascii="Times New Roman" w:cs="Times New Roman" w:eastAsia="Times New Roman" w:hAnsi="Times New Roman"/>
                <w:sz w:val="22"/>
                <w:szCs w:val="22"/>
                <w:color w:val="auto"/>
              </w:rPr>
              <w:t>8. SHARED DISPOSITIVE POWER</w:t>
            </w:r>
          </w:p>
        </w:tc>
        <w:tc>
          <w:tcPr>
            <w:tcW w:w="2700" w:type="dxa"/>
            <w:vAlign w:val="bottom"/>
            <w:vMerge w:val="restart"/>
          </w:tcPr>
          <w:p>
            <w:pPr>
              <w:ind w:left="640"/>
              <w:spacing w:after="0"/>
              <w:rPr>
                <w:sz w:val="20"/>
                <w:szCs w:val="20"/>
                <w:color w:val="auto"/>
              </w:rPr>
            </w:pPr>
            <w:r>
              <w:rPr>
                <w:rFonts w:ascii="Times New Roman" w:cs="Times New Roman" w:eastAsia="Times New Roman" w:hAnsi="Times New Roman"/>
                <w:sz w:val="22"/>
                <w:szCs w:val="22"/>
                <w:color w:val="auto"/>
              </w:rPr>
              <w:t>2,439,809</w:t>
            </w:r>
          </w:p>
        </w:tc>
        <w:tc>
          <w:tcPr>
            <w:tcW w:w="0" w:type="dxa"/>
            <w:vAlign w:val="bottom"/>
          </w:tcPr>
          <w:p>
            <w:pPr>
              <w:spacing w:after="0"/>
              <w:rPr>
                <w:sz w:val="1"/>
                <w:szCs w:val="1"/>
                <w:color w:val="auto"/>
              </w:rPr>
            </w:pPr>
          </w:p>
        </w:tc>
      </w:tr>
      <w:tr>
        <w:trPr>
          <w:trHeight w:val="81"/>
        </w:trPr>
        <w:tc>
          <w:tcPr>
            <w:tcW w:w="1720" w:type="dxa"/>
            <w:vAlign w:val="bottom"/>
          </w:tcPr>
          <w:p>
            <w:pPr>
              <w:spacing w:after="0"/>
              <w:rPr>
                <w:sz w:val="7"/>
                <w:szCs w:val="7"/>
                <w:color w:val="auto"/>
              </w:rPr>
            </w:pPr>
          </w:p>
        </w:tc>
        <w:tc>
          <w:tcPr>
            <w:tcW w:w="520" w:type="dxa"/>
            <w:vAlign w:val="bottom"/>
          </w:tcPr>
          <w:p>
            <w:pPr>
              <w:spacing w:after="0"/>
              <w:rPr>
                <w:sz w:val="7"/>
                <w:szCs w:val="7"/>
                <w:color w:val="auto"/>
              </w:rPr>
            </w:pPr>
          </w:p>
        </w:tc>
        <w:tc>
          <w:tcPr>
            <w:tcW w:w="6300" w:type="dxa"/>
            <w:vAlign w:val="bottom"/>
            <w:vMerge w:val="continue"/>
          </w:tcPr>
          <w:p>
            <w:pPr>
              <w:spacing w:after="0"/>
              <w:rPr>
                <w:sz w:val="7"/>
                <w:szCs w:val="7"/>
                <w:color w:val="auto"/>
              </w:rPr>
            </w:pPr>
          </w:p>
        </w:tc>
        <w:tc>
          <w:tcPr>
            <w:tcW w:w="270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9.</w:t>
            </w:r>
          </w:p>
        </w:tc>
        <w:tc>
          <w:tcPr>
            <w:tcW w:w="9520" w:type="dxa"/>
            <w:vAlign w:val="bottom"/>
            <w:gridSpan w:val="3"/>
          </w:tcPr>
          <w:p>
            <w:pPr>
              <w:ind w:left="100"/>
              <w:spacing w:after="0"/>
              <w:rPr>
                <w:sz w:val="20"/>
                <w:szCs w:val="20"/>
                <w:color w:val="auto"/>
              </w:rPr>
            </w:pPr>
            <w:r>
              <w:rPr>
                <w:rFonts w:ascii="Times New Roman" w:cs="Times New Roman" w:eastAsia="Times New Roman" w:hAnsi="Times New Roman"/>
                <w:sz w:val="22"/>
                <w:szCs w:val="22"/>
                <w:color w:val="auto"/>
              </w:rPr>
              <w:t>AGGREGATE AMOUNT BENEFICIALLY OWNED BY EACH REPORTING PERSON</w:t>
            </w: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682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2,439,809</w:t>
            </w:r>
          </w:p>
        </w:tc>
        <w:tc>
          <w:tcPr>
            <w:tcW w:w="2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10.</w:t>
            </w:r>
          </w:p>
        </w:tc>
        <w:tc>
          <w:tcPr>
            <w:tcW w:w="9520" w:type="dxa"/>
            <w:vAlign w:val="bottom"/>
            <w:gridSpan w:val="3"/>
          </w:tcPr>
          <w:p>
            <w:pPr>
              <w:ind w:left="100"/>
              <w:spacing w:after="0"/>
              <w:rPr>
                <w:sz w:val="20"/>
                <w:szCs w:val="20"/>
                <w:color w:val="auto"/>
              </w:rPr>
            </w:pPr>
            <w:r>
              <w:rPr>
                <w:rFonts w:ascii="Times New Roman" w:cs="Times New Roman" w:eastAsia="Times New Roman" w:hAnsi="Times New Roman"/>
                <w:sz w:val="22"/>
                <w:szCs w:val="22"/>
                <w:color w:val="auto"/>
              </w:rPr>
              <w:t>CHECK IF THE AGGREGATE AMOUNT IN ROW (9) EXCLUDES CERTAIN SHARES</w:t>
            </w: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52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 ]</w:t>
            </w:r>
          </w:p>
        </w:tc>
        <w:tc>
          <w:tcPr>
            <w:tcW w:w="6300" w:type="dxa"/>
            <w:vAlign w:val="bottom"/>
          </w:tcPr>
          <w:p>
            <w:pPr>
              <w:spacing w:after="0"/>
              <w:rPr>
                <w:sz w:val="24"/>
                <w:szCs w:val="24"/>
                <w:color w:val="auto"/>
              </w:rPr>
            </w:pPr>
          </w:p>
        </w:tc>
        <w:tc>
          <w:tcPr>
            <w:tcW w:w="2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11.</w:t>
            </w:r>
          </w:p>
        </w:tc>
        <w:tc>
          <w:tcPr>
            <w:tcW w:w="682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PERCENT OF CLASS REPRESENTED BY AMOUNT IN ROW (9)</w:t>
            </w:r>
          </w:p>
        </w:tc>
        <w:tc>
          <w:tcPr>
            <w:tcW w:w="2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682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6.02%</w:t>
            </w:r>
          </w:p>
        </w:tc>
        <w:tc>
          <w:tcPr>
            <w:tcW w:w="2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12.</w:t>
            </w:r>
          </w:p>
        </w:tc>
        <w:tc>
          <w:tcPr>
            <w:tcW w:w="682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TYPE OF REPORTING PERSON</w:t>
            </w:r>
          </w:p>
        </w:tc>
        <w:tc>
          <w:tcPr>
            <w:tcW w:w="2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52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HC</w:t>
            </w:r>
          </w:p>
        </w:tc>
        <w:tc>
          <w:tcPr>
            <w:tcW w:w="6300" w:type="dxa"/>
            <w:vAlign w:val="bottom"/>
          </w:tcPr>
          <w:p>
            <w:pPr>
              <w:spacing w:after="0"/>
              <w:rPr>
                <w:sz w:val="24"/>
                <w:szCs w:val="24"/>
                <w:color w:val="auto"/>
              </w:rPr>
            </w:pPr>
          </w:p>
        </w:tc>
        <w:tc>
          <w:tcPr>
            <w:tcW w:w="2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6"/>
        </w:trPr>
        <w:tc>
          <w:tcPr>
            <w:tcW w:w="1720" w:type="dxa"/>
            <w:vAlign w:val="bottom"/>
            <w:tcBorders>
              <w:bottom w:val="single" w:sz="8" w:color="808080"/>
            </w:tcBorders>
          </w:tcPr>
          <w:p>
            <w:pPr>
              <w:spacing w:after="0"/>
              <w:rPr>
                <w:sz w:val="8"/>
                <w:szCs w:val="8"/>
                <w:color w:val="auto"/>
              </w:rPr>
            </w:pPr>
          </w:p>
        </w:tc>
        <w:tc>
          <w:tcPr>
            <w:tcW w:w="520" w:type="dxa"/>
            <w:vAlign w:val="bottom"/>
            <w:tcBorders>
              <w:bottom w:val="single" w:sz="8" w:color="808080"/>
            </w:tcBorders>
          </w:tcPr>
          <w:p>
            <w:pPr>
              <w:spacing w:after="0"/>
              <w:rPr>
                <w:sz w:val="8"/>
                <w:szCs w:val="8"/>
                <w:color w:val="auto"/>
              </w:rPr>
            </w:pPr>
          </w:p>
        </w:tc>
        <w:tc>
          <w:tcPr>
            <w:tcW w:w="6300" w:type="dxa"/>
            <w:vAlign w:val="bottom"/>
            <w:tcBorders>
              <w:bottom w:val="single" w:sz="8" w:color="808080"/>
            </w:tcBorders>
          </w:tcPr>
          <w:p>
            <w:pPr>
              <w:spacing w:after="0"/>
              <w:rPr>
                <w:sz w:val="8"/>
                <w:szCs w:val="8"/>
                <w:color w:val="auto"/>
              </w:rPr>
            </w:pPr>
          </w:p>
        </w:tc>
        <w:tc>
          <w:tcPr>
            <w:tcW w:w="2700" w:type="dxa"/>
            <w:vAlign w:val="bottom"/>
            <w:tcBorders>
              <w:bottom w:val="single" w:sz="8" w:color="808080"/>
            </w:tcBorders>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382" w:right="339" w:bottom="1440" w:gutter="0" w:footer="0" w:header="0"/>
        </w:sectPr>
      </w:pPr>
    </w:p>
    <w:bookmarkStart w:id="4" w:name="page5"/>
    <w:bookmarkEnd w:id="4"/>
    <w:p>
      <w:pPr>
        <w:ind w:left="40"/>
        <w:spacing w:after="0"/>
        <w:rPr>
          <w:sz w:val="20"/>
          <w:szCs w:val="20"/>
          <w:color w:val="auto"/>
        </w:rPr>
      </w:pPr>
      <w:r>
        <w:rPr>
          <w:rFonts w:ascii="Times New Roman" w:cs="Times New Roman" w:eastAsia="Times New Roman" w:hAnsi="Times New Roman"/>
          <w:sz w:val="22"/>
          <w:szCs w:val="22"/>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49465" cy="8890"/>
                    </a:xfrm>
                    <a:prstGeom prst="rect">
                      <a:avLst/>
                    </a:prstGeom>
                    <a:noFill/>
                  </pic:spPr>
                </pic:pic>
              </a:graphicData>
            </a:graphic>
          </wp:anchor>
        </w:drawing>
        <w:t>CUSIP No. 984241109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173990</wp:posOffset>
            </wp:positionV>
            <wp:extent cx="713232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348" w:lineRule="exact"/>
        <w:rPr>
          <w:sz w:val="20"/>
          <w:szCs w:val="20"/>
          <w:color w:val="auto"/>
        </w:rPr>
      </w:pPr>
    </w:p>
    <w:tbl>
      <w:tblPr>
        <w:tblLayout w:type="fixed"/>
        <w:tblInd w:w="120" w:type="dxa"/>
        <w:tblCellMar>
          <w:top w:w="0" w:type="dxa"/>
          <w:left w:w="0" w:type="dxa"/>
          <w:bottom w:w="0" w:type="dxa"/>
          <w:right w:w="0" w:type="dxa"/>
        </w:tblCellMar>
      </w:tblPr>
      <w:tr>
        <w:trPr>
          <w:trHeight w:val="282"/>
        </w:trPr>
        <w:tc>
          <w:tcPr>
            <w:tcW w:w="920" w:type="dxa"/>
            <w:vAlign w:val="bottom"/>
          </w:tcPr>
          <w:p>
            <w:pPr>
              <w:jc w:val="right"/>
              <w:ind w:right="652"/>
              <w:spacing w:after="0"/>
              <w:rPr>
                <w:sz w:val="20"/>
                <w:szCs w:val="20"/>
                <w:color w:val="auto"/>
              </w:rPr>
            </w:pPr>
            <w:r>
              <w:rPr>
                <w:rFonts w:ascii="Times New Roman" w:cs="Times New Roman" w:eastAsia="Times New Roman" w:hAnsi="Times New Roman"/>
                <w:sz w:val="22"/>
                <w:szCs w:val="22"/>
                <w:color w:val="auto"/>
                <w:w w:val="84"/>
              </w:rPr>
              <w:t>1.</w:t>
            </w: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NAMES OF REPORTING PERSONS</w:t>
            </w:r>
          </w:p>
        </w:tc>
      </w:tr>
      <w:tr>
        <w:trPr>
          <w:trHeight w:val="486"/>
        </w:trPr>
        <w:tc>
          <w:tcPr>
            <w:tcW w:w="920" w:type="dxa"/>
            <w:vAlign w:val="bottom"/>
          </w:tcPr>
          <w:p>
            <w:pPr>
              <w:spacing w:after="0"/>
              <w:rPr>
                <w:sz w:val="24"/>
                <w:szCs w:val="24"/>
                <w:color w:val="auto"/>
              </w:rPr>
            </w:pP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Wellington Management Company LLP</w:t>
            </w:r>
          </w:p>
        </w:tc>
      </w:tr>
      <w:tr>
        <w:trPr>
          <w:trHeight w:val="459"/>
        </w:trPr>
        <w:tc>
          <w:tcPr>
            <w:tcW w:w="920" w:type="dxa"/>
            <w:vAlign w:val="bottom"/>
          </w:tcPr>
          <w:p>
            <w:pPr>
              <w:jc w:val="right"/>
              <w:ind w:right="652"/>
              <w:spacing w:after="0"/>
              <w:rPr>
                <w:sz w:val="20"/>
                <w:szCs w:val="20"/>
                <w:color w:val="auto"/>
              </w:rPr>
            </w:pPr>
            <w:r>
              <w:rPr>
                <w:rFonts w:ascii="Times New Roman" w:cs="Times New Roman" w:eastAsia="Times New Roman" w:hAnsi="Times New Roman"/>
                <w:sz w:val="22"/>
                <w:szCs w:val="22"/>
                <w:color w:val="auto"/>
                <w:w w:val="84"/>
              </w:rPr>
              <w:t>2.</w:t>
            </w: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w w:val="97"/>
              </w:rPr>
              <w:t>CHECK THE APPROPRIATE BOX IF A MEMBER OF A GROUP</w:t>
            </w:r>
          </w:p>
        </w:tc>
      </w:tr>
      <w:tr>
        <w:trPr>
          <w:trHeight w:val="447"/>
        </w:trPr>
        <w:tc>
          <w:tcPr>
            <w:tcW w:w="920" w:type="dxa"/>
            <w:vAlign w:val="bottom"/>
          </w:tcPr>
          <w:p>
            <w:pPr>
              <w:spacing w:after="0"/>
              <w:rPr>
                <w:sz w:val="24"/>
                <w:szCs w:val="24"/>
                <w:color w:val="auto"/>
              </w:rPr>
            </w:pP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(a) [ ]</w:t>
            </w:r>
          </w:p>
        </w:tc>
      </w:tr>
      <w:tr>
        <w:trPr>
          <w:trHeight w:val="282"/>
        </w:trPr>
        <w:tc>
          <w:tcPr>
            <w:tcW w:w="920" w:type="dxa"/>
            <w:vAlign w:val="bottom"/>
          </w:tcPr>
          <w:p>
            <w:pPr>
              <w:spacing w:after="0"/>
              <w:rPr>
                <w:sz w:val="24"/>
                <w:szCs w:val="24"/>
                <w:color w:val="auto"/>
              </w:rPr>
            </w:pP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(b) [ ]</w:t>
            </w:r>
          </w:p>
        </w:tc>
      </w:tr>
      <w:tr>
        <w:trPr>
          <w:trHeight w:val="459"/>
        </w:trPr>
        <w:tc>
          <w:tcPr>
            <w:tcW w:w="920" w:type="dxa"/>
            <w:vAlign w:val="bottom"/>
          </w:tcPr>
          <w:p>
            <w:pPr>
              <w:jc w:val="right"/>
              <w:ind w:right="652"/>
              <w:spacing w:after="0"/>
              <w:rPr>
                <w:sz w:val="20"/>
                <w:szCs w:val="20"/>
                <w:color w:val="auto"/>
              </w:rPr>
            </w:pPr>
            <w:r>
              <w:rPr>
                <w:rFonts w:ascii="Times New Roman" w:cs="Times New Roman" w:eastAsia="Times New Roman" w:hAnsi="Times New Roman"/>
                <w:sz w:val="22"/>
                <w:szCs w:val="22"/>
                <w:color w:val="auto"/>
                <w:w w:val="84"/>
              </w:rPr>
              <w:t>3.</w:t>
            </w: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SEC USE ONLY</w:t>
            </w:r>
          </w:p>
        </w:tc>
      </w:tr>
      <w:tr>
        <w:trPr>
          <w:trHeight w:val="459"/>
        </w:trPr>
        <w:tc>
          <w:tcPr>
            <w:tcW w:w="920" w:type="dxa"/>
            <w:vAlign w:val="bottom"/>
          </w:tcPr>
          <w:p>
            <w:pPr>
              <w:jc w:val="right"/>
              <w:ind w:right="652"/>
              <w:spacing w:after="0"/>
              <w:rPr>
                <w:sz w:val="20"/>
                <w:szCs w:val="20"/>
                <w:color w:val="auto"/>
              </w:rPr>
            </w:pPr>
            <w:r>
              <w:rPr>
                <w:rFonts w:ascii="Times New Roman" w:cs="Times New Roman" w:eastAsia="Times New Roman" w:hAnsi="Times New Roman"/>
                <w:sz w:val="22"/>
                <w:szCs w:val="22"/>
                <w:color w:val="auto"/>
                <w:w w:val="84"/>
              </w:rPr>
              <w:t>4.</w:t>
            </w: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CITIZENSHIP OR PLACE OF ORGANIZATION</w:t>
            </w:r>
          </w:p>
        </w:tc>
      </w:tr>
      <w:tr>
        <w:trPr>
          <w:trHeight w:val="486"/>
        </w:trPr>
        <w:tc>
          <w:tcPr>
            <w:tcW w:w="920" w:type="dxa"/>
            <w:vAlign w:val="bottom"/>
          </w:tcPr>
          <w:p>
            <w:pPr>
              <w:spacing w:after="0"/>
              <w:rPr>
                <w:sz w:val="24"/>
                <w:szCs w:val="24"/>
                <w:color w:val="auto"/>
              </w:rPr>
            </w:pP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Delaware</w:t>
            </w:r>
          </w:p>
        </w:tc>
      </w:tr>
    </w:tbl>
    <w:p>
      <w:pPr>
        <w:spacing w:after="0" w:line="177" w:lineRule="exact"/>
        <w:rPr>
          <w:sz w:val="20"/>
          <w:szCs w:val="20"/>
          <w:color w:val="auto"/>
        </w:rPr>
      </w:pPr>
    </w:p>
    <w:tbl>
      <w:tblPr>
        <w:tblLayout w:type="fixed"/>
        <w:tblInd w:w="0" w:type="dxa"/>
        <w:tblCellMar>
          <w:top w:w="0" w:type="dxa"/>
          <w:left w:w="0" w:type="dxa"/>
          <w:bottom w:w="0" w:type="dxa"/>
          <w:right w:w="0" w:type="dxa"/>
        </w:tblCellMar>
      </w:tblPr>
      <w:tr>
        <w:trPr>
          <w:trHeight w:val="324"/>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NUMBER OF</w:t>
            </w:r>
          </w:p>
        </w:tc>
        <w:tc>
          <w:tcPr>
            <w:tcW w:w="480" w:type="dxa"/>
            <w:vAlign w:val="bottom"/>
          </w:tcPr>
          <w:p>
            <w:pPr>
              <w:spacing w:after="0"/>
              <w:rPr>
                <w:sz w:val="24"/>
                <w:szCs w:val="24"/>
                <w:color w:val="auto"/>
              </w:rPr>
            </w:pPr>
          </w:p>
        </w:tc>
        <w:tc>
          <w:tcPr>
            <w:tcW w:w="6340" w:type="dxa"/>
            <w:vAlign w:val="bottom"/>
          </w:tcPr>
          <w:p>
            <w:pPr>
              <w:ind w:left="180"/>
              <w:spacing w:after="0"/>
              <w:rPr>
                <w:sz w:val="20"/>
                <w:szCs w:val="20"/>
                <w:color w:val="auto"/>
              </w:rPr>
            </w:pPr>
            <w:r>
              <w:rPr>
                <w:rFonts w:ascii="Times New Roman" w:cs="Times New Roman" w:eastAsia="Times New Roman" w:hAnsi="Times New Roman"/>
                <w:sz w:val="22"/>
                <w:szCs w:val="22"/>
                <w:color w:val="auto"/>
              </w:rPr>
              <w:t>5. SOLE VOTING POWER</w:t>
            </w:r>
          </w:p>
        </w:tc>
        <w:tc>
          <w:tcPr>
            <w:tcW w:w="2700" w:type="dxa"/>
            <w:vAlign w:val="bottom"/>
          </w:tcPr>
          <w:p>
            <w:pPr>
              <w:ind w:left="640"/>
              <w:spacing w:after="0"/>
              <w:rPr>
                <w:sz w:val="20"/>
                <w:szCs w:val="20"/>
                <w:color w:val="auto"/>
              </w:rPr>
            </w:pPr>
            <w:r>
              <w:rPr>
                <w:rFonts w:ascii="Times New Roman" w:cs="Times New Roman" w:eastAsia="Times New Roman" w:hAnsi="Times New Roman"/>
                <w:sz w:val="22"/>
                <w:szCs w:val="22"/>
                <w:color w:val="auto"/>
              </w:rPr>
              <w:t>0</w:t>
            </w:r>
          </w:p>
        </w:tc>
        <w:tc>
          <w:tcPr>
            <w:tcW w:w="0" w:type="dxa"/>
            <w:vAlign w:val="bottom"/>
          </w:tcPr>
          <w:p>
            <w:pPr>
              <w:spacing w:after="0"/>
              <w:rPr>
                <w:sz w:val="1"/>
                <w:szCs w:val="1"/>
                <w:color w:val="auto"/>
              </w:rPr>
            </w:pPr>
          </w:p>
        </w:tc>
      </w:tr>
      <w:tr>
        <w:trPr>
          <w:trHeight w:val="243"/>
        </w:trPr>
        <w:tc>
          <w:tcPr>
            <w:tcW w:w="1720" w:type="dxa"/>
            <w:vAlign w:val="bottom"/>
          </w:tcPr>
          <w:p>
            <w:pPr>
              <w:ind w:left="120"/>
              <w:spacing w:after="0" w:line="243" w:lineRule="exact"/>
              <w:rPr>
                <w:sz w:val="20"/>
                <w:szCs w:val="20"/>
                <w:color w:val="auto"/>
              </w:rPr>
            </w:pPr>
            <w:r>
              <w:rPr>
                <w:rFonts w:ascii="Times New Roman" w:cs="Times New Roman" w:eastAsia="Times New Roman" w:hAnsi="Times New Roman"/>
                <w:sz w:val="22"/>
                <w:szCs w:val="22"/>
                <w:color w:val="auto"/>
              </w:rPr>
              <w:t>SHARES</w:t>
            </w:r>
          </w:p>
        </w:tc>
        <w:tc>
          <w:tcPr>
            <w:tcW w:w="480" w:type="dxa"/>
            <w:vAlign w:val="bottom"/>
          </w:tcPr>
          <w:p>
            <w:pPr>
              <w:spacing w:after="0"/>
              <w:rPr>
                <w:sz w:val="21"/>
                <w:szCs w:val="21"/>
                <w:color w:val="auto"/>
              </w:rPr>
            </w:pPr>
          </w:p>
        </w:tc>
        <w:tc>
          <w:tcPr>
            <w:tcW w:w="6340" w:type="dxa"/>
            <w:vAlign w:val="bottom"/>
            <w:vMerge w:val="restart"/>
          </w:tcPr>
          <w:p>
            <w:pPr>
              <w:ind w:left="180"/>
              <w:spacing w:after="0"/>
              <w:rPr>
                <w:sz w:val="20"/>
                <w:szCs w:val="20"/>
                <w:color w:val="auto"/>
              </w:rPr>
            </w:pPr>
            <w:r>
              <w:rPr>
                <w:rFonts w:ascii="Times New Roman" w:cs="Times New Roman" w:eastAsia="Times New Roman" w:hAnsi="Times New Roman"/>
                <w:sz w:val="22"/>
                <w:szCs w:val="22"/>
                <w:color w:val="auto"/>
              </w:rPr>
              <w:t>6. SHARED VOTING POWER</w:t>
            </w:r>
          </w:p>
        </w:tc>
        <w:tc>
          <w:tcPr>
            <w:tcW w:w="2700" w:type="dxa"/>
            <w:vAlign w:val="bottom"/>
            <w:vMerge w:val="restart"/>
          </w:tcPr>
          <w:p>
            <w:pPr>
              <w:ind w:left="640"/>
              <w:spacing w:after="0"/>
              <w:rPr>
                <w:sz w:val="20"/>
                <w:szCs w:val="20"/>
                <w:color w:val="auto"/>
              </w:rPr>
            </w:pPr>
            <w:r>
              <w:rPr>
                <w:rFonts w:ascii="Times New Roman" w:cs="Times New Roman" w:eastAsia="Times New Roman" w:hAnsi="Times New Roman"/>
                <w:sz w:val="22"/>
                <w:szCs w:val="22"/>
                <w:color w:val="auto"/>
              </w:rPr>
              <w:t>2,256,175</w:t>
            </w:r>
          </w:p>
        </w:tc>
        <w:tc>
          <w:tcPr>
            <w:tcW w:w="0" w:type="dxa"/>
            <w:vAlign w:val="bottom"/>
          </w:tcPr>
          <w:p>
            <w:pPr>
              <w:spacing w:after="0"/>
              <w:rPr>
                <w:sz w:val="1"/>
                <w:szCs w:val="1"/>
                <w:color w:val="auto"/>
              </w:rPr>
            </w:pPr>
          </w:p>
        </w:tc>
      </w:tr>
      <w:tr>
        <w:trPr>
          <w:trHeight w:val="174"/>
        </w:trPr>
        <w:tc>
          <w:tcPr>
            <w:tcW w:w="1720" w:type="dxa"/>
            <w:vAlign w:val="bottom"/>
            <w:vMerge w:val="restart"/>
          </w:tcPr>
          <w:p>
            <w:pPr>
              <w:ind w:left="120"/>
              <w:spacing w:after="0" w:line="243" w:lineRule="exact"/>
              <w:rPr>
                <w:sz w:val="20"/>
                <w:szCs w:val="20"/>
                <w:color w:val="auto"/>
              </w:rPr>
            </w:pPr>
            <w:r>
              <w:rPr>
                <w:rFonts w:ascii="Times New Roman" w:cs="Times New Roman" w:eastAsia="Times New Roman" w:hAnsi="Times New Roman"/>
                <w:sz w:val="22"/>
                <w:szCs w:val="22"/>
                <w:color w:val="auto"/>
              </w:rPr>
              <w:t>BENEFICIALLY</w:t>
            </w:r>
          </w:p>
        </w:tc>
        <w:tc>
          <w:tcPr>
            <w:tcW w:w="480" w:type="dxa"/>
            <w:vAlign w:val="bottom"/>
          </w:tcPr>
          <w:p>
            <w:pPr>
              <w:spacing w:after="0"/>
              <w:rPr>
                <w:sz w:val="15"/>
                <w:szCs w:val="15"/>
                <w:color w:val="auto"/>
              </w:rPr>
            </w:pPr>
          </w:p>
        </w:tc>
        <w:tc>
          <w:tcPr>
            <w:tcW w:w="6340" w:type="dxa"/>
            <w:vAlign w:val="bottom"/>
            <w:vMerge w:val="continue"/>
          </w:tcPr>
          <w:p>
            <w:pPr>
              <w:spacing w:after="0"/>
              <w:rPr>
                <w:sz w:val="15"/>
                <w:szCs w:val="15"/>
                <w:color w:val="auto"/>
              </w:rPr>
            </w:pPr>
          </w:p>
        </w:tc>
        <w:tc>
          <w:tcPr>
            <w:tcW w:w="270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69"/>
        </w:trPr>
        <w:tc>
          <w:tcPr>
            <w:tcW w:w="1720" w:type="dxa"/>
            <w:vAlign w:val="bottom"/>
            <w:vMerge w:val="continue"/>
          </w:tcPr>
          <w:p>
            <w:pPr>
              <w:spacing w:after="0"/>
              <w:rPr>
                <w:sz w:val="5"/>
                <w:szCs w:val="5"/>
                <w:color w:val="auto"/>
              </w:rPr>
            </w:pPr>
          </w:p>
        </w:tc>
        <w:tc>
          <w:tcPr>
            <w:tcW w:w="480" w:type="dxa"/>
            <w:vAlign w:val="bottom"/>
          </w:tcPr>
          <w:p>
            <w:pPr>
              <w:spacing w:after="0"/>
              <w:rPr>
                <w:sz w:val="5"/>
                <w:szCs w:val="5"/>
                <w:color w:val="auto"/>
              </w:rPr>
            </w:pPr>
          </w:p>
        </w:tc>
        <w:tc>
          <w:tcPr>
            <w:tcW w:w="6340" w:type="dxa"/>
            <w:vAlign w:val="bottom"/>
          </w:tcPr>
          <w:p>
            <w:pPr>
              <w:spacing w:after="0"/>
              <w:rPr>
                <w:sz w:val="5"/>
                <w:szCs w:val="5"/>
                <w:color w:val="auto"/>
              </w:rPr>
            </w:pPr>
          </w:p>
        </w:tc>
        <w:tc>
          <w:tcPr>
            <w:tcW w:w="27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43"/>
        </w:trPr>
        <w:tc>
          <w:tcPr>
            <w:tcW w:w="2200" w:type="dxa"/>
            <w:vAlign w:val="bottom"/>
            <w:gridSpan w:val="2"/>
          </w:tcPr>
          <w:p>
            <w:pPr>
              <w:ind w:left="120"/>
              <w:spacing w:after="0" w:line="243" w:lineRule="exact"/>
              <w:rPr>
                <w:sz w:val="20"/>
                <w:szCs w:val="20"/>
                <w:color w:val="auto"/>
              </w:rPr>
            </w:pPr>
            <w:r>
              <w:rPr>
                <w:rFonts w:ascii="Times New Roman" w:cs="Times New Roman" w:eastAsia="Times New Roman" w:hAnsi="Times New Roman"/>
                <w:sz w:val="22"/>
                <w:szCs w:val="22"/>
                <w:color w:val="auto"/>
              </w:rPr>
              <w:t>OWNED BY EACH</w:t>
            </w:r>
          </w:p>
        </w:tc>
        <w:tc>
          <w:tcPr>
            <w:tcW w:w="6340" w:type="dxa"/>
            <w:vAlign w:val="bottom"/>
            <w:vMerge w:val="restart"/>
          </w:tcPr>
          <w:p>
            <w:pPr>
              <w:ind w:left="180"/>
              <w:spacing w:after="0"/>
              <w:rPr>
                <w:sz w:val="20"/>
                <w:szCs w:val="20"/>
                <w:color w:val="auto"/>
              </w:rPr>
            </w:pPr>
            <w:r>
              <w:rPr>
                <w:rFonts w:ascii="Times New Roman" w:cs="Times New Roman" w:eastAsia="Times New Roman" w:hAnsi="Times New Roman"/>
                <w:sz w:val="22"/>
                <w:szCs w:val="22"/>
                <w:color w:val="auto"/>
              </w:rPr>
              <w:t>7. SOLE DISPOSITIVE POWER</w:t>
            </w:r>
          </w:p>
        </w:tc>
        <w:tc>
          <w:tcPr>
            <w:tcW w:w="2700" w:type="dxa"/>
            <w:vAlign w:val="bottom"/>
            <w:vMerge w:val="restart"/>
          </w:tcPr>
          <w:p>
            <w:pPr>
              <w:ind w:left="640"/>
              <w:spacing w:after="0"/>
              <w:rPr>
                <w:sz w:val="20"/>
                <w:szCs w:val="20"/>
                <w:color w:val="auto"/>
              </w:rPr>
            </w:pPr>
            <w:r>
              <w:rPr>
                <w:rFonts w:ascii="Times New Roman" w:cs="Times New Roman" w:eastAsia="Times New Roman" w:hAnsi="Times New Roman"/>
                <w:sz w:val="22"/>
                <w:szCs w:val="22"/>
                <w:color w:val="auto"/>
              </w:rPr>
              <w:t>0</w:t>
            </w:r>
          </w:p>
        </w:tc>
        <w:tc>
          <w:tcPr>
            <w:tcW w:w="0" w:type="dxa"/>
            <w:vAlign w:val="bottom"/>
          </w:tcPr>
          <w:p>
            <w:pPr>
              <w:spacing w:after="0"/>
              <w:rPr>
                <w:sz w:val="1"/>
                <w:szCs w:val="1"/>
                <w:color w:val="auto"/>
              </w:rPr>
            </w:pPr>
          </w:p>
        </w:tc>
      </w:tr>
      <w:tr>
        <w:trPr>
          <w:trHeight w:val="147"/>
        </w:trPr>
        <w:tc>
          <w:tcPr>
            <w:tcW w:w="1720" w:type="dxa"/>
            <w:vAlign w:val="bottom"/>
            <w:vMerge w:val="restart"/>
          </w:tcPr>
          <w:p>
            <w:pPr>
              <w:ind w:left="120"/>
              <w:spacing w:after="0" w:line="243" w:lineRule="exact"/>
              <w:rPr>
                <w:sz w:val="20"/>
                <w:szCs w:val="20"/>
                <w:color w:val="auto"/>
              </w:rPr>
            </w:pPr>
            <w:r>
              <w:rPr>
                <w:rFonts w:ascii="Times New Roman" w:cs="Times New Roman" w:eastAsia="Times New Roman" w:hAnsi="Times New Roman"/>
                <w:sz w:val="22"/>
                <w:szCs w:val="22"/>
                <w:color w:val="auto"/>
              </w:rPr>
              <w:t>REPORTING</w:t>
            </w:r>
          </w:p>
        </w:tc>
        <w:tc>
          <w:tcPr>
            <w:tcW w:w="480" w:type="dxa"/>
            <w:vAlign w:val="bottom"/>
          </w:tcPr>
          <w:p>
            <w:pPr>
              <w:spacing w:after="0"/>
              <w:rPr>
                <w:sz w:val="12"/>
                <w:szCs w:val="12"/>
                <w:color w:val="auto"/>
              </w:rPr>
            </w:pPr>
          </w:p>
        </w:tc>
        <w:tc>
          <w:tcPr>
            <w:tcW w:w="6340" w:type="dxa"/>
            <w:vAlign w:val="bottom"/>
            <w:vMerge w:val="continue"/>
          </w:tcPr>
          <w:p>
            <w:pPr>
              <w:spacing w:after="0"/>
              <w:rPr>
                <w:sz w:val="12"/>
                <w:szCs w:val="12"/>
                <w:color w:val="auto"/>
              </w:rPr>
            </w:pPr>
          </w:p>
        </w:tc>
        <w:tc>
          <w:tcPr>
            <w:tcW w:w="27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96"/>
        </w:trPr>
        <w:tc>
          <w:tcPr>
            <w:tcW w:w="1720" w:type="dxa"/>
            <w:vAlign w:val="bottom"/>
            <w:vMerge w:val="continue"/>
          </w:tcPr>
          <w:p>
            <w:pPr>
              <w:spacing w:after="0"/>
              <w:rPr>
                <w:sz w:val="8"/>
                <w:szCs w:val="8"/>
                <w:color w:val="auto"/>
              </w:rPr>
            </w:pPr>
          </w:p>
        </w:tc>
        <w:tc>
          <w:tcPr>
            <w:tcW w:w="480" w:type="dxa"/>
            <w:vAlign w:val="bottom"/>
          </w:tcPr>
          <w:p>
            <w:pPr>
              <w:spacing w:after="0"/>
              <w:rPr>
                <w:sz w:val="8"/>
                <w:szCs w:val="8"/>
                <w:color w:val="auto"/>
              </w:rPr>
            </w:pPr>
          </w:p>
        </w:tc>
        <w:tc>
          <w:tcPr>
            <w:tcW w:w="6340" w:type="dxa"/>
            <w:vAlign w:val="bottom"/>
          </w:tcPr>
          <w:p>
            <w:pPr>
              <w:spacing w:after="0"/>
              <w:rPr>
                <w:sz w:val="8"/>
                <w:szCs w:val="8"/>
                <w:color w:val="auto"/>
              </w:rPr>
            </w:pPr>
          </w:p>
        </w:tc>
        <w:tc>
          <w:tcPr>
            <w:tcW w:w="27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2"/>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PERSON WITH</w:t>
            </w:r>
          </w:p>
        </w:tc>
        <w:tc>
          <w:tcPr>
            <w:tcW w:w="480" w:type="dxa"/>
            <w:vAlign w:val="bottom"/>
          </w:tcPr>
          <w:p>
            <w:pPr>
              <w:spacing w:after="0"/>
              <w:rPr>
                <w:sz w:val="24"/>
                <w:szCs w:val="24"/>
                <w:color w:val="auto"/>
              </w:rPr>
            </w:pPr>
          </w:p>
        </w:tc>
        <w:tc>
          <w:tcPr>
            <w:tcW w:w="6340" w:type="dxa"/>
            <w:vAlign w:val="bottom"/>
            <w:vMerge w:val="restart"/>
          </w:tcPr>
          <w:p>
            <w:pPr>
              <w:ind w:left="180"/>
              <w:spacing w:after="0"/>
              <w:rPr>
                <w:sz w:val="20"/>
                <w:szCs w:val="20"/>
                <w:color w:val="auto"/>
              </w:rPr>
            </w:pPr>
            <w:r>
              <w:rPr>
                <w:rFonts w:ascii="Times New Roman" w:cs="Times New Roman" w:eastAsia="Times New Roman" w:hAnsi="Times New Roman"/>
                <w:sz w:val="22"/>
                <w:szCs w:val="22"/>
                <w:color w:val="auto"/>
              </w:rPr>
              <w:t>8. SHARED DISPOSITIVE POWER</w:t>
            </w:r>
          </w:p>
        </w:tc>
        <w:tc>
          <w:tcPr>
            <w:tcW w:w="2700" w:type="dxa"/>
            <w:vAlign w:val="bottom"/>
            <w:vMerge w:val="restart"/>
          </w:tcPr>
          <w:p>
            <w:pPr>
              <w:ind w:left="640"/>
              <w:spacing w:after="0"/>
              <w:rPr>
                <w:sz w:val="20"/>
                <w:szCs w:val="20"/>
                <w:color w:val="auto"/>
              </w:rPr>
            </w:pPr>
            <w:r>
              <w:rPr>
                <w:rFonts w:ascii="Times New Roman" w:cs="Times New Roman" w:eastAsia="Times New Roman" w:hAnsi="Times New Roman"/>
                <w:sz w:val="22"/>
                <w:szCs w:val="22"/>
                <w:color w:val="auto"/>
              </w:rPr>
              <w:t>2,352,870</w:t>
            </w:r>
          </w:p>
        </w:tc>
        <w:tc>
          <w:tcPr>
            <w:tcW w:w="0" w:type="dxa"/>
            <w:vAlign w:val="bottom"/>
          </w:tcPr>
          <w:p>
            <w:pPr>
              <w:spacing w:after="0"/>
              <w:rPr>
                <w:sz w:val="1"/>
                <w:szCs w:val="1"/>
                <w:color w:val="auto"/>
              </w:rPr>
            </w:pPr>
          </w:p>
        </w:tc>
      </w:tr>
      <w:tr>
        <w:trPr>
          <w:trHeight w:val="81"/>
        </w:trPr>
        <w:tc>
          <w:tcPr>
            <w:tcW w:w="1720" w:type="dxa"/>
            <w:vAlign w:val="bottom"/>
          </w:tcPr>
          <w:p>
            <w:pPr>
              <w:spacing w:after="0"/>
              <w:rPr>
                <w:sz w:val="7"/>
                <w:szCs w:val="7"/>
                <w:color w:val="auto"/>
              </w:rPr>
            </w:pPr>
          </w:p>
        </w:tc>
        <w:tc>
          <w:tcPr>
            <w:tcW w:w="480" w:type="dxa"/>
            <w:vAlign w:val="bottom"/>
          </w:tcPr>
          <w:p>
            <w:pPr>
              <w:spacing w:after="0"/>
              <w:rPr>
                <w:sz w:val="7"/>
                <w:szCs w:val="7"/>
                <w:color w:val="auto"/>
              </w:rPr>
            </w:pPr>
          </w:p>
        </w:tc>
        <w:tc>
          <w:tcPr>
            <w:tcW w:w="6340" w:type="dxa"/>
            <w:vAlign w:val="bottom"/>
            <w:vMerge w:val="continue"/>
          </w:tcPr>
          <w:p>
            <w:pPr>
              <w:spacing w:after="0"/>
              <w:rPr>
                <w:sz w:val="7"/>
                <w:szCs w:val="7"/>
                <w:color w:val="auto"/>
              </w:rPr>
            </w:pPr>
          </w:p>
        </w:tc>
        <w:tc>
          <w:tcPr>
            <w:tcW w:w="270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9.</w:t>
            </w:r>
          </w:p>
        </w:tc>
        <w:tc>
          <w:tcPr>
            <w:tcW w:w="9520" w:type="dxa"/>
            <w:vAlign w:val="bottom"/>
            <w:gridSpan w:val="3"/>
          </w:tcPr>
          <w:p>
            <w:pPr>
              <w:ind w:left="100"/>
              <w:spacing w:after="0"/>
              <w:rPr>
                <w:sz w:val="20"/>
                <w:szCs w:val="20"/>
                <w:color w:val="auto"/>
              </w:rPr>
            </w:pPr>
            <w:r>
              <w:rPr>
                <w:rFonts w:ascii="Times New Roman" w:cs="Times New Roman" w:eastAsia="Times New Roman" w:hAnsi="Times New Roman"/>
                <w:sz w:val="22"/>
                <w:szCs w:val="22"/>
                <w:color w:val="auto"/>
              </w:rPr>
              <w:t>AGGREGATE AMOUNT BENEFICIALLY OWNED BY EACH REPORTING PERSON</w:t>
            </w: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682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2,352,870</w:t>
            </w:r>
          </w:p>
        </w:tc>
        <w:tc>
          <w:tcPr>
            <w:tcW w:w="2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10.</w:t>
            </w:r>
          </w:p>
        </w:tc>
        <w:tc>
          <w:tcPr>
            <w:tcW w:w="9520" w:type="dxa"/>
            <w:vAlign w:val="bottom"/>
            <w:gridSpan w:val="3"/>
          </w:tcPr>
          <w:p>
            <w:pPr>
              <w:ind w:left="100"/>
              <w:spacing w:after="0"/>
              <w:rPr>
                <w:sz w:val="20"/>
                <w:szCs w:val="20"/>
                <w:color w:val="auto"/>
              </w:rPr>
            </w:pPr>
            <w:r>
              <w:rPr>
                <w:rFonts w:ascii="Times New Roman" w:cs="Times New Roman" w:eastAsia="Times New Roman" w:hAnsi="Times New Roman"/>
                <w:sz w:val="22"/>
                <w:szCs w:val="22"/>
                <w:color w:val="auto"/>
              </w:rPr>
              <w:t>CHECK IF THE AGGREGATE AMOUNT IN ROW (9) EXCLUDES CERTAIN SHARES</w:t>
            </w: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48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 ]</w:t>
            </w:r>
          </w:p>
        </w:tc>
        <w:tc>
          <w:tcPr>
            <w:tcW w:w="6340" w:type="dxa"/>
            <w:vAlign w:val="bottom"/>
          </w:tcPr>
          <w:p>
            <w:pPr>
              <w:spacing w:after="0"/>
              <w:rPr>
                <w:sz w:val="24"/>
                <w:szCs w:val="24"/>
                <w:color w:val="auto"/>
              </w:rPr>
            </w:pPr>
          </w:p>
        </w:tc>
        <w:tc>
          <w:tcPr>
            <w:tcW w:w="2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11.</w:t>
            </w:r>
          </w:p>
        </w:tc>
        <w:tc>
          <w:tcPr>
            <w:tcW w:w="682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PERCENT OF CLASS REPRESENTED BY AMOUNT IN ROW (9)</w:t>
            </w:r>
          </w:p>
        </w:tc>
        <w:tc>
          <w:tcPr>
            <w:tcW w:w="2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682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5.81%</w:t>
            </w:r>
          </w:p>
        </w:tc>
        <w:tc>
          <w:tcPr>
            <w:tcW w:w="2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12.</w:t>
            </w:r>
          </w:p>
        </w:tc>
        <w:tc>
          <w:tcPr>
            <w:tcW w:w="682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TYPE OF REPORTING PERSON</w:t>
            </w:r>
          </w:p>
        </w:tc>
        <w:tc>
          <w:tcPr>
            <w:tcW w:w="2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48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IA</w:t>
            </w:r>
          </w:p>
        </w:tc>
        <w:tc>
          <w:tcPr>
            <w:tcW w:w="6340" w:type="dxa"/>
            <w:vAlign w:val="bottom"/>
          </w:tcPr>
          <w:p>
            <w:pPr>
              <w:spacing w:after="0"/>
              <w:rPr>
                <w:sz w:val="24"/>
                <w:szCs w:val="24"/>
                <w:color w:val="auto"/>
              </w:rPr>
            </w:pPr>
          </w:p>
        </w:tc>
        <w:tc>
          <w:tcPr>
            <w:tcW w:w="2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6"/>
        </w:trPr>
        <w:tc>
          <w:tcPr>
            <w:tcW w:w="1720" w:type="dxa"/>
            <w:vAlign w:val="bottom"/>
            <w:tcBorders>
              <w:bottom w:val="single" w:sz="8" w:color="808080"/>
            </w:tcBorders>
          </w:tcPr>
          <w:p>
            <w:pPr>
              <w:spacing w:after="0"/>
              <w:rPr>
                <w:sz w:val="8"/>
                <w:szCs w:val="8"/>
                <w:color w:val="auto"/>
              </w:rPr>
            </w:pPr>
          </w:p>
        </w:tc>
        <w:tc>
          <w:tcPr>
            <w:tcW w:w="480" w:type="dxa"/>
            <w:vAlign w:val="bottom"/>
            <w:tcBorders>
              <w:bottom w:val="single" w:sz="8" w:color="808080"/>
            </w:tcBorders>
          </w:tcPr>
          <w:p>
            <w:pPr>
              <w:spacing w:after="0"/>
              <w:rPr>
                <w:sz w:val="8"/>
                <w:szCs w:val="8"/>
                <w:color w:val="auto"/>
              </w:rPr>
            </w:pPr>
          </w:p>
        </w:tc>
        <w:tc>
          <w:tcPr>
            <w:tcW w:w="6340" w:type="dxa"/>
            <w:vAlign w:val="bottom"/>
            <w:tcBorders>
              <w:bottom w:val="single" w:sz="8" w:color="808080"/>
            </w:tcBorders>
          </w:tcPr>
          <w:p>
            <w:pPr>
              <w:spacing w:after="0"/>
              <w:rPr>
                <w:sz w:val="8"/>
                <w:szCs w:val="8"/>
                <w:color w:val="auto"/>
              </w:rPr>
            </w:pPr>
          </w:p>
        </w:tc>
        <w:tc>
          <w:tcPr>
            <w:tcW w:w="2700" w:type="dxa"/>
            <w:vAlign w:val="bottom"/>
            <w:tcBorders>
              <w:bottom w:val="single" w:sz="8" w:color="808080"/>
            </w:tcBorders>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382" w:right="339" w:bottom="1440" w:gutter="0" w:footer="0" w:header="0"/>
        </w:sectPr>
      </w:pPr>
    </w:p>
    <w:bookmarkStart w:id="5" w:name="page6"/>
    <w:bookmarkEnd w:id="5"/>
    <w:p>
      <w:pPr>
        <w:spacing w:after="0"/>
        <w:rPr>
          <w:sz w:val="20"/>
          <w:szCs w:val="20"/>
          <w:color w:val="auto"/>
        </w:rPr>
      </w:pPr>
      <w:r>
        <w:rPr>
          <w:rFonts w:ascii="Times New Roman" w:cs="Times New Roman" w:eastAsia="Times New Roman" w:hAnsi="Times New Roman"/>
          <w:sz w:val="22"/>
          <w:szCs w:val="22"/>
          <w:b w:val="1"/>
          <w:bCs w:val="1"/>
          <w:color w:val="auto"/>
        </w:rPr>
        <w:t>Item 1.</w:t>
      </w:r>
    </w:p>
    <w:p>
      <w:pPr>
        <w:spacing w:after="0" w:line="125" w:lineRule="exact"/>
        <w:rPr>
          <w:sz w:val="20"/>
          <w:szCs w:val="20"/>
          <w:color w:val="auto"/>
        </w:rPr>
      </w:pPr>
    </w:p>
    <w:p>
      <w:pPr>
        <w:ind w:left="1760" w:right="6940" w:hanging="401"/>
        <w:spacing w:after="0" w:line="262" w:lineRule="auto"/>
        <w:tabs>
          <w:tab w:leader="none" w:pos="1760" w:val="left"/>
        </w:tabs>
        <w:numPr>
          <w:ilvl w:val="0"/>
          <w:numId w:val="2"/>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 xml:space="preserve">Name of Issuer </w:t>
      </w:r>
      <w:r>
        <w:rPr>
          <w:rFonts w:ascii="Times New Roman" w:cs="Times New Roman" w:eastAsia="Times New Roman" w:hAnsi="Times New Roman"/>
          <w:sz w:val="22"/>
          <w:szCs w:val="22"/>
          <w:color w:val="auto"/>
        </w:rPr>
        <w:t>Y-mAbs Therapeutics, Inc.</w:t>
      </w:r>
    </w:p>
    <w:p>
      <w:pPr>
        <w:spacing w:after="0" w:line="68" w:lineRule="exact"/>
        <w:rPr>
          <w:rFonts w:ascii="Times New Roman" w:cs="Times New Roman" w:eastAsia="Times New Roman" w:hAnsi="Times New Roman"/>
          <w:sz w:val="22"/>
          <w:szCs w:val="22"/>
          <w:b w:val="1"/>
          <w:bCs w:val="1"/>
          <w:color w:val="auto"/>
        </w:rPr>
      </w:pPr>
    </w:p>
    <w:p>
      <w:pPr>
        <w:ind w:left="1760" w:right="4960" w:hanging="401"/>
        <w:spacing w:after="0" w:line="243" w:lineRule="auto"/>
        <w:tabs>
          <w:tab w:leader="none" w:pos="1760" w:val="left"/>
        </w:tabs>
        <w:numPr>
          <w:ilvl w:val="0"/>
          <w:numId w:val="2"/>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 xml:space="preserve">Address of Issuer's Principal Executive Offices </w:t>
      </w:r>
      <w:r>
        <w:rPr>
          <w:rFonts w:ascii="Times New Roman" w:cs="Times New Roman" w:eastAsia="Times New Roman" w:hAnsi="Times New Roman"/>
          <w:sz w:val="22"/>
          <w:szCs w:val="22"/>
          <w:color w:val="auto"/>
        </w:rPr>
        <w:t>750 Third Avenue</w:t>
      </w:r>
    </w:p>
    <w:p>
      <w:pPr>
        <w:spacing w:after="0" w:line="1" w:lineRule="exact"/>
        <w:rPr>
          <w:rFonts w:ascii="Times New Roman" w:cs="Times New Roman" w:eastAsia="Times New Roman" w:hAnsi="Times New Roman"/>
          <w:sz w:val="22"/>
          <w:szCs w:val="22"/>
          <w:b w:val="1"/>
          <w:bCs w:val="1"/>
          <w:color w:val="auto"/>
        </w:rPr>
      </w:pPr>
    </w:p>
    <w:p>
      <w:pPr>
        <w:ind w:left="1760"/>
        <w:spacing w:after="0" w:line="230" w:lineRule="auto"/>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Ninth Floor</w:t>
      </w:r>
    </w:p>
    <w:p>
      <w:pPr>
        <w:ind w:left="1760"/>
        <w:spacing w:after="0"/>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New York, NY 10017</w:t>
      </w:r>
    </w:p>
    <w:p>
      <w:pPr>
        <w:spacing w:after="0" w:line="9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Item 2.</w:t>
      </w:r>
    </w:p>
    <w:p>
      <w:pPr>
        <w:spacing w:after="0" w:line="125" w:lineRule="exact"/>
        <w:rPr>
          <w:sz w:val="20"/>
          <w:szCs w:val="20"/>
          <w:color w:val="auto"/>
        </w:rPr>
      </w:pPr>
    </w:p>
    <w:p>
      <w:pPr>
        <w:ind w:left="1760" w:hanging="401"/>
        <w:spacing w:after="0"/>
        <w:tabs>
          <w:tab w:leader="none" w:pos="1760" w:val="left"/>
        </w:tabs>
        <w:numPr>
          <w:ilvl w:val="0"/>
          <w:numId w:val="3"/>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Name of Person Filing</w:t>
      </w:r>
    </w:p>
    <w:p>
      <w:pPr>
        <w:spacing w:after="0" w:line="18" w:lineRule="exact"/>
        <w:rPr>
          <w:rFonts w:ascii="Times New Roman" w:cs="Times New Roman" w:eastAsia="Times New Roman" w:hAnsi="Times New Roman"/>
          <w:sz w:val="22"/>
          <w:szCs w:val="22"/>
          <w:b w:val="1"/>
          <w:bCs w:val="1"/>
          <w:color w:val="auto"/>
        </w:rPr>
      </w:pPr>
    </w:p>
    <w:p>
      <w:pPr>
        <w:ind w:left="1760" w:right="5180"/>
        <w:spacing w:after="0" w:line="234" w:lineRule="auto"/>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Wellington Management Group LLP Wellington Group Holdings LLP Wellington Investment Advisors Holdings LLP Wellington Management Company LLP</w:t>
      </w:r>
    </w:p>
    <w:p>
      <w:pPr>
        <w:spacing w:after="0" w:line="92" w:lineRule="exact"/>
        <w:rPr>
          <w:rFonts w:ascii="Times New Roman" w:cs="Times New Roman" w:eastAsia="Times New Roman" w:hAnsi="Times New Roman"/>
          <w:sz w:val="22"/>
          <w:szCs w:val="22"/>
          <w:b w:val="1"/>
          <w:bCs w:val="1"/>
          <w:color w:val="auto"/>
        </w:rPr>
      </w:pPr>
    </w:p>
    <w:p>
      <w:pPr>
        <w:ind w:left="1760" w:right="3880" w:hanging="401"/>
        <w:spacing w:after="0" w:line="243" w:lineRule="auto"/>
        <w:tabs>
          <w:tab w:leader="none" w:pos="1760" w:val="left"/>
        </w:tabs>
        <w:numPr>
          <w:ilvl w:val="0"/>
          <w:numId w:val="3"/>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 xml:space="preserve">Address of Principal Business Office or, if None, Residence </w:t>
      </w:r>
      <w:r>
        <w:rPr>
          <w:rFonts w:ascii="Times New Roman" w:cs="Times New Roman" w:eastAsia="Times New Roman" w:hAnsi="Times New Roman"/>
          <w:sz w:val="22"/>
          <w:szCs w:val="22"/>
          <w:color w:val="auto"/>
        </w:rPr>
        <w:t>c/o Wellington Management Company LLP</w:t>
      </w:r>
    </w:p>
    <w:p>
      <w:pPr>
        <w:spacing w:after="0" w:line="1" w:lineRule="exact"/>
        <w:rPr>
          <w:rFonts w:ascii="Times New Roman" w:cs="Times New Roman" w:eastAsia="Times New Roman" w:hAnsi="Times New Roman"/>
          <w:sz w:val="22"/>
          <w:szCs w:val="22"/>
          <w:b w:val="1"/>
          <w:bCs w:val="1"/>
          <w:color w:val="auto"/>
        </w:rPr>
      </w:pPr>
    </w:p>
    <w:p>
      <w:pPr>
        <w:ind w:left="1760" w:right="7540"/>
        <w:spacing w:after="0" w:line="258" w:lineRule="auto"/>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1"/>
          <w:szCs w:val="21"/>
          <w:color w:val="auto"/>
        </w:rPr>
        <w:t>280 Congress Street Boston, MA 02210</w:t>
      </w:r>
    </w:p>
    <w:p>
      <w:pPr>
        <w:spacing w:after="0" w:line="73" w:lineRule="exact"/>
        <w:rPr>
          <w:rFonts w:ascii="Times New Roman" w:cs="Times New Roman" w:eastAsia="Times New Roman" w:hAnsi="Times New Roman"/>
          <w:sz w:val="22"/>
          <w:szCs w:val="22"/>
          <w:b w:val="1"/>
          <w:bCs w:val="1"/>
          <w:color w:val="auto"/>
        </w:rPr>
      </w:pPr>
    </w:p>
    <w:p>
      <w:pPr>
        <w:ind w:left="1760" w:hanging="401"/>
        <w:spacing w:after="0"/>
        <w:tabs>
          <w:tab w:leader="none" w:pos="1760" w:val="left"/>
        </w:tabs>
        <w:numPr>
          <w:ilvl w:val="0"/>
          <w:numId w:val="3"/>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Citizenship</w:t>
      </w:r>
    </w:p>
    <w:p>
      <w:pPr>
        <w:spacing w:after="0" w:line="18" w:lineRule="exact"/>
        <w:rPr>
          <w:rFonts w:ascii="Times New Roman" w:cs="Times New Roman" w:eastAsia="Times New Roman" w:hAnsi="Times New Roman"/>
          <w:sz w:val="22"/>
          <w:szCs w:val="22"/>
          <w:b w:val="1"/>
          <w:bCs w:val="1"/>
          <w:color w:val="auto"/>
        </w:rPr>
      </w:pPr>
    </w:p>
    <w:p>
      <w:pPr>
        <w:ind w:left="1760" w:right="4180"/>
        <w:spacing w:after="0" w:line="234" w:lineRule="auto"/>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Wellington Management Group LLP - Massachusetts Wellington Group Holdings LLP - Delaware Wellington Investment Advisors Holdings LLP - Delaware Wellington Management Company LLP - Delaware</w:t>
      </w:r>
    </w:p>
    <w:p>
      <w:pPr>
        <w:spacing w:after="0" w:line="92" w:lineRule="exact"/>
        <w:rPr>
          <w:rFonts w:ascii="Times New Roman" w:cs="Times New Roman" w:eastAsia="Times New Roman" w:hAnsi="Times New Roman"/>
          <w:sz w:val="22"/>
          <w:szCs w:val="22"/>
          <w:b w:val="1"/>
          <w:bCs w:val="1"/>
          <w:color w:val="auto"/>
        </w:rPr>
      </w:pPr>
    </w:p>
    <w:p>
      <w:pPr>
        <w:ind w:left="1760" w:right="6880" w:hanging="401"/>
        <w:spacing w:after="0" w:line="262" w:lineRule="auto"/>
        <w:tabs>
          <w:tab w:leader="none" w:pos="1760" w:val="left"/>
        </w:tabs>
        <w:numPr>
          <w:ilvl w:val="0"/>
          <w:numId w:val="3"/>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 xml:space="preserve">Title of Class of Securities </w:t>
      </w:r>
      <w:r>
        <w:rPr>
          <w:rFonts w:ascii="Times New Roman" w:cs="Times New Roman" w:eastAsia="Times New Roman" w:hAnsi="Times New Roman"/>
          <w:sz w:val="22"/>
          <w:szCs w:val="22"/>
          <w:color w:val="auto"/>
        </w:rPr>
        <w:t>Common Stock</w:t>
      </w:r>
    </w:p>
    <w:p>
      <w:pPr>
        <w:spacing w:after="0" w:line="68" w:lineRule="exact"/>
        <w:rPr>
          <w:rFonts w:ascii="Times New Roman" w:cs="Times New Roman" w:eastAsia="Times New Roman" w:hAnsi="Times New Roman"/>
          <w:sz w:val="22"/>
          <w:szCs w:val="22"/>
          <w:b w:val="1"/>
          <w:bCs w:val="1"/>
          <w:color w:val="auto"/>
        </w:rPr>
      </w:pPr>
    </w:p>
    <w:p>
      <w:pPr>
        <w:ind w:left="1760" w:right="7800" w:hanging="401"/>
        <w:spacing w:after="0" w:line="286" w:lineRule="auto"/>
        <w:tabs>
          <w:tab w:leader="none" w:pos="1760" w:val="left"/>
        </w:tabs>
        <w:numPr>
          <w:ilvl w:val="0"/>
          <w:numId w:val="3"/>
        </w:numPr>
        <w:rPr>
          <w:rFonts w:ascii="Times New Roman" w:cs="Times New Roman" w:eastAsia="Times New Roman" w:hAnsi="Times New Roman"/>
          <w:sz w:val="21"/>
          <w:szCs w:val="21"/>
          <w:b w:val="1"/>
          <w:bCs w:val="1"/>
          <w:color w:val="auto"/>
        </w:rPr>
      </w:pPr>
      <w:r>
        <w:rPr>
          <w:rFonts w:ascii="Times New Roman" w:cs="Times New Roman" w:eastAsia="Times New Roman" w:hAnsi="Times New Roman"/>
          <w:sz w:val="21"/>
          <w:szCs w:val="21"/>
          <w:b w:val="1"/>
          <w:bCs w:val="1"/>
          <w:color w:val="auto"/>
        </w:rPr>
        <w:t xml:space="preserve">CUSIP Number </w:t>
      </w:r>
      <w:r>
        <w:rPr>
          <w:rFonts w:ascii="Times New Roman" w:cs="Times New Roman" w:eastAsia="Times New Roman" w:hAnsi="Times New Roman"/>
          <w:sz w:val="21"/>
          <w:szCs w:val="21"/>
          <w:color w:val="auto"/>
        </w:rPr>
        <w:t>984241109</w:t>
      </w:r>
    </w:p>
    <w:p>
      <w:pPr>
        <w:spacing w:after="0" w:line="45" w:lineRule="exact"/>
        <w:rPr>
          <w:sz w:val="20"/>
          <w:szCs w:val="20"/>
          <w:color w:val="auto"/>
        </w:rPr>
      </w:pPr>
    </w:p>
    <w:p>
      <w:pPr>
        <w:ind w:left="1360" w:hanging="1349"/>
        <w:spacing w:after="0" w:line="262" w:lineRule="auto"/>
        <w:tabs>
          <w:tab w:leader="none" w:pos="1340" w:val="left"/>
        </w:tabs>
        <w:rPr>
          <w:sz w:val="20"/>
          <w:szCs w:val="20"/>
          <w:color w:val="auto"/>
        </w:rPr>
      </w:pPr>
      <w:r>
        <w:rPr>
          <w:rFonts w:ascii="Times New Roman" w:cs="Times New Roman" w:eastAsia="Times New Roman" w:hAnsi="Times New Roman"/>
          <w:sz w:val="22"/>
          <w:szCs w:val="22"/>
          <w:b w:val="1"/>
          <w:bCs w:val="1"/>
          <w:color w:val="auto"/>
        </w:rPr>
        <w:t>Item 3.</w:t>
      </w:r>
      <w:r>
        <w:rPr>
          <w:sz w:val="20"/>
          <w:szCs w:val="20"/>
          <w:color w:val="auto"/>
        </w:rPr>
        <w:tab/>
      </w:r>
      <w:r>
        <w:rPr>
          <w:rFonts w:ascii="Times New Roman" w:cs="Times New Roman" w:eastAsia="Times New Roman" w:hAnsi="Times New Roman"/>
          <w:sz w:val="22"/>
          <w:szCs w:val="22"/>
          <w:b w:val="1"/>
          <w:bCs w:val="1"/>
          <w:color w:val="auto"/>
        </w:rPr>
        <w:t>If This Statement is Filed Pursuant to Rule 13d-1(b), or 13d-2(b) or (c), Check Whether the Person Filing is a:</w:t>
      </w:r>
    </w:p>
    <w:p>
      <w:pPr>
        <w:spacing w:after="0" w:line="73" w:lineRule="exact"/>
        <w:rPr>
          <w:sz w:val="20"/>
          <w:szCs w:val="20"/>
          <w:color w:val="auto"/>
        </w:rPr>
      </w:pPr>
    </w:p>
    <w:p>
      <w:pPr>
        <w:ind w:left="1760" w:hanging="401"/>
        <w:spacing w:after="0"/>
        <w:tabs>
          <w:tab w:leader="none" w:pos="1760" w:val="left"/>
        </w:tabs>
        <w:numPr>
          <w:ilvl w:val="0"/>
          <w:numId w:val="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   Broker or dealer registered under Section 15 of the Act (15 U.S.C. 78o).</w:t>
      </w:r>
    </w:p>
    <w:p>
      <w:pPr>
        <w:spacing w:after="0" w:line="125" w:lineRule="exact"/>
        <w:rPr>
          <w:rFonts w:ascii="Times New Roman" w:cs="Times New Roman" w:eastAsia="Times New Roman" w:hAnsi="Times New Roman"/>
          <w:sz w:val="22"/>
          <w:szCs w:val="22"/>
          <w:color w:val="auto"/>
        </w:rPr>
      </w:pPr>
    </w:p>
    <w:p>
      <w:pPr>
        <w:ind w:left="1760" w:hanging="401"/>
        <w:spacing w:after="0"/>
        <w:tabs>
          <w:tab w:leader="none" w:pos="1760" w:val="left"/>
        </w:tabs>
        <w:numPr>
          <w:ilvl w:val="0"/>
          <w:numId w:val="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   Bank as defined in Section 3(a)(6) of the Act (15 U.S.C. 78c).</w:t>
      </w:r>
    </w:p>
    <w:p>
      <w:pPr>
        <w:spacing w:after="0" w:line="125" w:lineRule="exact"/>
        <w:rPr>
          <w:rFonts w:ascii="Times New Roman" w:cs="Times New Roman" w:eastAsia="Times New Roman" w:hAnsi="Times New Roman"/>
          <w:sz w:val="22"/>
          <w:szCs w:val="22"/>
          <w:color w:val="auto"/>
        </w:rPr>
      </w:pPr>
    </w:p>
    <w:p>
      <w:pPr>
        <w:ind w:left="1760" w:hanging="401"/>
        <w:spacing w:after="0"/>
        <w:tabs>
          <w:tab w:leader="none" w:pos="1760" w:val="left"/>
        </w:tabs>
        <w:numPr>
          <w:ilvl w:val="0"/>
          <w:numId w:val="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   Insurance Company as defined in Section 3(a)(19) of the Act (15 U.S.C. 78c).</w:t>
      </w:r>
    </w:p>
    <w:p>
      <w:pPr>
        <w:spacing w:after="0" w:line="125" w:lineRule="exact"/>
        <w:rPr>
          <w:rFonts w:ascii="Times New Roman" w:cs="Times New Roman" w:eastAsia="Times New Roman" w:hAnsi="Times New Roman"/>
          <w:sz w:val="22"/>
          <w:szCs w:val="22"/>
          <w:color w:val="auto"/>
        </w:rPr>
      </w:pPr>
    </w:p>
    <w:p>
      <w:pPr>
        <w:ind w:left="2220" w:right="120" w:hanging="861"/>
        <w:spacing w:after="0" w:line="258" w:lineRule="auto"/>
        <w:tabs>
          <w:tab w:leader="none" w:pos="1761" w:val="left"/>
        </w:tabs>
        <w:numPr>
          <w:ilvl w:val="0"/>
          <w:numId w:val="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 Investment Company registered under Section 8 of the Investment Company Act of 1940 (15 U.S.C. 80a-8).</w:t>
      </w:r>
    </w:p>
    <w:p>
      <w:pPr>
        <w:spacing w:after="0" w:line="77" w:lineRule="exact"/>
        <w:rPr>
          <w:rFonts w:ascii="Times New Roman" w:cs="Times New Roman" w:eastAsia="Times New Roman" w:hAnsi="Times New Roman"/>
          <w:sz w:val="22"/>
          <w:szCs w:val="22"/>
          <w:color w:val="auto"/>
        </w:rPr>
      </w:pPr>
    </w:p>
    <w:p>
      <w:pPr>
        <w:ind w:left="1760" w:hanging="401"/>
        <w:spacing w:after="0"/>
        <w:tabs>
          <w:tab w:leader="none" w:pos="1760" w:val="left"/>
        </w:tabs>
        <w:numPr>
          <w:ilvl w:val="0"/>
          <w:numId w:val="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[X]  An investment adviser in accordance with Rule 240.13d-1(b)(1)(ii)(E); *</w:t>
      </w:r>
    </w:p>
    <w:p>
      <w:pPr>
        <w:spacing w:after="0" w:line="125" w:lineRule="exact"/>
        <w:rPr>
          <w:rFonts w:ascii="Times New Roman" w:cs="Times New Roman" w:eastAsia="Times New Roman" w:hAnsi="Times New Roman"/>
          <w:sz w:val="22"/>
          <w:szCs w:val="22"/>
          <w:color w:val="auto"/>
        </w:rPr>
      </w:pPr>
    </w:p>
    <w:p>
      <w:pPr>
        <w:ind w:left="1760" w:hanging="401"/>
        <w:spacing w:after="0"/>
        <w:tabs>
          <w:tab w:leader="none" w:pos="1760" w:val="left"/>
        </w:tabs>
        <w:numPr>
          <w:ilvl w:val="0"/>
          <w:numId w:val="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   An employee benefit plan or endowment fund in accordance with Rule 240.13d-1(b)(1)(ii)(F);</w:t>
      </w:r>
    </w:p>
    <w:p>
      <w:pPr>
        <w:spacing w:after="0" w:line="125" w:lineRule="exact"/>
        <w:rPr>
          <w:rFonts w:ascii="Times New Roman" w:cs="Times New Roman" w:eastAsia="Times New Roman" w:hAnsi="Times New Roman"/>
          <w:sz w:val="22"/>
          <w:szCs w:val="22"/>
          <w:color w:val="auto"/>
        </w:rPr>
      </w:pPr>
    </w:p>
    <w:p>
      <w:pPr>
        <w:ind w:left="1760" w:hanging="401"/>
        <w:spacing w:after="0"/>
        <w:tabs>
          <w:tab w:leader="none" w:pos="1760" w:val="left"/>
        </w:tabs>
        <w:numPr>
          <w:ilvl w:val="0"/>
          <w:numId w:val="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[X]  A parent holding company or control person in accordance with Rule 240.13d-1(b)(1)(ii)(G);</w:t>
      </w:r>
    </w:p>
    <w:p>
      <w:pPr>
        <w:spacing w:after="0" w:line="125" w:lineRule="exact"/>
        <w:rPr>
          <w:rFonts w:ascii="Times New Roman" w:cs="Times New Roman" w:eastAsia="Times New Roman" w:hAnsi="Times New Roman"/>
          <w:sz w:val="22"/>
          <w:szCs w:val="22"/>
          <w:color w:val="auto"/>
        </w:rPr>
      </w:pPr>
    </w:p>
    <w:p>
      <w:pPr>
        <w:ind w:left="2220" w:right="460" w:hanging="861"/>
        <w:spacing w:after="0" w:line="258" w:lineRule="auto"/>
        <w:tabs>
          <w:tab w:leader="none" w:pos="1761" w:val="left"/>
        </w:tabs>
        <w:numPr>
          <w:ilvl w:val="0"/>
          <w:numId w:val="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 A savings association as defined in Section 3(b) of the Federal Deposit Insurance Act (12 U.S.C. 1813);</w:t>
      </w:r>
    </w:p>
    <w:p>
      <w:pPr>
        <w:spacing w:after="0" w:line="77" w:lineRule="exact"/>
        <w:rPr>
          <w:rFonts w:ascii="Times New Roman" w:cs="Times New Roman" w:eastAsia="Times New Roman" w:hAnsi="Times New Roman"/>
          <w:sz w:val="22"/>
          <w:szCs w:val="22"/>
          <w:color w:val="auto"/>
        </w:rPr>
      </w:pPr>
    </w:p>
    <w:p>
      <w:pPr>
        <w:ind w:left="2220" w:right="140" w:hanging="861"/>
        <w:spacing w:after="0" w:line="258" w:lineRule="auto"/>
        <w:tabs>
          <w:tab w:leader="none" w:pos="1761" w:val="left"/>
        </w:tabs>
        <w:numPr>
          <w:ilvl w:val="0"/>
          <w:numId w:val="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 A church plan that is excluded from the definition of an investment company under Section 3(c)(14) of the Investment Company Act of 1940 (15 U.S.C. 80a-3);</w:t>
      </w:r>
    </w:p>
    <w:p>
      <w:pPr>
        <w:spacing w:after="0" w:line="77" w:lineRule="exact"/>
        <w:rPr>
          <w:rFonts w:ascii="Times New Roman" w:cs="Times New Roman" w:eastAsia="Times New Roman" w:hAnsi="Times New Roman"/>
          <w:sz w:val="22"/>
          <w:szCs w:val="22"/>
          <w:color w:val="auto"/>
        </w:rPr>
      </w:pPr>
    </w:p>
    <w:p>
      <w:pPr>
        <w:ind w:left="1760" w:hanging="401"/>
        <w:spacing w:after="0"/>
        <w:tabs>
          <w:tab w:leader="none" w:pos="1760" w:val="left"/>
        </w:tabs>
        <w:numPr>
          <w:ilvl w:val="0"/>
          <w:numId w:val="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   Group, in accordance with Rule 240.13d-1(b)(1)(ii)(J).</w:t>
      </w:r>
    </w:p>
    <w:p>
      <w:pPr>
        <w:spacing w:after="0" w:line="125" w:lineRule="exact"/>
        <w:rPr>
          <w:rFonts w:ascii="Times New Roman" w:cs="Times New Roman" w:eastAsia="Times New Roman" w:hAnsi="Times New Roman"/>
          <w:sz w:val="22"/>
          <w:szCs w:val="22"/>
          <w:color w:val="auto"/>
        </w:rPr>
      </w:pPr>
    </w:p>
    <w:p>
      <w:pPr>
        <w:ind w:left="176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If this statement is filed pursuant to Rule 13d-1(c), check this box [ ]</w:t>
      </w:r>
    </w:p>
    <w:p>
      <w:pPr>
        <w:spacing w:after="0" w:line="125" w:lineRule="exact"/>
        <w:rPr>
          <w:sz w:val="20"/>
          <w:szCs w:val="20"/>
          <w:color w:val="auto"/>
        </w:rPr>
      </w:pPr>
    </w:p>
    <w:p>
      <w:pPr>
        <w:ind w:left="1360"/>
        <w:spacing w:after="0"/>
        <w:rPr>
          <w:sz w:val="20"/>
          <w:szCs w:val="20"/>
          <w:color w:val="auto"/>
        </w:rPr>
      </w:pPr>
      <w:r>
        <w:rPr>
          <w:rFonts w:ascii="Times New Roman" w:cs="Times New Roman" w:eastAsia="Times New Roman" w:hAnsi="Times New Roman"/>
          <w:sz w:val="22"/>
          <w:szCs w:val="22"/>
          <w:color w:val="auto"/>
        </w:rPr>
        <w:t>Wellington Management Group LLP - HC</w:t>
      </w:r>
    </w:p>
    <w:p>
      <w:pPr>
        <w:spacing w:after="0" w:line="4" w:lineRule="exact"/>
        <w:rPr>
          <w:sz w:val="20"/>
          <w:szCs w:val="20"/>
          <w:color w:val="auto"/>
        </w:rPr>
      </w:pPr>
    </w:p>
    <w:p>
      <w:pPr>
        <w:ind w:left="1360"/>
        <w:spacing w:after="0"/>
        <w:rPr>
          <w:sz w:val="20"/>
          <w:szCs w:val="20"/>
          <w:color w:val="auto"/>
        </w:rPr>
      </w:pPr>
      <w:r>
        <w:rPr>
          <w:rFonts w:ascii="Times New Roman" w:cs="Times New Roman" w:eastAsia="Times New Roman" w:hAnsi="Times New Roman"/>
          <w:sz w:val="22"/>
          <w:szCs w:val="22"/>
          <w:color w:val="auto"/>
        </w:rPr>
        <w:t>Wellington Group Holdings LLP - HC</w:t>
      </w:r>
    </w:p>
    <w:p>
      <w:pPr>
        <w:ind w:left="1360"/>
        <w:spacing w:after="0" w:line="230" w:lineRule="auto"/>
        <w:rPr>
          <w:sz w:val="20"/>
          <w:szCs w:val="20"/>
          <w:color w:val="auto"/>
        </w:rPr>
      </w:pPr>
      <w:r>
        <w:rPr>
          <w:rFonts w:ascii="Times New Roman" w:cs="Times New Roman" w:eastAsia="Times New Roman" w:hAnsi="Times New Roman"/>
          <w:sz w:val="22"/>
          <w:szCs w:val="22"/>
          <w:color w:val="auto"/>
        </w:rPr>
        <w:t>Wellington Investment Advisors Holdings LLP - HC</w:t>
      </w:r>
    </w:p>
    <w:p>
      <w:pPr>
        <w:spacing w:after="0" w:line="1" w:lineRule="exact"/>
        <w:rPr>
          <w:sz w:val="20"/>
          <w:szCs w:val="20"/>
          <w:color w:val="auto"/>
        </w:rPr>
      </w:pPr>
    </w:p>
    <w:p>
      <w:pPr>
        <w:ind w:left="1360"/>
        <w:spacing w:after="0"/>
        <w:rPr>
          <w:sz w:val="20"/>
          <w:szCs w:val="20"/>
          <w:color w:val="auto"/>
        </w:rPr>
      </w:pPr>
      <w:r>
        <w:rPr>
          <w:rFonts w:ascii="Times New Roman" w:cs="Times New Roman" w:eastAsia="Times New Roman" w:hAnsi="Times New Roman"/>
          <w:sz w:val="22"/>
          <w:szCs w:val="22"/>
          <w:color w:val="auto"/>
        </w:rPr>
        <w:t>Wellington Management Company LLP - IA</w:t>
      </w:r>
    </w:p>
    <w:p>
      <w:pPr>
        <w:spacing w:after="0" w:line="97" w:lineRule="exact"/>
        <w:rPr>
          <w:sz w:val="20"/>
          <w:szCs w:val="20"/>
          <w:color w:val="auto"/>
        </w:rPr>
      </w:pPr>
    </w:p>
    <w:p>
      <w:pPr>
        <w:spacing w:after="0"/>
        <w:tabs>
          <w:tab w:leader="none" w:pos="1340" w:val="left"/>
        </w:tabs>
        <w:rPr>
          <w:sz w:val="20"/>
          <w:szCs w:val="20"/>
          <w:color w:val="auto"/>
        </w:rPr>
      </w:pPr>
      <w:r>
        <w:rPr>
          <w:rFonts w:ascii="Times New Roman" w:cs="Times New Roman" w:eastAsia="Times New Roman" w:hAnsi="Times New Roman"/>
          <w:sz w:val="22"/>
          <w:szCs w:val="22"/>
          <w:b w:val="1"/>
          <w:bCs w:val="1"/>
          <w:color w:val="auto"/>
        </w:rPr>
        <w:t>Item 4.</w:t>
      </w:r>
      <w:r>
        <w:rPr>
          <w:sz w:val="20"/>
          <w:szCs w:val="20"/>
          <w:color w:val="auto"/>
        </w:rPr>
        <w:tab/>
      </w:r>
      <w:r>
        <w:rPr>
          <w:rFonts w:ascii="Times New Roman" w:cs="Times New Roman" w:eastAsia="Times New Roman" w:hAnsi="Times New Roman"/>
          <w:sz w:val="21"/>
          <w:szCs w:val="21"/>
          <w:b w:val="1"/>
          <w:bCs w:val="1"/>
          <w:color w:val="auto"/>
        </w:rPr>
        <w:t>Ownership.</w:t>
      </w:r>
    </w:p>
    <w:p>
      <w:pPr>
        <w:spacing w:after="0" w:line="129" w:lineRule="exact"/>
        <w:rPr>
          <w:sz w:val="20"/>
          <w:szCs w:val="20"/>
          <w:color w:val="auto"/>
        </w:rPr>
      </w:pPr>
    </w:p>
    <w:p>
      <w:pPr>
        <w:ind w:right="680"/>
        <w:spacing w:after="0" w:line="258" w:lineRule="auto"/>
        <w:rPr>
          <w:sz w:val="20"/>
          <w:szCs w:val="20"/>
          <w:color w:val="auto"/>
        </w:rPr>
      </w:pPr>
      <w:r>
        <w:rPr>
          <w:rFonts w:ascii="Times New Roman" w:cs="Times New Roman" w:eastAsia="Times New Roman" w:hAnsi="Times New Roman"/>
          <w:sz w:val="22"/>
          <w:szCs w:val="22"/>
          <w:color w:val="auto"/>
        </w:rPr>
        <w:t>Provide the following information regarding the aggregate number and percentage of the class of securities of the issuer identified in Item 1.</w:t>
      </w:r>
    </w:p>
    <w:p>
      <w:pPr>
        <w:spacing w:after="0" w:line="77" w:lineRule="exact"/>
        <w:rPr>
          <w:sz w:val="20"/>
          <w:szCs w:val="20"/>
          <w:color w:val="auto"/>
        </w:rPr>
      </w:pPr>
    </w:p>
    <w:p>
      <w:pPr>
        <w:ind w:left="1760" w:hanging="401"/>
        <w:spacing w:after="0"/>
        <w:tabs>
          <w:tab w:leader="none" w:pos="1760" w:val="left"/>
        </w:tabs>
        <w:numPr>
          <w:ilvl w:val="0"/>
          <w:numId w:val="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Amount Beneficially Owned:</w:t>
      </w:r>
    </w:p>
    <w:p>
      <w:pPr>
        <w:spacing w:after="0" w:line="125" w:lineRule="exact"/>
        <w:rPr>
          <w:rFonts w:ascii="Times New Roman" w:cs="Times New Roman" w:eastAsia="Times New Roman" w:hAnsi="Times New Roman"/>
          <w:sz w:val="22"/>
          <w:szCs w:val="22"/>
          <w:color w:val="auto"/>
        </w:rPr>
      </w:pPr>
    </w:p>
    <w:p>
      <w:pPr>
        <w:ind w:left="176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See the responses to Item 9 on the attached cover pages.</w:t>
      </w:r>
    </w:p>
    <w:p>
      <w:pPr>
        <w:spacing w:after="0" w:line="125" w:lineRule="exact"/>
        <w:rPr>
          <w:rFonts w:ascii="Times New Roman" w:cs="Times New Roman" w:eastAsia="Times New Roman" w:hAnsi="Times New Roman"/>
          <w:sz w:val="22"/>
          <w:szCs w:val="22"/>
          <w:color w:val="auto"/>
        </w:rPr>
      </w:pPr>
    </w:p>
    <w:p>
      <w:pPr>
        <w:ind w:left="1760" w:hanging="401"/>
        <w:spacing w:after="0"/>
        <w:tabs>
          <w:tab w:leader="none" w:pos="1760" w:val="left"/>
        </w:tabs>
        <w:numPr>
          <w:ilvl w:val="0"/>
          <w:numId w:val="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Percent of Class:</w:t>
      </w:r>
    </w:p>
    <w:p>
      <w:pPr>
        <w:sectPr>
          <w:pgSz w:w="11900" w:h="16838" w:orient="portrait"/>
          <w:cols w:equalWidth="0" w:num="1">
            <w:col w:w="11040"/>
          </w:cols>
          <w:pgMar w:left="400" w:top="405" w:right="459" w:bottom="0" w:gutter="0" w:footer="0" w:header="0"/>
        </w:sectPr>
      </w:pPr>
    </w:p>
    <w:bookmarkStart w:id="6" w:name="page7"/>
    <w:bookmarkEnd w:id="6"/>
    <w:p>
      <w:pPr>
        <w:ind w:left="1760"/>
        <w:spacing w:after="0"/>
        <w:rPr>
          <w:sz w:val="20"/>
          <w:szCs w:val="20"/>
          <w:color w:val="auto"/>
        </w:rPr>
      </w:pPr>
      <w:r>
        <w:rPr>
          <w:rFonts w:ascii="Times New Roman" w:cs="Times New Roman" w:eastAsia="Times New Roman" w:hAnsi="Times New Roman"/>
          <w:sz w:val="21"/>
          <w:szCs w:val="21"/>
          <w:color w:val="auto"/>
        </w:rPr>
        <w:t>See the responses to Item 11 on the attached cover pages.</w:t>
      </w:r>
    </w:p>
    <w:p>
      <w:pPr>
        <w:sectPr>
          <w:pgSz w:w="11900" w:h="16838" w:orient="portrait"/>
          <w:cols w:equalWidth="0" w:num="1">
            <w:col w:w="10940"/>
          </w:cols>
          <w:pgMar w:left="400" w:top="111" w:right="559" w:bottom="0" w:gutter="0" w:footer="0" w:header="0"/>
        </w:sectPr>
      </w:pPr>
    </w:p>
    <w:p>
      <w:pPr>
        <w:spacing w:after="0" w:line="137" w:lineRule="exact"/>
        <w:rPr>
          <w:sz w:val="20"/>
          <w:szCs w:val="20"/>
          <w:color w:val="auto"/>
        </w:rPr>
      </w:pPr>
    </w:p>
    <w:p>
      <w:pPr>
        <w:ind w:left="1760" w:hanging="401"/>
        <w:spacing w:after="0"/>
        <w:tabs>
          <w:tab w:leader="none" w:pos="1760" w:val="left"/>
        </w:tabs>
        <w:numPr>
          <w:ilvl w:val="0"/>
          <w:numId w:val="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Number of shares as to which such person has:</w:t>
      </w:r>
    </w:p>
    <w:p>
      <w:pPr>
        <w:spacing w:after="0" w:line="125" w:lineRule="exact"/>
        <w:rPr>
          <w:rFonts w:ascii="Times New Roman" w:cs="Times New Roman" w:eastAsia="Times New Roman" w:hAnsi="Times New Roman"/>
          <w:sz w:val="22"/>
          <w:szCs w:val="22"/>
          <w:color w:val="auto"/>
        </w:rPr>
      </w:pPr>
    </w:p>
    <w:p>
      <w:pPr>
        <w:ind w:left="2220" w:hanging="456"/>
        <w:spacing w:after="0"/>
        <w:tabs>
          <w:tab w:leader="none" w:pos="2220" w:val="left"/>
        </w:tabs>
        <w:numPr>
          <w:ilvl w:val="1"/>
          <w:numId w:val="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sole power to vote or to direct the vote</w:t>
      </w:r>
    </w:p>
    <w:p>
      <w:pPr>
        <w:spacing w:after="0" w:line="246" w:lineRule="exact"/>
        <w:rPr>
          <w:rFonts w:ascii="Times New Roman" w:cs="Times New Roman" w:eastAsia="Times New Roman" w:hAnsi="Times New Roman"/>
          <w:sz w:val="22"/>
          <w:szCs w:val="22"/>
          <w:color w:val="auto"/>
        </w:rPr>
      </w:pPr>
    </w:p>
    <w:p>
      <w:pPr>
        <w:ind w:left="2220" w:hanging="456"/>
        <w:spacing w:after="0"/>
        <w:tabs>
          <w:tab w:leader="none" w:pos="2220" w:val="left"/>
        </w:tabs>
        <w:numPr>
          <w:ilvl w:val="1"/>
          <w:numId w:val="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shared power to vote or to direct the vote</w:t>
      </w:r>
    </w:p>
    <w:p>
      <w:pPr>
        <w:spacing w:after="0" w:line="200" w:lineRule="exact"/>
        <w:rPr>
          <w:rFonts w:ascii="Times New Roman" w:cs="Times New Roman" w:eastAsia="Times New Roman" w:hAnsi="Times New Roman"/>
          <w:sz w:val="22"/>
          <w:szCs w:val="22"/>
          <w:color w:val="auto"/>
        </w:rPr>
      </w:pPr>
    </w:p>
    <w:p>
      <w:pPr>
        <w:ind w:left="2220" w:hanging="456"/>
        <w:spacing w:after="0"/>
        <w:tabs>
          <w:tab w:leader="none" w:pos="2220" w:val="left"/>
        </w:tabs>
        <w:numPr>
          <w:ilvl w:val="1"/>
          <w:numId w:val="6"/>
        </w:numPr>
        <w:rPr>
          <w:rFonts w:ascii="Times New Roman" w:cs="Times New Roman" w:eastAsia="Times New Roman" w:hAnsi="Times New Roman"/>
          <w:sz w:val="39"/>
          <w:szCs w:val="39"/>
          <w:color w:val="auto"/>
          <w:vertAlign w:val="subscript"/>
        </w:rPr>
      </w:pPr>
      <w:r>
        <w:rPr>
          <w:rFonts w:ascii="Times New Roman" w:cs="Times New Roman" w:eastAsia="Times New Roman" w:hAnsi="Times New Roman"/>
          <w:sz w:val="20"/>
          <w:szCs w:val="20"/>
          <w:color w:val="auto"/>
        </w:rPr>
        <w:t>sole</w:t>
      </w:r>
      <w:r>
        <w:rPr>
          <w:rFonts w:ascii="Times New Roman" w:cs="Times New Roman" w:eastAsia="Times New Roman" w:hAnsi="Times New Roman"/>
          <w:sz w:val="39"/>
          <w:szCs w:val="39"/>
          <w:color w:val="auto"/>
          <w:vertAlign w:val="subscript"/>
        </w:rPr>
        <w:t>of</w:t>
      </w:r>
      <w:r>
        <w:rPr>
          <w:rFonts w:ascii="Times New Roman" w:cs="Times New Roman" w:eastAsia="Times New Roman" w:hAnsi="Times New Roman"/>
          <w:sz w:val="20"/>
          <w:szCs w:val="20"/>
          <w:color w:val="auto"/>
        </w:rPr>
        <w:t xml:space="preserve"> power to dispose or to direct the disposition</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9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0</w:t>
      </w:r>
    </w:p>
    <w:p>
      <w:pPr>
        <w:spacing w:after="0" w:line="125" w:lineRule="exact"/>
        <w:rPr>
          <w:sz w:val="20"/>
          <w:szCs w:val="20"/>
          <w:color w:val="auto"/>
        </w:rPr>
      </w:pPr>
    </w:p>
    <w:p>
      <w:pPr>
        <w:ind w:right="80"/>
        <w:spacing w:after="0" w:line="258" w:lineRule="auto"/>
        <w:rPr>
          <w:sz w:val="20"/>
          <w:szCs w:val="20"/>
          <w:color w:val="auto"/>
        </w:rPr>
      </w:pPr>
      <w:r>
        <w:rPr>
          <w:rFonts w:ascii="Times New Roman" w:cs="Times New Roman" w:eastAsia="Times New Roman" w:hAnsi="Times New Roman"/>
          <w:sz w:val="22"/>
          <w:szCs w:val="22"/>
          <w:color w:val="auto"/>
        </w:rPr>
        <w:t>See the responses to Item 6 on the attached cover pages.</w:t>
      </w:r>
    </w:p>
    <w:p>
      <w:pPr>
        <w:spacing w:after="0" w:line="19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0</w:t>
      </w:r>
    </w:p>
    <w:p>
      <w:pPr>
        <w:spacing w:after="0" w:line="228" w:lineRule="exact"/>
        <w:rPr>
          <w:sz w:val="20"/>
          <w:szCs w:val="20"/>
          <w:color w:val="auto"/>
        </w:rPr>
      </w:pPr>
    </w:p>
    <w:p>
      <w:pPr>
        <w:sectPr>
          <w:pgSz w:w="11900" w:h="16838" w:orient="portrait"/>
          <w:cols w:equalWidth="0" w:num="2">
            <w:col w:w="6420" w:space="200"/>
            <w:col w:w="4320"/>
          </w:cols>
          <w:pgMar w:left="400" w:top="111" w:right="559" w:bottom="0" w:gutter="0" w:footer="0" w:header="0"/>
          <w:type w:val="continuous"/>
        </w:sectPr>
      </w:pPr>
    </w:p>
    <w:p>
      <w:pPr>
        <w:spacing w:after="0" w:line="18" w:lineRule="exact"/>
        <w:rPr>
          <w:sz w:val="20"/>
          <w:szCs w:val="20"/>
          <w:color w:val="auto"/>
        </w:rPr>
      </w:pPr>
    </w:p>
    <w:p>
      <w:pPr>
        <w:ind w:left="2220" w:right="280" w:hanging="456"/>
        <w:spacing w:after="0" w:line="185" w:lineRule="auto"/>
        <w:tabs>
          <w:tab w:leader="none" w:pos="2220" w:val="left"/>
        </w:tabs>
        <w:numPr>
          <w:ilvl w:val="0"/>
          <w:numId w:val="7"/>
        </w:numPr>
        <w:rPr>
          <w:rFonts w:ascii="Times New Roman" w:cs="Times New Roman" w:eastAsia="Times New Roman" w:hAnsi="Times New Roman"/>
          <w:sz w:val="39"/>
          <w:szCs w:val="39"/>
          <w:color w:val="auto"/>
          <w:vertAlign w:val="subscript"/>
        </w:rPr>
      </w:pPr>
      <w:r>
        <w:rPr>
          <w:rFonts w:ascii="Times New Roman" w:cs="Times New Roman" w:eastAsia="Times New Roman" w:hAnsi="Times New Roman"/>
          <w:sz w:val="20"/>
          <w:szCs w:val="20"/>
          <w:color w:val="auto"/>
        </w:rPr>
        <w:t>shared power to dispose or to direct the disposition of</w:t>
      </w:r>
    </w:p>
    <w:p>
      <w:pPr>
        <w:spacing w:after="0" w:line="20" w:lineRule="exact"/>
        <w:rPr>
          <w:sz w:val="20"/>
          <w:szCs w:val="20"/>
          <w:color w:val="auto"/>
        </w:rPr>
      </w:pPr>
      <w:r>
        <w:rPr>
          <w:sz w:val="20"/>
          <w:szCs w:val="20"/>
          <w:color w:val="auto"/>
        </w:rPr>
        <w:br w:type="column"/>
      </w:r>
    </w:p>
    <w:p>
      <w:pPr>
        <w:ind w:right="80"/>
        <w:spacing w:after="0" w:line="258" w:lineRule="auto"/>
        <w:rPr>
          <w:sz w:val="20"/>
          <w:szCs w:val="20"/>
          <w:color w:val="auto"/>
        </w:rPr>
      </w:pPr>
      <w:r>
        <w:rPr>
          <w:rFonts w:ascii="Times New Roman" w:cs="Times New Roman" w:eastAsia="Times New Roman" w:hAnsi="Times New Roman"/>
          <w:sz w:val="22"/>
          <w:szCs w:val="22"/>
          <w:color w:val="auto"/>
        </w:rPr>
        <w:t>See the responses to Item 8 on the attached cover pages.</w:t>
      </w:r>
    </w:p>
    <w:p>
      <w:pPr>
        <w:spacing w:after="0" w:line="73" w:lineRule="exact"/>
        <w:rPr>
          <w:sz w:val="20"/>
          <w:szCs w:val="20"/>
          <w:color w:val="auto"/>
        </w:rPr>
      </w:pPr>
    </w:p>
    <w:p>
      <w:pPr>
        <w:sectPr>
          <w:pgSz w:w="11900" w:h="16838" w:orient="portrait"/>
          <w:cols w:equalWidth="0" w:num="2">
            <w:col w:w="5900" w:space="720"/>
            <w:col w:w="4320"/>
          </w:cols>
          <w:pgMar w:left="400" w:top="111" w:right="559" w:bottom="0" w:gutter="0" w:footer="0" w:header="0"/>
          <w:type w:val="continuous"/>
        </w:sectPr>
      </w:pPr>
    </w:p>
    <w:tbl>
      <w:tblPr>
        <w:tblLayout w:type="fixed"/>
        <w:tblInd w:w="0" w:type="dxa"/>
        <w:tblCellMar>
          <w:top w:w="0" w:type="dxa"/>
          <w:left w:w="0" w:type="dxa"/>
          <w:bottom w:w="0" w:type="dxa"/>
          <w:right w:w="0" w:type="dxa"/>
        </w:tblCellMar>
      </w:tblPr>
      <w:tr>
        <w:trPr>
          <w:trHeight w:val="286"/>
        </w:trPr>
        <w:tc>
          <w:tcPr>
            <w:tcW w:w="940" w:type="dxa"/>
            <w:vAlign w:val="bottom"/>
          </w:tcPr>
          <w:p>
            <w:pPr>
              <w:spacing w:after="0"/>
              <w:rPr>
                <w:sz w:val="20"/>
                <w:szCs w:val="20"/>
                <w:color w:val="auto"/>
              </w:rPr>
            </w:pPr>
            <w:r>
              <w:rPr>
                <w:rFonts w:ascii="Times New Roman" w:cs="Times New Roman" w:eastAsia="Times New Roman" w:hAnsi="Times New Roman"/>
                <w:sz w:val="22"/>
                <w:szCs w:val="22"/>
                <w:b w:val="1"/>
                <w:bCs w:val="1"/>
                <w:color w:val="auto"/>
              </w:rPr>
              <w:t>Item 5.</w:t>
            </w:r>
          </w:p>
        </w:tc>
        <w:tc>
          <w:tcPr>
            <w:tcW w:w="10000" w:type="dxa"/>
            <w:vAlign w:val="bottom"/>
            <w:gridSpan w:val="3"/>
          </w:tcPr>
          <w:p>
            <w:pPr>
              <w:ind w:left="420"/>
              <w:spacing w:after="0"/>
              <w:rPr>
                <w:sz w:val="20"/>
                <w:szCs w:val="20"/>
                <w:color w:val="auto"/>
              </w:rPr>
            </w:pPr>
            <w:r>
              <w:rPr>
                <w:rFonts w:ascii="Times New Roman" w:cs="Times New Roman" w:eastAsia="Times New Roman" w:hAnsi="Times New Roman"/>
                <w:sz w:val="22"/>
                <w:szCs w:val="22"/>
                <w:b w:val="1"/>
                <w:bCs w:val="1"/>
                <w:color w:val="auto"/>
              </w:rPr>
              <w:t>Ownership of Five Percent or Less of Class.</w:t>
            </w:r>
          </w:p>
        </w:tc>
      </w:tr>
      <w:tr>
        <w:trPr>
          <w:trHeight w:val="339"/>
        </w:trPr>
        <w:tc>
          <w:tcPr>
            <w:tcW w:w="940" w:type="dxa"/>
            <w:vAlign w:val="bottom"/>
          </w:tcPr>
          <w:p>
            <w:pPr>
              <w:spacing w:after="0"/>
              <w:rPr>
                <w:sz w:val="24"/>
                <w:szCs w:val="24"/>
                <w:color w:val="auto"/>
              </w:rPr>
            </w:pPr>
          </w:p>
        </w:tc>
        <w:tc>
          <w:tcPr>
            <w:tcW w:w="10000" w:type="dxa"/>
            <w:vAlign w:val="bottom"/>
            <w:gridSpan w:val="3"/>
          </w:tcPr>
          <w:p>
            <w:pPr>
              <w:ind w:left="420"/>
              <w:spacing w:after="0"/>
              <w:rPr>
                <w:sz w:val="20"/>
                <w:szCs w:val="20"/>
                <w:color w:val="auto"/>
              </w:rPr>
            </w:pPr>
            <w:r>
              <w:rPr>
                <w:rFonts w:ascii="Times New Roman" w:cs="Times New Roman" w:eastAsia="Times New Roman" w:hAnsi="Times New Roman"/>
                <w:sz w:val="22"/>
                <w:szCs w:val="22"/>
                <w:color w:val="auto"/>
                <w:w w:val="98"/>
              </w:rPr>
              <w:t>If this statement is being filed to report the fact that as of the date hereof the reporting person has ceased to be</w:t>
            </w:r>
          </w:p>
        </w:tc>
      </w:tr>
      <w:tr>
        <w:trPr>
          <w:trHeight w:val="282"/>
        </w:trPr>
        <w:tc>
          <w:tcPr>
            <w:tcW w:w="940" w:type="dxa"/>
            <w:vAlign w:val="bottom"/>
          </w:tcPr>
          <w:p>
            <w:pPr>
              <w:spacing w:after="0"/>
              <w:rPr>
                <w:sz w:val="24"/>
                <w:szCs w:val="24"/>
                <w:color w:val="auto"/>
              </w:rPr>
            </w:pPr>
          </w:p>
        </w:tc>
        <w:tc>
          <w:tcPr>
            <w:tcW w:w="10000" w:type="dxa"/>
            <w:vAlign w:val="bottom"/>
            <w:gridSpan w:val="3"/>
          </w:tcPr>
          <w:p>
            <w:pPr>
              <w:ind w:left="420"/>
              <w:spacing w:after="0"/>
              <w:rPr>
                <w:sz w:val="20"/>
                <w:szCs w:val="20"/>
                <w:color w:val="auto"/>
              </w:rPr>
            </w:pPr>
            <w:r>
              <w:rPr>
                <w:rFonts w:ascii="Times New Roman" w:cs="Times New Roman" w:eastAsia="Times New Roman" w:hAnsi="Times New Roman"/>
                <w:sz w:val="22"/>
                <w:szCs w:val="22"/>
                <w:color w:val="auto"/>
              </w:rPr>
              <w:t>the beneficial owner of more than five percent of the class of securities, check the following: [ ]</w:t>
            </w:r>
          </w:p>
        </w:tc>
      </w:tr>
      <w:tr>
        <w:trPr>
          <w:trHeight w:val="378"/>
        </w:trPr>
        <w:tc>
          <w:tcPr>
            <w:tcW w:w="940" w:type="dxa"/>
            <w:vAlign w:val="bottom"/>
          </w:tcPr>
          <w:p>
            <w:pPr>
              <w:spacing w:after="0"/>
              <w:rPr>
                <w:sz w:val="20"/>
                <w:szCs w:val="20"/>
                <w:color w:val="auto"/>
              </w:rPr>
            </w:pPr>
            <w:r>
              <w:rPr>
                <w:rFonts w:ascii="Times New Roman" w:cs="Times New Roman" w:eastAsia="Times New Roman" w:hAnsi="Times New Roman"/>
                <w:sz w:val="22"/>
                <w:szCs w:val="22"/>
                <w:b w:val="1"/>
                <w:bCs w:val="1"/>
                <w:color w:val="auto"/>
              </w:rPr>
              <w:t>Item 6.</w:t>
            </w:r>
          </w:p>
        </w:tc>
        <w:tc>
          <w:tcPr>
            <w:tcW w:w="10000" w:type="dxa"/>
            <w:vAlign w:val="bottom"/>
            <w:gridSpan w:val="3"/>
          </w:tcPr>
          <w:p>
            <w:pPr>
              <w:ind w:left="420"/>
              <w:spacing w:after="0"/>
              <w:rPr>
                <w:sz w:val="20"/>
                <w:szCs w:val="20"/>
                <w:color w:val="auto"/>
              </w:rPr>
            </w:pPr>
            <w:r>
              <w:rPr>
                <w:rFonts w:ascii="Times New Roman" w:cs="Times New Roman" w:eastAsia="Times New Roman" w:hAnsi="Times New Roman"/>
                <w:sz w:val="22"/>
                <w:szCs w:val="22"/>
                <w:b w:val="1"/>
                <w:bCs w:val="1"/>
                <w:color w:val="auto"/>
              </w:rPr>
              <w:t>Ownership of More than Five Percent on Behalf of Another Person.</w:t>
            </w:r>
          </w:p>
        </w:tc>
      </w:tr>
      <w:tr>
        <w:trPr>
          <w:trHeight w:val="339"/>
        </w:trPr>
        <w:tc>
          <w:tcPr>
            <w:tcW w:w="940" w:type="dxa"/>
            <w:vAlign w:val="bottom"/>
          </w:tcPr>
          <w:p>
            <w:pPr>
              <w:spacing w:after="0"/>
              <w:rPr>
                <w:sz w:val="24"/>
                <w:szCs w:val="24"/>
                <w:color w:val="auto"/>
              </w:rPr>
            </w:pPr>
          </w:p>
        </w:tc>
        <w:tc>
          <w:tcPr>
            <w:tcW w:w="10000" w:type="dxa"/>
            <w:vAlign w:val="bottom"/>
            <w:gridSpan w:val="3"/>
          </w:tcPr>
          <w:p>
            <w:pPr>
              <w:ind w:left="420"/>
              <w:spacing w:after="0"/>
              <w:rPr>
                <w:sz w:val="20"/>
                <w:szCs w:val="20"/>
                <w:color w:val="auto"/>
              </w:rPr>
            </w:pPr>
            <w:r>
              <w:rPr>
                <w:rFonts w:ascii="Times New Roman" w:cs="Times New Roman" w:eastAsia="Times New Roman" w:hAnsi="Times New Roman"/>
                <w:sz w:val="22"/>
                <w:szCs w:val="22"/>
                <w:color w:val="auto"/>
              </w:rPr>
              <w:t>The securities as to which this Schedule is filed are owned of record by clients of one or more investment</w:t>
            </w:r>
          </w:p>
        </w:tc>
      </w:tr>
      <w:tr>
        <w:trPr>
          <w:trHeight w:val="243"/>
        </w:trPr>
        <w:tc>
          <w:tcPr>
            <w:tcW w:w="940" w:type="dxa"/>
            <w:vAlign w:val="bottom"/>
          </w:tcPr>
          <w:p>
            <w:pPr>
              <w:spacing w:after="0"/>
              <w:rPr>
                <w:sz w:val="21"/>
                <w:szCs w:val="21"/>
                <w:color w:val="auto"/>
              </w:rPr>
            </w:pPr>
          </w:p>
        </w:tc>
        <w:tc>
          <w:tcPr>
            <w:tcW w:w="10000" w:type="dxa"/>
            <w:vAlign w:val="bottom"/>
            <w:gridSpan w:val="3"/>
          </w:tcPr>
          <w:p>
            <w:pPr>
              <w:ind w:left="420"/>
              <w:spacing w:after="0" w:line="243" w:lineRule="exact"/>
              <w:rPr>
                <w:sz w:val="20"/>
                <w:szCs w:val="20"/>
                <w:color w:val="auto"/>
              </w:rPr>
            </w:pPr>
            <w:r>
              <w:rPr>
                <w:rFonts w:ascii="Times New Roman" w:cs="Times New Roman" w:eastAsia="Times New Roman" w:hAnsi="Times New Roman"/>
                <w:sz w:val="22"/>
                <w:szCs w:val="22"/>
                <w:color w:val="auto"/>
              </w:rPr>
              <w:t>advisers identified in Exhibit A directly or indirectly owned by Wellington Management Group LLP. Those</w:t>
            </w:r>
          </w:p>
        </w:tc>
      </w:tr>
      <w:tr>
        <w:trPr>
          <w:trHeight w:val="243"/>
        </w:trPr>
        <w:tc>
          <w:tcPr>
            <w:tcW w:w="940" w:type="dxa"/>
            <w:vAlign w:val="bottom"/>
          </w:tcPr>
          <w:p>
            <w:pPr>
              <w:spacing w:after="0"/>
              <w:rPr>
                <w:sz w:val="21"/>
                <w:szCs w:val="21"/>
                <w:color w:val="auto"/>
              </w:rPr>
            </w:pPr>
          </w:p>
        </w:tc>
        <w:tc>
          <w:tcPr>
            <w:tcW w:w="10000" w:type="dxa"/>
            <w:vAlign w:val="bottom"/>
            <w:gridSpan w:val="3"/>
          </w:tcPr>
          <w:p>
            <w:pPr>
              <w:ind w:left="420"/>
              <w:spacing w:after="0" w:line="243" w:lineRule="exact"/>
              <w:rPr>
                <w:sz w:val="20"/>
                <w:szCs w:val="20"/>
                <w:color w:val="auto"/>
              </w:rPr>
            </w:pPr>
            <w:r>
              <w:rPr>
                <w:rFonts w:ascii="Times New Roman" w:cs="Times New Roman" w:eastAsia="Times New Roman" w:hAnsi="Times New Roman"/>
                <w:sz w:val="22"/>
                <w:szCs w:val="22"/>
                <w:color w:val="auto"/>
                <w:w w:val="98"/>
              </w:rPr>
              <w:t>clients have the right to receive, or the power to direct the receipt of, dividends from, or the proceeds from the</w:t>
            </w:r>
          </w:p>
        </w:tc>
      </w:tr>
      <w:tr>
        <w:trPr>
          <w:trHeight w:val="243"/>
        </w:trPr>
        <w:tc>
          <w:tcPr>
            <w:tcW w:w="940" w:type="dxa"/>
            <w:vAlign w:val="bottom"/>
          </w:tcPr>
          <w:p>
            <w:pPr>
              <w:spacing w:after="0"/>
              <w:rPr>
                <w:sz w:val="21"/>
                <w:szCs w:val="21"/>
                <w:color w:val="auto"/>
              </w:rPr>
            </w:pPr>
          </w:p>
        </w:tc>
        <w:tc>
          <w:tcPr>
            <w:tcW w:w="10000" w:type="dxa"/>
            <w:vAlign w:val="bottom"/>
            <w:gridSpan w:val="3"/>
          </w:tcPr>
          <w:p>
            <w:pPr>
              <w:ind w:left="420"/>
              <w:spacing w:after="0" w:line="243" w:lineRule="exact"/>
              <w:rPr>
                <w:sz w:val="20"/>
                <w:szCs w:val="20"/>
                <w:color w:val="auto"/>
              </w:rPr>
            </w:pPr>
            <w:r>
              <w:rPr>
                <w:rFonts w:ascii="Times New Roman" w:cs="Times New Roman" w:eastAsia="Times New Roman" w:hAnsi="Times New Roman"/>
                <w:sz w:val="22"/>
                <w:szCs w:val="22"/>
                <w:color w:val="auto"/>
              </w:rPr>
              <w:t>sale of, such securities. No such client is known to have such right or power with respect to more than five</w:t>
            </w:r>
          </w:p>
        </w:tc>
      </w:tr>
      <w:tr>
        <w:trPr>
          <w:trHeight w:val="282"/>
        </w:trPr>
        <w:tc>
          <w:tcPr>
            <w:tcW w:w="940" w:type="dxa"/>
            <w:vAlign w:val="bottom"/>
          </w:tcPr>
          <w:p>
            <w:pPr>
              <w:spacing w:after="0"/>
              <w:rPr>
                <w:sz w:val="24"/>
                <w:szCs w:val="24"/>
                <w:color w:val="auto"/>
              </w:rPr>
            </w:pPr>
          </w:p>
        </w:tc>
        <w:tc>
          <w:tcPr>
            <w:tcW w:w="10000" w:type="dxa"/>
            <w:vAlign w:val="bottom"/>
            <w:gridSpan w:val="3"/>
          </w:tcPr>
          <w:p>
            <w:pPr>
              <w:ind w:left="420"/>
              <w:spacing w:after="0"/>
              <w:rPr>
                <w:sz w:val="20"/>
                <w:szCs w:val="20"/>
                <w:color w:val="auto"/>
              </w:rPr>
            </w:pPr>
            <w:r>
              <w:rPr>
                <w:rFonts w:ascii="Times New Roman" w:cs="Times New Roman" w:eastAsia="Times New Roman" w:hAnsi="Times New Roman"/>
                <w:sz w:val="22"/>
                <w:szCs w:val="22"/>
                <w:color w:val="auto"/>
              </w:rPr>
              <w:t>percent of this class of securities, except as follows:</w:t>
            </w:r>
          </w:p>
        </w:tc>
      </w:tr>
      <w:tr>
        <w:trPr>
          <w:trHeight w:val="486"/>
        </w:trPr>
        <w:tc>
          <w:tcPr>
            <w:tcW w:w="940" w:type="dxa"/>
            <w:vAlign w:val="bottom"/>
          </w:tcPr>
          <w:p>
            <w:pPr>
              <w:spacing w:after="0"/>
              <w:rPr>
                <w:sz w:val="24"/>
                <w:szCs w:val="24"/>
                <w:color w:val="auto"/>
              </w:rPr>
            </w:pPr>
          </w:p>
        </w:tc>
        <w:tc>
          <w:tcPr>
            <w:tcW w:w="10000" w:type="dxa"/>
            <w:vAlign w:val="bottom"/>
            <w:gridSpan w:val="3"/>
          </w:tcPr>
          <w:p>
            <w:pPr>
              <w:ind w:left="420"/>
              <w:spacing w:after="0"/>
              <w:rPr>
                <w:sz w:val="20"/>
                <w:szCs w:val="20"/>
                <w:color w:val="auto"/>
              </w:rPr>
            </w:pPr>
            <w:r>
              <w:rPr>
                <w:rFonts w:ascii="Times New Roman" w:cs="Times New Roman" w:eastAsia="Times New Roman" w:hAnsi="Times New Roman"/>
                <w:sz w:val="22"/>
                <w:szCs w:val="22"/>
                <w:color w:val="auto"/>
              </w:rPr>
              <w:t>Not Applicable.</w:t>
            </w:r>
          </w:p>
        </w:tc>
      </w:tr>
      <w:tr>
        <w:trPr>
          <w:trHeight w:val="335"/>
        </w:trPr>
        <w:tc>
          <w:tcPr>
            <w:tcW w:w="940" w:type="dxa"/>
            <w:vAlign w:val="bottom"/>
          </w:tcPr>
          <w:p>
            <w:pPr>
              <w:spacing w:after="0"/>
              <w:rPr>
                <w:sz w:val="20"/>
                <w:szCs w:val="20"/>
                <w:color w:val="auto"/>
              </w:rPr>
            </w:pPr>
            <w:r>
              <w:rPr>
                <w:rFonts w:ascii="Times New Roman" w:cs="Times New Roman" w:eastAsia="Times New Roman" w:hAnsi="Times New Roman"/>
                <w:sz w:val="22"/>
                <w:szCs w:val="22"/>
                <w:b w:val="1"/>
                <w:bCs w:val="1"/>
                <w:color w:val="auto"/>
              </w:rPr>
              <w:t>Item 7.</w:t>
            </w:r>
          </w:p>
        </w:tc>
        <w:tc>
          <w:tcPr>
            <w:tcW w:w="10000" w:type="dxa"/>
            <w:vAlign w:val="bottom"/>
            <w:gridSpan w:val="3"/>
          </w:tcPr>
          <w:p>
            <w:pPr>
              <w:ind w:left="420"/>
              <w:spacing w:after="0"/>
              <w:rPr>
                <w:sz w:val="20"/>
                <w:szCs w:val="20"/>
                <w:color w:val="auto"/>
              </w:rPr>
            </w:pPr>
            <w:r>
              <w:rPr>
                <w:rFonts w:ascii="Times New Roman" w:cs="Times New Roman" w:eastAsia="Times New Roman" w:hAnsi="Times New Roman"/>
                <w:sz w:val="22"/>
                <w:szCs w:val="22"/>
                <w:b w:val="1"/>
                <w:bCs w:val="1"/>
                <w:color w:val="auto"/>
                <w:w w:val="99"/>
              </w:rPr>
              <w:t>Identification and Classification of the Subsidiary Which Acquired the Security Being Reported on by</w:t>
            </w:r>
          </w:p>
        </w:tc>
      </w:tr>
      <w:tr>
        <w:trPr>
          <w:trHeight w:val="286"/>
        </w:trPr>
        <w:tc>
          <w:tcPr>
            <w:tcW w:w="940" w:type="dxa"/>
            <w:vAlign w:val="bottom"/>
          </w:tcPr>
          <w:p>
            <w:pPr>
              <w:spacing w:after="0"/>
              <w:rPr>
                <w:sz w:val="24"/>
                <w:szCs w:val="24"/>
                <w:color w:val="auto"/>
              </w:rPr>
            </w:pPr>
          </w:p>
        </w:tc>
        <w:tc>
          <w:tcPr>
            <w:tcW w:w="10000" w:type="dxa"/>
            <w:vAlign w:val="bottom"/>
            <w:gridSpan w:val="3"/>
          </w:tcPr>
          <w:p>
            <w:pPr>
              <w:ind w:left="420"/>
              <w:spacing w:after="0"/>
              <w:rPr>
                <w:sz w:val="20"/>
                <w:szCs w:val="20"/>
                <w:color w:val="auto"/>
              </w:rPr>
            </w:pPr>
            <w:r>
              <w:rPr>
                <w:rFonts w:ascii="Times New Roman" w:cs="Times New Roman" w:eastAsia="Times New Roman" w:hAnsi="Times New Roman"/>
                <w:sz w:val="22"/>
                <w:szCs w:val="22"/>
                <w:b w:val="1"/>
                <w:bCs w:val="1"/>
                <w:color w:val="auto"/>
              </w:rPr>
              <w:t>the Parent Holding Company.</w:t>
            </w:r>
          </w:p>
        </w:tc>
      </w:tr>
      <w:tr>
        <w:trPr>
          <w:trHeight w:val="621"/>
        </w:trPr>
        <w:tc>
          <w:tcPr>
            <w:tcW w:w="940" w:type="dxa"/>
            <w:vAlign w:val="bottom"/>
          </w:tcPr>
          <w:p>
            <w:pPr>
              <w:spacing w:after="0"/>
              <w:rPr>
                <w:sz w:val="24"/>
                <w:szCs w:val="24"/>
                <w:color w:val="auto"/>
              </w:rPr>
            </w:pPr>
          </w:p>
        </w:tc>
        <w:tc>
          <w:tcPr>
            <w:tcW w:w="10000" w:type="dxa"/>
            <w:vAlign w:val="bottom"/>
            <w:gridSpan w:val="3"/>
          </w:tcPr>
          <w:p>
            <w:pPr>
              <w:ind w:left="420"/>
              <w:spacing w:after="0"/>
              <w:rPr>
                <w:sz w:val="20"/>
                <w:szCs w:val="20"/>
                <w:color w:val="auto"/>
              </w:rPr>
            </w:pPr>
            <w:r>
              <w:rPr>
                <w:rFonts w:ascii="Times New Roman" w:cs="Times New Roman" w:eastAsia="Times New Roman" w:hAnsi="Times New Roman"/>
                <w:sz w:val="22"/>
                <w:szCs w:val="22"/>
                <w:color w:val="auto"/>
              </w:rPr>
              <w:t>See attached Exhibit A.</w:t>
            </w:r>
          </w:p>
        </w:tc>
      </w:tr>
      <w:tr>
        <w:trPr>
          <w:trHeight w:val="378"/>
        </w:trPr>
        <w:tc>
          <w:tcPr>
            <w:tcW w:w="940" w:type="dxa"/>
            <w:vAlign w:val="bottom"/>
          </w:tcPr>
          <w:p>
            <w:pPr>
              <w:spacing w:after="0"/>
              <w:rPr>
                <w:sz w:val="20"/>
                <w:szCs w:val="20"/>
                <w:color w:val="auto"/>
              </w:rPr>
            </w:pPr>
            <w:r>
              <w:rPr>
                <w:rFonts w:ascii="Times New Roman" w:cs="Times New Roman" w:eastAsia="Times New Roman" w:hAnsi="Times New Roman"/>
                <w:sz w:val="22"/>
                <w:szCs w:val="22"/>
                <w:b w:val="1"/>
                <w:bCs w:val="1"/>
                <w:color w:val="auto"/>
              </w:rPr>
              <w:t>Item 8.</w:t>
            </w:r>
          </w:p>
        </w:tc>
        <w:tc>
          <w:tcPr>
            <w:tcW w:w="10000" w:type="dxa"/>
            <w:vAlign w:val="bottom"/>
            <w:gridSpan w:val="3"/>
          </w:tcPr>
          <w:p>
            <w:pPr>
              <w:ind w:left="420"/>
              <w:spacing w:after="0"/>
              <w:rPr>
                <w:sz w:val="20"/>
                <w:szCs w:val="20"/>
                <w:color w:val="auto"/>
              </w:rPr>
            </w:pPr>
            <w:r>
              <w:rPr>
                <w:rFonts w:ascii="Times New Roman" w:cs="Times New Roman" w:eastAsia="Times New Roman" w:hAnsi="Times New Roman"/>
                <w:sz w:val="22"/>
                <w:szCs w:val="22"/>
                <w:b w:val="1"/>
                <w:bCs w:val="1"/>
                <w:color w:val="auto"/>
              </w:rPr>
              <w:t>Identification and Classification of Members of the Group.</w:t>
            </w:r>
          </w:p>
        </w:tc>
      </w:tr>
      <w:tr>
        <w:trPr>
          <w:trHeight w:val="486"/>
        </w:trPr>
        <w:tc>
          <w:tcPr>
            <w:tcW w:w="940" w:type="dxa"/>
            <w:vAlign w:val="bottom"/>
          </w:tcPr>
          <w:p>
            <w:pPr>
              <w:spacing w:after="0"/>
              <w:rPr>
                <w:sz w:val="24"/>
                <w:szCs w:val="24"/>
                <w:color w:val="auto"/>
              </w:rPr>
            </w:pPr>
          </w:p>
        </w:tc>
        <w:tc>
          <w:tcPr>
            <w:tcW w:w="10000" w:type="dxa"/>
            <w:vAlign w:val="bottom"/>
            <w:gridSpan w:val="3"/>
          </w:tcPr>
          <w:p>
            <w:pPr>
              <w:ind w:left="420"/>
              <w:spacing w:after="0"/>
              <w:rPr>
                <w:sz w:val="20"/>
                <w:szCs w:val="20"/>
                <w:color w:val="auto"/>
              </w:rPr>
            </w:pPr>
            <w:r>
              <w:rPr>
                <w:rFonts w:ascii="Times New Roman" w:cs="Times New Roman" w:eastAsia="Times New Roman" w:hAnsi="Times New Roman"/>
                <w:sz w:val="22"/>
                <w:szCs w:val="22"/>
                <w:color w:val="auto"/>
              </w:rPr>
              <w:t>Not Applicable.</w:t>
            </w:r>
          </w:p>
        </w:tc>
      </w:tr>
      <w:tr>
        <w:trPr>
          <w:trHeight w:val="378"/>
        </w:trPr>
        <w:tc>
          <w:tcPr>
            <w:tcW w:w="940" w:type="dxa"/>
            <w:vAlign w:val="bottom"/>
          </w:tcPr>
          <w:p>
            <w:pPr>
              <w:spacing w:after="0"/>
              <w:rPr>
                <w:sz w:val="20"/>
                <w:szCs w:val="20"/>
                <w:color w:val="auto"/>
              </w:rPr>
            </w:pPr>
            <w:r>
              <w:rPr>
                <w:rFonts w:ascii="Times New Roman" w:cs="Times New Roman" w:eastAsia="Times New Roman" w:hAnsi="Times New Roman"/>
                <w:sz w:val="22"/>
                <w:szCs w:val="22"/>
                <w:b w:val="1"/>
                <w:bCs w:val="1"/>
                <w:color w:val="auto"/>
              </w:rPr>
              <w:t>Item 9.</w:t>
            </w:r>
          </w:p>
        </w:tc>
        <w:tc>
          <w:tcPr>
            <w:tcW w:w="10000" w:type="dxa"/>
            <w:vAlign w:val="bottom"/>
            <w:gridSpan w:val="3"/>
          </w:tcPr>
          <w:p>
            <w:pPr>
              <w:ind w:left="420"/>
              <w:spacing w:after="0"/>
              <w:rPr>
                <w:sz w:val="20"/>
                <w:szCs w:val="20"/>
                <w:color w:val="auto"/>
              </w:rPr>
            </w:pPr>
            <w:r>
              <w:rPr>
                <w:rFonts w:ascii="Times New Roman" w:cs="Times New Roman" w:eastAsia="Times New Roman" w:hAnsi="Times New Roman"/>
                <w:sz w:val="22"/>
                <w:szCs w:val="22"/>
                <w:b w:val="1"/>
                <w:bCs w:val="1"/>
                <w:color w:val="auto"/>
              </w:rPr>
              <w:t>Notice of Dissolution of Group.</w:t>
            </w:r>
          </w:p>
        </w:tc>
      </w:tr>
      <w:tr>
        <w:trPr>
          <w:trHeight w:val="486"/>
        </w:trPr>
        <w:tc>
          <w:tcPr>
            <w:tcW w:w="940" w:type="dxa"/>
            <w:vAlign w:val="bottom"/>
          </w:tcPr>
          <w:p>
            <w:pPr>
              <w:spacing w:after="0"/>
              <w:rPr>
                <w:sz w:val="24"/>
                <w:szCs w:val="24"/>
                <w:color w:val="auto"/>
              </w:rPr>
            </w:pPr>
          </w:p>
        </w:tc>
        <w:tc>
          <w:tcPr>
            <w:tcW w:w="10000" w:type="dxa"/>
            <w:vAlign w:val="bottom"/>
            <w:gridSpan w:val="3"/>
          </w:tcPr>
          <w:p>
            <w:pPr>
              <w:ind w:left="420"/>
              <w:spacing w:after="0"/>
              <w:rPr>
                <w:sz w:val="20"/>
                <w:szCs w:val="20"/>
                <w:color w:val="auto"/>
              </w:rPr>
            </w:pPr>
            <w:r>
              <w:rPr>
                <w:rFonts w:ascii="Times New Roman" w:cs="Times New Roman" w:eastAsia="Times New Roman" w:hAnsi="Times New Roman"/>
                <w:sz w:val="22"/>
                <w:szCs w:val="22"/>
                <w:color w:val="auto"/>
              </w:rPr>
              <w:t>Not Applicable.</w:t>
            </w:r>
          </w:p>
        </w:tc>
      </w:tr>
      <w:tr>
        <w:trPr>
          <w:trHeight w:val="378"/>
        </w:trPr>
        <w:tc>
          <w:tcPr>
            <w:tcW w:w="940" w:type="dxa"/>
            <w:vAlign w:val="bottom"/>
          </w:tcPr>
          <w:p>
            <w:pPr>
              <w:spacing w:after="0"/>
              <w:rPr>
                <w:sz w:val="20"/>
                <w:szCs w:val="20"/>
                <w:color w:val="auto"/>
              </w:rPr>
            </w:pPr>
            <w:r>
              <w:rPr>
                <w:rFonts w:ascii="Times New Roman" w:cs="Times New Roman" w:eastAsia="Times New Roman" w:hAnsi="Times New Roman"/>
                <w:sz w:val="22"/>
                <w:szCs w:val="22"/>
                <w:b w:val="1"/>
                <w:bCs w:val="1"/>
                <w:color w:val="auto"/>
              </w:rPr>
              <w:t>Item 10.</w:t>
            </w:r>
          </w:p>
        </w:tc>
        <w:tc>
          <w:tcPr>
            <w:tcW w:w="10000" w:type="dxa"/>
            <w:vAlign w:val="bottom"/>
            <w:gridSpan w:val="3"/>
          </w:tcPr>
          <w:p>
            <w:pPr>
              <w:ind w:left="420"/>
              <w:spacing w:after="0"/>
              <w:rPr>
                <w:sz w:val="20"/>
                <w:szCs w:val="20"/>
                <w:color w:val="auto"/>
              </w:rPr>
            </w:pPr>
            <w:r>
              <w:rPr>
                <w:rFonts w:ascii="Times New Roman" w:cs="Times New Roman" w:eastAsia="Times New Roman" w:hAnsi="Times New Roman"/>
                <w:sz w:val="22"/>
                <w:szCs w:val="22"/>
                <w:b w:val="1"/>
                <w:bCs w:val="1"/>
                <w:color w:val="auto"/>
              </w:rPr>
              <w:t>Certification.</w:t>
            </w:r>
          </w:p>
        </w:tc>
      </w:tr>
      <w:tr>
        <w:trPr>
          <w:trHeight w:val="447"/>
        </w:trPr>
        <w:tc>
          <w:tcPr>
            <w:tcW w:w="940" w:type="dxa"/>
            <w:vAlign w:val="bottom"/>
          </w:tcPr>
          <w:p>
            <w:pPr>
              <w:spacing w:after="0"/>
              <w:rPr>
                <w:sz w:val="24"/>
                <w:szCs w:val="24"/>
                <w:color w:val="auto"/>
              </w:rPr>
            </w:pPr>
          </w:p>
        </w:tc>
        <w:tc>
          <w:tcPr>
            <w:tcW w:w="10000" w:type="dxa"/>
            <w:vAlign w:val="bottom"/>
            <w:gridSpan w:val="3"/>
          </w:tcPr>
          <w:p>
            <w:pPr>
              <w:ind w:left="420"/>
              <w:spacing w:after="0"/>
              <w:rPr>
                <w:sz w:val="20"/>
                <w:szCs w:val="20"/>
                <w:color w:val="auto"/>
              </w:rPr>
            </w:pPr>
            <w:r>
              <w:rPr>
                <w:rFonts w:ascii="Times New Roman" w:cs="Times New Roman" w:eastAsia="Times New Roman" w:hAnsi="Times New Roman"/>
                <w:sz w:val="22"/>
                <w:szCs w:val="22"/>
                <w:color w:val="auto"/>
              </w:rPr>
              <w:t>By signing below I certify that, to the best of my knowledge and belief, the securities referred to above were</w:t>
            </w:r>
          </w:p>
        </w:tc>
      </w:tr>
      <w:tr>
        <w:trPr>
          <w:trHeight w:val="243"/>
        </w:trPr>
        <w:tc>
          <w:tcPr>
            <w:tcW w:w="940" w:type="dxa"/>
            <w:vAlign w:val="bottom"/>
          </w:tcPr>
          <w:p>
            <w:pPr>
              <w:spacing w:after="0"/>
              <w:rPr>
                <w:sz w:val="21"/>
                <w:szCs w:val="21"/>
                <w:color w:val="auto"/>
              </w:rPr>
            </w:pPr>
          </w:p>
        </w:tc>
        <w:tc>
          <w:tcPr>
            <w:tcW w:w="10000" w:type="dxa"/>
            <w:vAlign w:val="bottom"/>
            <w:gridSpan w:val="3"/>
          </w:tcPr>
          <w:p>
            <w:pPr>
              <w:ind w:left="420"/>
              <w:spacing w:after="0" w:line="243" w:lineRule="exact"/>
              <w:rPr>
                <w:sz w:val="20"/>
                <w:szCs w:val="20"/>
                <w:color w:val="auto"/>
              </w:rPr>
            </w:pPr>
            <w:r>
              <w:rPr>
                <w:rFonts w:ascii="Times New Roman" w:cs="Times New Roman" w:eastAsia="Times New Roman" w:hAnsi="Times New Roman"/>
                <w:sz w:val="22"/>
                <w:szCs w:val="22"/>
                <w:color w:val="auto"/>
                <w:w w:val="97"/>
              </w:rPr>
              <w:t>acquired and are held in the ordinary course of business and were not acquired and are not held for the purpose</w:t>
            </w:r>
          </w:p>
        </w:tc>
      </w:tr>
      <w:tr>
        <w:trPr>
          <w:trHeight w:val="243"/>
        </w:trPr>
        <w:tc>
          <w:tcPr>
            <w:tcW w:w="940" w:type="dxa"/>
            <w:vAlign w:val="bottom"/>
          </w:tcPr>
          <w:p>
            <w:pPr>
              <w:spacing w:after="0"/>
              <w:rPr>
                <w:sz w:val="21"/>
                <w:szCs w:val="21"/>
                <w:color w:val="auto"/>
              </w:rPr>
            </w:pPr>
          </w:p>
        </w:tc>
        <w:tc>
          <w:tcPr>
            <w:tcW w:w="10000" w:type="dxa"/>
            <w:vAlign w:val="bottom"/>
            <w:gridSpan w:val="3"/>
          </w:tcPr>
          <w:p>
            <w:pPr>
              <w:ind w:left="420"/>
              <w:spacing w:after="0" w:line="243" w:lineRule="exact"/>
              <w:rPr>
                <w:sz w:val="20"/>
                <w:szCs w:val="20"/>
                <w:color w:val="auto"/>
              </w:rPr>
            </w:pPr>
            <w:r>
              <w:rPr>
                <w:rFonts w:ascii="Times New Roman" w:cs="Times New Roman" w:eastAsia="Times New Roman" w:hAnsi="Times New Roman"/>
                <w:sz w:val="22"/>
                <w:szCs w:val="22"/>
                <w:color w:val="auto"/>
                <w:w w:val="98"/>
              </w:rPr>
              <w:t>of or with the effect of changing or influencing the control of the issuer of the securities and were not acquired</w:t>
            </w:r>
          </w:p>
        </w:tc>
      </w:tr>
      <w:tr>
        <w:trPr>
          <w:trHeight w:val="282"/>
        </w:trPr>
        <w:tc>
          <w:tcPr>
            <w:tcW w:w="940" w:type="dxa"/>
            <w:vAlign w:val="bottom"/>
          </w:tcPr>
          <w:p>
            <w:pPr>
              <w:spacing w:after="0"/>
              <w:rPr>
                <w:sz w:val="24"/>
                <w:szCs w:val="24"/>
                <w:color w:val="auto"/>
              </w:rPr>
            </w:pPr>
          </w:p>
        </w:tc>
        <w:tc>
          <w:tcPr>
            <w:tcW w:w="10000" w:type="dxa"/>
            <w:vAlign w:val="bottom"/>
            <w:gridSpan w:val="3"/>
          </w:tcPr>
          <w:p>
            <w:pPr>
              <w:ind w:left="420"/>
              <w:spacing w:after="0"/>
              <w:rPr>
                <w:sz w:val="20"/>
                <w:szCs w:val="20"/>
                <w:color w:val="auto"/>
              </w:rPr>
            </w:pPr>
            <w:r>
              <w:rPr>
                <w:rFonts w:ascii="Times New Roman" w:cs="Times New Roman" w:eastAsia="Times New Roman" w:hAnsi="Times New Roman"/>
                <w:sz w:val="22"/>
                <w:szCs w:val="22"/>
                <w:color w:val="auto"/>
              </w:rPr>
              <w:t>and are not held in connection with or as a participant in any transaction having that purpose or effect.</w:t>
            </w:r>
          </w:p>
        </w:tc>
      </w:tr>
      <w:tr>
        <w:trPr>
          <w:trHeight w:val="608"/>
        </w:trPr>
        <w:tc>
          <w:tcPr>
            <w:tcW w:w="940" w:type="dxa"/>
            <w:vAlign w:val="bottom"/>
          </w:tcPr>
          <w:p>
            <w:pPr>
              <w:spacing w:after="0"/>
              <w:rPr>
                <w:sz w:val="24"/>
                <w:szCs w:val="24"/>
                <w:color w:val="auto"/>
              </w:rPr>
            </w:pPr>
          </w:p>
        </w:tc>
        <w:tc>
          <w:tcPr>
            <w:tcW w:w="3900" w:type="dxa"/>
            <w:vAlign w:val="bottom"/>
          </w:tcPr>
          <w:p>
            <w:pPr>
              <w:spacing w:after="0"/>
              <w:rPr>
                <w:sz w:val="24"/>
                <w:szCs w:val="24"/>
                <w:color w:val="auto"/>
              </w:rPr>
            </w:pPr>
          </w:p>
        </w:tc>
        <w:tc>
          <w:tcPr>
            <w:tcW w:w="6100" w:type="dxa"/>
            <w:vAlign w:val="bottom"/>
            <w:gridSpan w:val="2"/>
          </w:tcPr>
          <w:p>
            <w:pPr>
              <w:ind w:left="80"/>
              <w:spacing w:after="0"/>
              <w:rPr>
                <w:sz w:val="20"/>
                <w:szCs w:val="20"/>
                <w:color w:val="auto"/>
              </w:rPr>
            </w:pPr>
            <w:r>
              <w:rPr>
                <w:rFonts w:ascii="Times New Roman" w:cs="Times New Roman" w:eastAsia="Times New Roman" w:hAnsi="Times New Roman"/>
                <w:sz w:val="22"/>
                <w:szCs w:val="22"/>
                <w:b w:val="1"/>
                <w:bCs w:val="1"/>
                <w:color w:val="auto"/>
              </w:rPr>
              <w:t>SIGNATURE</w:t>
            </w:r>
          </w:p>
        </w:tc>
      </w:tr>
      <w:tr>
        <w:trPr>
          <w:trHeight w:val="541"/>
        </w:trPr>
        <w:tc>
          <w:tcPr>
            <w:tcW w:w="940" w:type="dxa"/>
            <w:vAlign w:val="bottom"/>
          </w:tcPr>
          <w:p>
            <w:pPr>
              <w:spacing w:after="0"/>
              <w:rPr>
                <w:sz w:val="24"/>
                <w:szCs w:val="24"/>
                <w:color w:val="auto"/>
              </w:rPr>
            </w:pPr>
          </w:p>
        </w:tc>
        <w:tc>
          <w:tcPr>
            <w:tcW w:w="10000" w:type="dxa"/>
            <w:vAlign w:val="bottom"/>
            <w:gridSpan w:val="3"/>
          </w:tcPr>
          <w:p>
            <w:pPr>
              <w:ind w:left="160"/>
              <w:spacing w:after="0"/>
              <w:rPr>
                <w:sz w:val="20"/>
                <w:szCs w:val="20"/>
                <w:color w:val="auto"/>
              </w:rPr>
            </w:pPr>
            <w:r>
              <w:rPr>
                <w:rFonts w:ascii="Times New Roman" w:cs="Times New Roman" w:eastAsia="Times New Roman" w:hAnsi="Times New Roman"/>
                <w:sz w:val="22"/>
                <w:szCs w:val="22"/>
                <w:color w:val="auto"/>
              </w:rPr>
              <w:t>After reasonable inquiry and to the best of my knowledge and belief, I certify that the information set</w:t>
            </w:r>
          </w:p>
        </w:tc>
      </w:tr>
      <w:tr>
        <w:trPr>
          <w:trHeight w:val="282"/>
        </w:trPr>
        <w:tc>
          <w:tcPr>
            <w:tcW w:w="940" w:type="dxa"/>
            <w:vAlign w:val="bottom"/>
          </w:tcPr>
          <w:p>
            <w:pPr>
              <w:spacing w:after="0"/>
              <w:rPr>
                <w:sz w:val="24"/>
                <w:szCs w:val="24"/>
                <w:color w:val="auto"/>
              </w:rPr>
            </w:pPr>
          </w:p>
        </w:tc>
        <w:tc>
          <w:tcPr>
            <w:tcW w:w="10000" w:type="dxa"/>
            <w:vAlign w:val="bottom"/>
            <w:gridSpan w:val="3"/>
          </w:tcPr>
          <w:p>
            <w:pPr>
              <w:ind w:left="160"/>
              <w:spacing w:after="0"/>
              <w:rPr>
                <w:sz w:val="20"/>
                <w:szCs w:val="20"/>
                <w:color w:val="auto"/>
              </w:rPr>
            </w:pPr>
            <w:r>
              <w:rPr>
                <w:rFonts w:ascii="Times New Roman" w:cs="Times New Roman" w:eastAsia="Times New Roman" w:hAnsi="Times New Roman"/>
                <w:sz w:val="22"/>
                <w:szCs w:val="22"/>
                <w:color w:val="auto"/>
              </w:rPr>
              <w:t>forth in this statement is true, complete and correct.</w:t>
            </w:r>
          </w:p>
        </w:tc>
      </w:tr>
      <w:tr>
        <w:trPr>
          <w:trHeight w:val="567"/>
        </w:trPr>
        <w:tc>
          <w:tcPr>
            <w:tcW w:w="940" w:type="dxa"/>
            <w:vAlign w:val="bottom"/>
          </w:tcPr>
          <w:p>
            <w:pPr>
              <w:spacing w:after="0"/>
              <w:rPr>
                <w:sz w:val="24"/>
                <w:szCs w:val="24"/>
                <w:color w:val="auto"/>
              </w:rPr>
            </w:pPr>
          </w:p>
        </w:tc>
        <w:tc>
          <w:tcPr>
            <w:tcW w:w="10000" w:type="dxa"/>
            <w:vAlign w:val="bottom"/>
            <w:gridSpan w:val="3"/>
          </w:tcPr>
          <w:p>
            <w:pPr>
              <w:ind w:left="3540"/>
              <w:spacing w:after="0"/>
              <w:rPr>
                <w:sz w:val="20"/>
                <w:szCs w:val="20"/>
                <w:color w:val="auto"/>
              </w:rPr>
            </w:pPr>
            <w:r>
              <w:rPr>
                <w:rFonts w:ascii="Times New Roman" w:cs="Times New Roman" w:eastAsia="Times New Roman" w:hAnsi="Times New Roman"/>
                <w:sz w:val="22"/>
                <w:szCs w:val="22"/>
                <w:color w:val="auto"/>
              </w:rPr>
              <w:t>By: Wellington Management Group LLP</w:t>
            </w:r>
          </w:p>
        </w:tc>
      </w:tr>
      <w:tr>
        <w:trPr>
          <w:trHeight w:val="244"/>
        </w:trPr>
        <w:tc>
          <w:tcPr>
            <w:tcW w:w="940" w:type="dxa"/>
            <w:vAlign w:val="bottom"/>
          </w:tcPr>
          <w:p>
            <w:pPr>
              <w:spacing w:after="0"/>
              <w:rPr>
                <w:sz w:val="21"/>
                <w:szCs w:val="21"/>
                <w:color w:val="auto"/>
              </w:rPr>
            </w:pPr>
          </w:p>
        </w:tc>
        <w:tc>
          <w:tcPr>
            <w:tcW w:w="10000" w:type="dxa"/>
            <w:vAlign w:val="bottom"/>
            <w:gridSpan w:val="3"/>
          </w:tcPr>
          <w:p>
            <w:pPr>
              <w:ind w:left="3540"/>
              <w:spacing w:after="0" w:line="244" w:lineRule="exact"/>
              <w:rPr>
                <w:sz w:val="20"/>
                <w:szCs w:val="20"/>
                <w:color w:val="auto"/>
              </w:rPr>
            </w:pPr>
            <w:r>
              <w:rPr>
                <w:rFonts w:ascii="Times New Roman" w:cs="Times New Roman" w:eastAsia="Times New Roman" w:hAnsi="Times New Roman"/>
                <w:sz w:val="22"/>
                <w:szCs w:val="22"/>
                <w:color w:val="auto"/>
              </w:rPr>
              <w:t>By: /s/ Taisia Lowe</w:t>
            </w:r>
          </w:p>
        </w:tc>
      </w:tr>
      <w:tr>
        <w:trPr>
          <w:trHeight w:val="20"/>
        </w:trPr>
        <w:tc>
          <w:tcPr>
            <w:tcW w:w="940" w:type="dxa"/>
            <w:vAlign w:val="bottom"/>
          </w:tcPr>
          <w:p>
            <w:pPr>
              <w:spacing w:after="0" w:line="20" w:lineRule="exact"/>
              <w:rPr>
                <w:sz w:val="1"/>
                <w:szCs w:val="1"/>
                <w:color w:val="auto"/>
              </w:rPr>
            </w:pPr>
          </w:p>
        </w:tc>
        <w:tc>
          <w:tcPr>
            <w:tcW w:w="3900" w:type="dxa"/>
            <w:vAlign w:val="bottom"/>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4780" w:type="dxa"/>
            <w:vAlign w:val="bottom"/>
            <w:tcBorders>
              <w:left w:val="single" w:sz="8" w:color="auto"/>
            </w:tcBorders>
          </w:tcPr>
          <w:p>
            <w:pPr>
              <w:spacing w:after="0" w:line="20" w:lineRule="exact"/>
              <w:rPr>
                <w:sz w:val="1"/>
                <w:szCs w:val="1"/>
                <w:color w:val="auto"/>
              </w:rPr>
            </w:pPr>
          </w:p>
        </w:tc>
      </w:tr>
      <w:tr>
        <w:trPr>
          <w:trHeight w:val="330"/>
        </w:trPr>
        <w:tc>
          <w:tcPr>
            <w:tcW w:w="940" w:type="dxa"/>
            <w:vAlign w:val="bottom"/>
          </w:tcPr>
          <w:p>
            <w:pPr>
              <w:spacing w:after="0"/>
              <w:rPr>
                <w:sz w:val="24"/>
                <w:szCs w:val="24"/>
                <w:color w:val="auto"/>
              </w:rPr>
            </w:pPr>
          </w:p>
        </w:tc>
        <w:tc>
          <w:tcPr>
            <w:tcW w:w="10000" w:type="dxa"/>
            <w:vAlign w:val="bottom"/>
            <w:gridSpan w:val="3"/>
          </w:tcPr>
          <w:p>
            <w:pPr>
              <w:ind w:left="3540"/>
              <w:spacing w:after="0"/>
              <w:rPr>
                <w:sz w:val="20"/>
                <w:szCs w:val="20"/>
                <w:color w:val="auto"/>
              </w:rPr>
            </w:pPr>
            <w:r>
              <w:rPr>
                <w:rFonts w:ascii="Times New Roman" w:cs="Times New Roman" w:eastAsia="Times New Roman" w:hAnsi="Times New Roman"/>
                <w:sz w:val="22"/>
                <w:szCs w:val="22"/>
                <w:color w:val="auto"/>
              </w:rPr>
              <w:t>Name: Taisia Lowe</w:t>
            </w:r>
          </w:p>
        </w:tc>
      </w:tr>
      <w:tr>
        <w:trPr>
          <w:trHeight w:val="297"/>
        </w:trPr>
        <w:tc>
          <w:tcPr>
            <w:tcW w:w="940" w:type="dxa"/>
            <w:vAlign w:val="bottom"/>
          </w:tcPr>
          <w:p>
            <w:pPr>
              <w:spacing w:after="0"/>
              <w:rPr>
                <w:sz w:val="24"/>
                <w:szCs w:val="24"/>
                <w:color w:val="auto"/>
              </w:rPr>
            </w:pPr>
          </w:p>
        </w:tc>
        <w:tc>
          <w:tcPr>
            <w:tcW w:w="10000" w:type="dxa"/>
            <w:vAlign w:val="bottom"/>
            <w:gridSpan w:val="3"/>
          </w:tcPr>
          <w:p>
            <w:pPr>
              <w:ind w:left="3540"/>
              <w:spacing w:after="0"/>
              <w:rPr>
                <w:sz w:val="20"/>
                <w:szCs w:val="20"/>
                <w:color w:val="auto"/>
              </w:rPr>
            </w:pPr>
            <w:r>
              <w:rPr>
                <w:rFonts w:ascii="Times New Roman" w:cs="Times New Roman" w:eastAsia="Times New Roman" w:hAnsi="Times New Roman"/>
                <w:sz w:val="22"/>
                <w:szCs w:val="22"/>
                <w:color w:val="auto"/>
              </w:rPr>
              <w:t>Title: Regulatory Analyst</w:t>
            </w:r>
          </w:p>
        </w:tc>
      </w:tr>
      <w:tr>
        <w:trPr>
          <w:trHeight w:val="297"/>
        </w:trPr>
        <w:tc>
          <w:tcPr>
            <w:tcW w:w="940" w:type="dxa"/>
            <w:vAlign w:val="bottom"/>
          </w:tcPr>
          <w:p>
            <w:pPr>
              <w:spacing w:after="0"/>
              <w:rPr>
                <w:sz w:val="24"/>
                <w:szCs w:val="24"/>
                <w:color w:val="auto"/>
              </w:rPr>
            </w:pPr>
          </w:p>
        </w:tc>
        <w:tc>
          <w:tcPr>
            <w:tcW w:w="10000" w:type="dxa"/>
            <w:vAlign w:val="bottom"/>
            <w:gridSpan w:val="3"/>
          </w:tcPr>
          <w:p>
            <w:pPr>
              <w:ind w:left="3540"/>
              <w:spacing w:after="0"/>
              <w:rPr>
                <w:sz w:val="20"/>
                <w:szCs w:val="20"/>
                <w:color w:val="auto"/>
              </w:rPr>
            </w:pPr>
            <w:r>
              <w:rPr>
                <w:rFonts w:ascii="Times New Roman" w:cs="Times New Roman" w:eastAsia="Times New Roman" w:hAnsi="Times New Roman"/>
                <w:sz w:val="22"/>
                <w:szCs w:val="22"/>
                <w:color w:val="auto"/>
              </w:rPr>
              <w:t>Date: February 15, 2021</w:t>
            </w:r>
          </w:p>
        </w:tc>
      </w:tr>
      <w:tr>
        <w:trPr>
          <w:trHeight w:val="594"/>
        </w:trPr>
        <w:tc>
          <w:tcPr>
            <w:tcW w:w="940" w:type="dxa"/>
            <w:vAlign w:val="bottom"/>
          </w:tcPr>
          <w:p>
            <w:pPr>
              <w:spacing w:after="0"/>
              <w:rPr>
                <w:sz w:val="24"/>
                <w:szCs w:val="24"/>
                <w:color w:val="auto"/>
              </w:rPr>
            </w:pPr>
          </w:p>
        </w:tc>
        <w:tc>
          <w:tcPr>
            <w:tcW w:w="10000" w:type="dxa"/>
            <w:vAlign w:val="bottom"/>
            <w:gridSpan w:val="3"/>
          </w:tcPr>
          <w:p>
            <w:pPr>
              <w:ind w:left="3540"/>
              <w:spacing w:after="0"/>
              <w:rPr>
                <w:sz w:val="20"/>
                <w:szCs w:val="20"/>
                <w:color w:val="auto"/>
              </w:rPr>
            </w:pPr>
            <w:r>
              <w:rPr>
                <w:rFonts w:ascii="Times New Roman" w:cs="Times New Roman" w:eastAsia="Times New Roman" w:hAnsi="Times New Roman"/>
                <w:sz w:val="22"/>
                <w:szCs w:val="22"/>
                <w:color w:val="auto"/>
              </w:rPr>
              <w:t>By: Wellington Group Holdings LLP</w:t>
            </w:r>
          </w:p>
        </w:tc>
      </w:tr>
      <w:tr>
        <w:trPr>
          <w:trHeight w:val="244"/>
        </w:trPr>
        <w:tc>
          <w:tcPr>
            <w:tcW w:w="940" w:type="dxa"/>
            <w:vAlign w:val="bottom"/>
          </w:tcPr>
          <w:p>
            <w:pPr>
              <w:spacing w:after="0"/>
              <w:rPr>
                <w:sz w:val="21"/>
                <w:szCs w:val="21"/>
                <w:color w:val="auto"/>
              </w:rPr>
            </w:pPr>
          </w:p>
        </w:tc>
        <w:tc>
          <w:tcPr>
            <w:tcW w:w="10000" w:type="dxa"/>
            <w:vAlign w:val="bottom"/>
            <w:gridSpan w:val="3"/>
          </w:tcPr>
          <w:p>
            <w:pPr>
              <w:ind w:left="3540"/>
              <w:spacing w:after="0" w:line="244" w:lineRule="exact"/>
              <w:rPr>
                <w:sz w:val="20"/>
                <w:szCs w:val="20"/>
                <w:color w:val="auto"/>
              </w:rPr>
            </w:pPr>
            <w:r>
              <w:rPr>
                <w:rFonts w:ascii="Times New Roman" w:cs="Times New Roman" w:eastAsia="Times New Roman" w:hAnsi="Times New Roman"/>
                <w:sz w:val="22"/>
                <w:szCs w:val="22"/>
                <w:color w:val="auto"/>
              </w:rPr>
              <w:t>By: /s/ Taisia Lowe</w:t>
            </w:r>
          </w:p>
        </w:tc>
      </w:tr>
      <w:tr>
        <w:trPr>
          <w:trHeight w:val="20"/>
        </w:trPr>
        <w:tc>
          <w:tcPr>
            <w:tcW w:w="940" w:type="dxa"/>
            <w:vAlign w:val="bottom"/>
          </w:tcPr>
          <w:p>
            <w:pPr>
              <w:spacing w:after="0" w:line="20" w:lineRule="exact"/>
              <w:rPr>
                <w:sz w:val="1"/>
                <w:szCs w:val="1"/>
                <w:color w:val="auto"/>
              </w:rPr>
            </w:pPr>
          </w:p>
        </w:tc>
        <w:tc>
          <w:tcPr>
            <w:tcW w:w="3900" w:type="dxa"/>
            <w:vAlign w:val="bottom"/>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4780" w:type="dxa"/>
            <w:vAlign w:val="bottom"/>
          </w:tcPr>
          <w:p>
            <w:pPr>
              <w:spacing w:after="0" w:line="20" w:lineRule="exact"/>
              <w:rPr>
                <w:sz w:val="1"/>
                <w:szCs w:val="1"/>
                <w:color w:val="auto"/>
              </w:rPr>
            </w:pPr>
          </w:p>
        </w:tc>
      </w:tr>
      <w:tr>
        <w:trPr>
          <w:trHeight w:val="330"/>
        </w:trPr>
        <w:tc>
          <w:tcPr>
            <w:tcW w:w="940" w:type="dxa"/>
            <w:vAlign w:val="bottom"/>
          </w:tcPr>
          <w:p>
            <w:pPr>
              <w:spacing w:after="0"/>
              <w:rPr>
                <w:sz w:val="24"/>
                <w:szCs w:val="24"/>
                <w:color w:val="auto"/>
              </w:rPr>
            </w:pPr>
          </w:p>
        </w:tc>
        <w:tc>
          <w:tcPr>
            <w:tcW w:w="10000" w:type="dxa"/>
            <w:vAlign w:val="bottom"/>
            <w:gridSpan w:val="3"/>
          </w:tcPr>
          <w:p>
            <w:pPr>
              <w:ind w:left="3540"/>
              <w:spacing w:after="0"/>
              <w:rPr>
                <w:sz w:val="20"/>
                <w:szCs w:val="20"/>
                <w:color w:val="auto"/>
              </w:rPr>
            </w:pPr>
            <w:r>
              <w:rPr>
                <w:rFonts w:ascii="Times New Roman" w:cs="Times New Roman" w:eastAsia="Times New Roman" w:hAnsi="Times New Roman"/>
                <w:sz w:val="22"/>
                <w:szCs w:val="22"/>
                <w:color w:val="auto"/>
              </w:rPr>
              <w:t>Name: Taisia Lowe</w:t>
            </w:r>
          </w:p>
        </w:tc>
      </w:tr>
      <w:tr>
        <w:trPr>
          <w:trHeight w:val="297"/>
        </w:trPr>
        <w:tc>
          <w:tcPr>
            <w:tcW w:w="940" w:type="dxa"/>
            <w:vAlign w:val="bottom"/>
          </w:tcPr>
          <w:p>
            <w:pPr>
              <w:spacing w:after="0"/>
              <w:rPr>
                <w:sz w:val="24"/>
                <w:szCs w:val="24"/>
                <w:color w:val="auto"/>
              </w:rPr>
            </w:pPr>
          </w:p>
        </w:tc>
        <w:tc>
          <w:tcPr>
            <w:tcW w:w="10000" w:type="dxa"/>
            <w:vAlign w:val="bottom"/>
            <w:gridSpan w:val="3"/>
          </w:tcPr>
          <w:p>
            <w:pPr>
              <w:ind w:left="3540"/>
              <w:spacing w:after="0"/>
              <w:rPr>
                <w:sz w:val="20"/>
                <w:szCs w:val="20"/>
                <w:color w:val="auto"/>
              </w:rPr>
            </w:pPr>
            <w:r>
              <w:rPr>
                <w:rFonts w:ascii="Times New Roman" w:cs="Times New Roman" w:eastAsia="Times New Roman" w:hAnsi="Times New Roman"/>
                <w:sz w:val="22"/>
                <w:szCs w:val="22"/>
                <w:color w:val="auto"/>
              </w:rPr>
              <w:t>Title: Regulatory Analyst</w:t>
            </w:r>
          </w:p>
        </w:tc>
      </w:tr>
      <w:tr>
        <w:trPr>
          <w:trHeight w:val="297"/>
        </w:trPr>
        <w:tc>
          <w:tcPr>
            <w:tcW w:w="940" w:type="dxa"/>
            <w:vAlign w:val="bottom"/>
          </w:tcPr>
          <w:p>
            <w:pPr>
              <w:spacing w:after="0"/>
              <w:rPr>
                <w:sz w:val="24"/>
                <w:szCs w:val="24"/>
                <w:color w:val="auto"/>
              </w:rPr>
            </w:pPr>
          </w:p>
        </w:tc>
        <w:tc>
          <w:tcPr>
            <w:tcW w:w="10000" w:type="dxa"/>
            <w:vAlign w:val="bottom"/>
            <w:gridSpan w:val="3"/>
          </w:tcPr>
          <w:p>
            <w:pPr>
              <w:ind w:left="3540"/>
              <w:spacing w:after="0"/>
              <w:rPr>
                <w:sz w:val="20"/>
                <w:szCs w:val="20"/>
                <w:color w:val="auto"/>
              </w:rPr>
            </w:pPr>
            <w:r>
              <w:rPr>
                <w:rFonts w:ascii="Times New Roman" w:cs="Times New Roman" w:eastAsia="Times New Roman" w:hAnsi="Times New Roman"/>
                <w:sz w:val="22"/>
                <w:szCs w:val="22"/>
                <w:color w:val="auto"/>
              </w:rPr>
              <w:t>Date: February 15, 2021</w:t>
            </w:r>
          </w:p>
        </w:tc>
      </w:tr>
      <w:tr>
        <w:trPr>
          <w:trHeight w:val="594"/>
        </w:trPr>
        <w:tc>
          <w:tcPr>
            <w:tcW w:w="940" w:type="dxa"/>
            <w:vAlign w:val="bottom"/>
          </w:tcPr>
          <w:p>
            <w:pPr>
              <w:spacing w:after="0"/>
              <w:rPr>
                <w:sz w:val="24"/>
                <w:szCs w:val="24"/>
                <w:color w:val="auto"/>
              </w:rPr>
            </w:pPr>
          </w:p>
        </w:tc>
        <w:tc>
          <w:tcPr>
            <w:tcW w:w="10000" w:type="dxa"/>
            <w:vAlign w:val="bottom"/>
            <w:gridSpan w:val="3"/>
          </w:tcPr>
          <w:p>
            <w:pPr>
              <w:ind w:left="3540"/>
              <w:spacing w:after="0"/>
              <w:rPr>
                <w:sz w:val="20"/>
                <w:szCs w:val="20"/>
                <w:color w:val="auto"/>
              </w:rPr>
            </w:pPr>
            <w:r>
              <w:rPr>
                <w:rFonts w:ascii="Times New Roman" w:cs="Times New Roman" w:eastAsia="Times New Roman" w:hAnsi="Times New Roman"/>
                <w:sz w:val="22"/>
                <w:szCs w:val="22"/>
                <w:color w:val="auto"/>
              </w:rPr>
              <w:t>By: Wellington Investment Advisors Holdings LLP</w:t>
            </w:r>
          </w:p>
        </w:tc>
      </w:tr>
      <w:tr>
        <w:trPr>
          <w:trHeight w:val="244"/>
        </w:trPr>
        <w:tc>
          <w:tcPr>
            <w:tcW w:w="940" w:type="dxa"/>
            <w:vAlign w:val="bottom"/>
          </w:tcPr>
          <w:p>
            <w:pPr>
              <w:spacing w:after="0"/>
              <w:rPr>
                <w:sz w:val="21"/>
                <w:szCs w:val="21"/>
                <w:color w:val="auto"/>
              </w:rPr>
            </w:pPr>
          </w:p>
        </w:tc>
        <w:tc>
          <w:tcPr>
            <w:tcW w:w="10000" w:type="dxa"/>
            <w:vAlign w:val="bottom"/>
            <w:gridSpan w:val="3"/>
          </w:tcPr>
          <w:p>
            <w:pPr>
              <w:ind w:left="3540"/>
              <w:spacing w:after="0" w:line="244" w:lineRule="exact"/>
              <w:rPr>
                <w:sz w:val="20"/>
                <w:szCs w:val="20"/>
                <w:color w:val="auto"/>
              </w:rPr>
            </w:pPr>
            <w:r>
              <w:rPr>
                <w:rFonts w:ascii="Times New Roman" w:cs="Times New Roman" w:eastAsia="Times New Roman" w:hAnsi="Times New Roman"/>
                <w:sz w:val="22"/>
                <w:szCs w:val="22"/>
                <w:color w:val="auto"/>
              </w:rPr>
              <w:t>By: /s/ Taisia Lowe</w:t>
            </w:r>
          </w:p>
        </w:tc>
      </w:tr>
      <w:tr>
        <w:trPr>
          <w:trHeight w:val="20"/>
        </w:trPr>
        <w:tc>
          <w:tcPr>
            <w:tcW w:w="940" w:type="dxa"/>
            <w:vAlign w:val="bottom"/>
          </w:tcPr>
          <w:p>
            <w:pPr>
              <w:spacing w:after="0" w:line="20" w:lineRule="exact"/>
              <w:rPr>
                <w:sz w:val="1"/>
                <w:szCs w:val="1"/>
                <w:color w:val="auto"/>
              </w:rPr>
            </w:pPr>
          </w:p>
        </w:tc>
        <w:tc>
          <w:tcPr>
            <w:tcW w:w="3900" w:type="dxa"/>
            <w:vAlign w:val="bottom"/>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4780" w:type="dxa"/>
            <w:vAlign w:val="bottom"/>
          </w:tcPr>
          <w:p>
            <w:pPr>
              <w:spacing w:after="0" w:line="20" w:lineRule="exact"/>
              <w:rPr>
                <w:sz w:val="1"/>
                <w:szCs w:val="1"/>
                <w:color w:val="auto"/>
              </w:rPr>
            </w:pPr>
          </w:p>
        </w:tc>
      </w:tr>
    </w:tbl>
    <w:p>
      <w:pPr>
        <w:sectPr>
          <w:pgSz w:w="11900" w:h="16838" w:orient="portrait"/>
          <w:cols w:equalWidth="0" w:num="1">
            <w:col w:w="10940"/>
          </w:cols>
          <w:pgMar w:left="400" w:top="111" w:right="559" w:bottom="0" w:gutter="0" w:footer="0" w:header="0"/>
          <w:type w:val="continuous"/>
        </w:sectPr>
      </w:pPr>
    </w:p>
    <w:bookmarkStart w:id="7" w:name="page8"/>
    <w:bookmarkEnd w:id="7"/>
    <w:p>
      <w:pPr>
        <w:ind w:left="3440"/>
        <w:spacing w:after="0"/>
        <w:rPr>
          <w:sz w:val="20"/>
          <w:szCs w:val="20"/>
          <w:color w:val="auto"/>
        </w:rPr>
      </w:pPr>
      <w:r>
        <w:rPr>
          <w:rFonts w:ascii="Times New Roman" w:cs="Times New Roman" w:eastAsia="Times New Roman" w:hAnsi="Times New Roman"/>
          <w:sz w:val="22"/>
          <w:szCs w:val="22"/>
          <w:color w:val="auto"/>
        </w:rPr>
        <w:t>Name: Taisia Lowe</w:t>
      </w:r>
    </w:p>
    <w:p>
      <w:pPr>
        <w:spacing w:after="0" w:line="45" w:lineRule="exact"/>
        <w:rPr>
          <w:sz w:val="20"/>
          <w:szCs w:val="20"/>
          <w:color w:val="auto"/>
        </w:rPr>
      </w:pPr>
    </w:p>
    <w:p>
      <w:pPr>
        <w:ind w:left="3440"/>
        <w:spacing w:after="0"/>
        <w:rPr>
          <w:sz w:val="20"/>
          <w:szCs w:val="20"/>
          <w:color w:val="auto"/>
        </w:rPr>
      </w:pPr>
      <w:r>
        <w:rPr>
          <w:rFonts w:ascii="Times New Roman" w:cs="Times New Roman" w:eastAsia="Times New Roman" w:hAnsi="Times New Roman"/>
          <w:sz w:val="22"/>
          <w:szCs w:val="22"/>
          <w:color w:val="auto"/>
        </w:rPr>
        <w:t>Title: Regulatory Analyst</w:t>
      </w:r>
    </w:p>
    <w:p>
      <w:pPr>
        <w:spacing w:after="0" w:line="44" w:lineRule="exact"/>
        <w:rPr>
          <w:sz w:val="20"/>
          <w:szCs w:val="20"/>
          <w:color w:val="auto"/>
        </w:rPr>
      </w:pPr>
    </w:p>
    <w:p>
      <w:pPr>
        <w:ind w:left="3440"/>
        <w:spacing w:after="0"/>
        <w:rPr>
          <w:sz w:val="20"/>
          <w:szCs w:val="20"/>
          <w:color w:val="auto"/>
        </w:rPr>
      </w:pPr>
      <w:r>
        <w:rPr>
          <w:rFonts w:ascii="Times New Roman" w:cs="Times New Roman" w:eastAsia="Times New Roman" w:hAnsi="Times New Roman"/>
          <w:sz w:val="22"/>
          <w:szCs w:val="22"/>
          <w:color w:val="auto"/>
        </w:rPr>
        <w:t>Date: February 15, 2021</w:t>
      </w:r>
    </w:p>
    <w:p>
      <w:pPr>
        <w:spacing w:after="0" w:line="341" w:lineRule="exact"/>
        <w:rPr>
          <w:sz w:val="20"/>
          <w:szCs w:val="20"/>
          <w:color w:val="auto"/>
        </w:rPr>
      </w:pPr>
    </w:p>
    <w:p>
      <w:pPr>
        <w:ind w:left="3440"/>
        <w:spacing w:after="0"/>
        <w:rPr>
          <w:sz w:val="20"/>
          <w:szCs w:val="20"/>
          <w:color w:val="auto"/>
        </w:rPr>
      </w:pPr>
      <w:r>
        <w:rPr>
          <w:rFonts w:ascii="Times New Roman" w:cs="Times New Roman" w:eastAsia="Times New Roman" w:hAnsi="Times New Roman"/>
          <w:sz w:val="22"/>
          <w:szCs w:val="22"/>
          <w:color w:val="auto"/>
        </w:rPr>
        <w:t>By: Wellington Management Company LLP</w:t>
      </w:r>
    </w:p>
    <w:p>
      <w:pPr>
        <w:spacing w:after="0" w:line="44" w:lineRule="exact"/>
        <w:rPr>
          <w:sz w:val="20"/>
          <w:szCs w:val="20"/>
          <w:color w:val="auto"/>
        </w:rPr>
      </w:pPr>
    </w:p>
    <w:p>
      <w:pPr>
        <w:ind w:left="3440"/>
        <w:spacing w:after="0"/>
        <w:rPr>
          <w:sz w:val="20"/>
          <w:szCs w:val="20"/>
          <w:color w:val="auto"/>
        </w:rPr>
      </w:pPr>
      <w:r>
        <w:rPr>
          <w:rFonts w:ascii="Times New Roman" w:cs="Times New Roman" w:eastAsia="Times New Roman" w:hAnsi="Times New Roman"/>
          <w:sz w:val="22"/>
          <w:szCs w:val="22"/>
          <w:color w:val="auto"/>
        </w:rPr>
        <w:t xml:space="preserve">By: </w:t>
      </w:r>
      <w:r>
        <w:rPr>
          <w:rFonts w:ascii="Times New Roman" w:cs="Times New Roman" w:eastAsia="Times New Roman" w:hAnsi="Times New Roman"/>
          <w:sz w:val="22"/>
          <w:szCs w:val="22"/>
          <w:u w:val="single" w:color="auto"/>
          <w:color w:val="auto"/>
        </w:rPr>
        <w:t>/s/ Taisia Lowe</w:t>
      </w:r>
    </w:p>
    <w:p>
      <w:pPr>
        <w:spacing w:after="0" w:line="44" w:lineRule="exact"/>
        <w:rPr>
          <w:sz w:val="20"/>
          <w:szCs w:val="20"/>
          <w:color w:val="auto"/>
        </w:rPr>
      </w:pPr>
    </w:p>
    <w:p>
      <w:pPr>
        <w:ind w:left="3440"/>
        <w:spacing w:after="0"/>
        <w:rPr>
          <w:sz w:val="20"/>
          <w:szCs w:val="20"/>
          <w:color w:val="auto"/>
        </w:rPr>
      </w:pPr>
      <w:r>
        <w:rPr>
          <w:rFonts w:ascii="Times New Roman" w:cs="Times New Roman" w:eastAsia="Times New Roman" w:hAnsi="Times New Roman"/>
          <w:sz w:val="22"/>
          <w:szCs w:val="22"/>
          <w:color w:val="auto"/>
        </w:rPr>
        <w:t>Name: Taisia Lowe</w:t>
      </w:r>
    </w:p>
    <w:p>
      <w:pPr>
        <w:spacing w:after="0" w:line="44" w:lineRule="exact"/>
        <w:rPr>
          <w:sz w:val="20"/>
          <w:szCs w:val="20"/>
          <w:color w:val="auto"/>
        </w:rPr>
      </w:pPr>
    </w:p>
    <w:p>
      <w:pPr>
        <w:ind w:left="3440"/>
        <w:spacing w:after="0"/>
        <w:rPr>
          <w:sz w:val="20"/>
          <w:szCs w:val="20"/>
          <w:color w:val="auto"/>
        </w:rPr>
      </w:pPr>
      <w:r>
        <w:rPr>
          <w:rFonts w:ascii="Times New Roman" w:cs="Times New Roman" w:eastAsia="Times New Roman" w:hAnsi="Times New Roman"/>
          <w:sz w:val="22"/>
          <w:szCs w:val="22"/>
          <w:color w:val="auto"/>
        </w:rPr>
        <w:t>Title: Regulatory Analyst</w:t>
      </w:r>
    </w:p>
    <w:p>
      <w:pPr>
        <w:spacing w:after="0" w:line="44" w:lineRule="exact"/>
        <w:rPr>
          <w:sz w:val="20"/>
          <w:szCs w:val="20"/>
          <w:color w:val="auto"/>
        </w:rPr>
      </w:pPr>
    </w:p>
    <w:p>
      <w:pPr>
        <w:ind w:left="3440"/>
        <w:spacing w:after="0"/>
        <w:rPr>
          <w:sz w:val="20"/>
          <w:szCs w:val="20"/>
          <w:color w:val="auto"/>
        </w:rPr>
      </w:pPr>
      <w:r>
        <w:rPr>
          <w:rFonts w:ascii="Times New Roman" w:cs="Times New Roman" w:eastAsia="Times New Roman" w:hAnsi="Times New Roman"/>
          <w:sz w:val="22"/>
          <w:szCs w:val="22"/>
          <w:color w:val="auto"/>
        </w:rPr>
        <w:t>Date: February 15,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360680</wp:posOffset>
            </wp:positionV>
            <wp:extent cx="5730240" cy="209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730240" cy="209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u w:val="single" w:color="auto"/>
          <w:color w:val="auto"/>
        </w:rPr>
        <w:t>Exhibit A</w:t>
      </w:r>
    </w:p>
    <w:p>
      <w:pPr>
        <w:spacing w:after="0" w:line="318" w:lineRule="exact"/>
        <w:rPr>
          <w:sz w:val="20"/>
          <w:szCs w:val="20"/>
          <w:color w:val="auto"/>
        </w:rPr>
      </w:pPr>
    </w:p>
    <w:p>
      <w:pPr>
        <w:ind w:left="60" w:right="219"/>
        <w:spacing w:after="0" w:line="244" w:lineRule="auto"/>
        <w:rPr>
          <w:sz w:val="20"/>
          <w:szCs w:val="20"/>
          <w:color w:val="auto"/>
        </w:rPr>
      </w:pPr>
      <w:r>
        <w:rPr>
          <w:rFonts w:ascii="Times New Roman" w:cs="Times New Roman" w:eastAsia="Times New Roman" w:hAnsi="Times New Roman"/>
          <w:sz w:val="22"/>
          <w:szCs w:val="22"/>
          <w:color w:val="auto"/>
        </w:rPr>
        <w:t>Pursuant to the instructions in Item 7 of Schedule 13G, the following lists the identity and Item 3 classification of each relevant entity that beneficially owns shares of the security class being reported on this Schedule 13G.</w:t>
      </w:r>
    </w:p>
    <w:p>
      <w:pPr>
        <w:spacing w:after="0" w:line="254" w:lineRule="exact"/>
        <w:rPr>
          <w:sz w:val="20"/>
          <w:szCs w:val="20"/>
          <w:color w:val="auto"/>
        </w:rPr>
      </w:pPr>
    </w:p>
    <w:p>
      <w:pPr>
        <w:ind w:left="60" w:right="4399"/>
        <w:spacing w:after="0" w:line="295" w:lineRule="auto"/>
        <w:rPr>
          <w:sz w:val="20"/>
          <w:szCs w:val="20"/>
          <w:color w:val="auto"/>
        </w:rPr>
      </w:pPr>
      <w:r>
        <w:rPr>
          <w:rFonts w:ascii="Times New Roman" w:cs="Times New Roman" w:eastAsia="Times New Roman" w:hAnsi="Times New Roman"/>
          <w:sz w:val="22"/>
          <w:szCs w:val="22"/>
          <w:color w:val="auto"/>
        </w:rPr>
        <w:t>Wellington Group Holdings LLP – HC Wellington Investment Advisors LLP – HC Wellington Management Global Holdings, Ltd. - HC</w:t>
      </w:r>
    </w:p>
    <w:p>
      <w:pPr>
        <w:spacing w:after="0" w:line="201"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2"/>
          <w:szCs w:val="22"/>
          <w:color w:val="auto"/>
        </w:rPr>
        <w:t>One or more of the following investment advisers (the “Wellington Investment Advisers”):</w:t>
      </w:r>
    </w:p>
    <w:p>
      <w:pPr>
        <w:spacing w:after="0" w:line="287"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2"/>
          <w:szCs w:val="22"/>
          <w:color w:val="auto"/>
        </w:rPr>
        <w:t>Wellington Management Company LLP – IA</w:t>
      </w:r>
    </w:p>
    <w:p>
      <w:pPr>
        <w:spacing w:after="0" w:line="44"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2"/>
          <w:szCs w:val="22"/>
          <w:color w:val="auto"/>
        </w:rPr>
        <w:t>Wellington Management Canada LLC – IA</w:t>
      </w:r>
    </w:p>
    <w:p>
      <w:pPr>
        <w:spacing w:after="0" w:line="44"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2"/>
          <w:szCs w:val="22"/>
          <w:color w:val="auto"/>
        </w:rPr>
        <w:t>Wellington Management Singapore Pte Ltd – IA</w:t>
      </w:r>
    </w:p>
    <w:p>
      <w:pPr>
        <w:spacing w:after="0" w:line="44"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2"/>
          <w:szCs w:val="22"/>
          <w:color w:val="auto"/>
        </w:rPr>
        <w:t>Wellington Management Hong Kong Ltd – IA</w:t>
      </w:r>
    </w:p>
    <w:p>
      <w:pPr>
        <w:spacing w:after="0" w:line="44"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2"/>
          <w:szCs w:val="22"/>
          <w:color w:val="auto"/>
        </w:rPr>
        <w:t>Wellington Management International Ltd – IA</w:t>
      </w:r>
    </w:p>
    <w:p>
      <w:pPr>
        <w:spacing w:after="0" w:line="44"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2"/>
          <w:szCs w:val="22"/>
          <w:color w:val="auto"/>
        </w:rPr>
        <w:t>Wellington Management Japan Pte Ltd – IA</w:t>
      </w:r>
    </w:p>
    <w:p>
      <w:pPr>
        <w:spacing w:after="0" w:line="44"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2"/>
          <w:szCs w:val="22"/>
          <w:color w:val="auto"/>
        </w:rPr>
        <w:t>Wellington Management Australia Pty Ltd - IA</w:t>
      </w:r>
    </w:p>
    <w:p>
      <w:pPr>
        <w:spacing w:after="0" w:line="287" w:lineRule="exact"/>
        <w:rPr>
          <w:sz w:val="20"/>
          <w:szCs w:val="20"/>
          <w:color w:val="auto"/>
        </w:rPr>
      </w:pPr>
    </w:p>
    <w:p>
      <w:pPr>
        <w:ind w:left="60" w:right="119"/>
        <w:spacing w:after="0" w:line="235" w:lineRule="auto"/>
        <w:rPr>
          <w:sz w:val="20"/>
          <w:szCs w:val="20"/>
          <w:color w:val="auto"/>
        </w:rPr>
      </w:pPr>
      <w:r>
        <w:rPr>
          <w:rFonts w:ascii="Times New Roman" w:cs="Times New Roman" w:eastAsia="Times New Roman" w:hAnsi="Times New Roman"/>
          <w:sz w:val="22"/>
          <w:szCs w:val="22"/>
          <w:color w:val="auto"/>
        </w:rPr>
        <w:t>The securities as to which this Schedule is filed by Wellington Management Group LLP, as parent holding company of certain holding companies and the Wellington Investment Advisers, are owned of record by clients of the Wellington Investment Advisers. Wellington Investment Advisors Holdings LLP controls directly, or indirectly through Wellington Management Global Holdings, Ltd., the Wellington Investment Advisers. Wellington Investment Advisors Holdings LLP is owned by Wellington Group Holdings LLP. Wellington Group Holdings LLP is owned by Wellington Management Group LLP.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157480</wp:posOffset>
            </wp:positionV>
            <wp:extent cx="5730240" cy="209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5730240" cy="20955"/>
                    </a:xfrm>
                    <a:prstGeom prst="rect">
                      <a:avLst/>
                    </a:prstGeom>
                    <a:noFill/>
                  </pic:spPr>
                </pic:pic>
              </a:graphicData>
            </a:graphic>
          </wp:anchor>
        </w:drawing>
      </w:r>
    </w:p>
    <w:p>
      <w:pPr>
        <w:spacing w:after="0" w:line="200" w:lineRule="exact"/>
        <w:rPr>
          <w:sz w:val="20"/>
          <w:szCs w:val="20"/>
          <w:color w:val="auto"/>
        </w:rPr>
      </w:pPr>
    </w:p>
    <w:p>
      <w:pPr>
        <w:spacing w:after="0" w:line="31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u w:val="single" w:color="auto"/>
          <w:color w:val="auto"/>
        </w:rPr>
        <w:t>EXHIBIT B</w:t>
      </w:r>
    </w:p>
    <w:p>
      <w:pPr>
        <w:spacing w:after="0" w:line="28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u w:val="single" w:color="auto"/>
          <w:color w:val="auto"/>
        </w:rPr>
        <w:t>JOINT FILING AGREEMENT</w:t>
      </w:r>
    </w:p>
    <w:p>
      <w:pPr>
        <w:spacing w:after="0" w:line="318" w:lineRule="exact"/>
        <w:rPr>
          <w:sz w:val="20"/>
          <w:szCs w:val="20"/>
          <w:color w:val="auto"/>
        </w:rPr>
      </w:pPr>
    </w:p>
    <w:p>
      <w:pPr>
        <w:ind w:left="60" w:right="79"/>
        <w:spacing w:after="0" w:line="233" w:lineRule="auto"/>
        <w:rPr>
          <w:sz w:val="20"/>
          <w:szCs w:val="20"/>
          <w:color w:val="auto"/>
        </w:rPr>
      </w:pPr>
      <w:r>
        <w:rPr>
          <w:rFonts w:ascii="Times New Roman" w:cs="Times New Roman" w:eastAsia="Times New Roman" w:hAnsi="Times New Roman"/>
          <w:sz w:val="22"/>
          <w:szCs w:val="22"/>
          <w:color w:val="auto"/>
        </w:rPr>
        <w:t>The undersigned hereby agree that this Schedule 13G (the “Schedule 13G”) with respect to the common stock of Y-mAbs Therapeutics, Inc. is, and any additional amendment thereto signed by each of the undersigned shall be, filed on behalf of each undersigned pursuant to and in accordance with the provisions of 13d-1(k) under the Securities Exchange Act of 1934, as amended, and that all subsequent amendments to the Schedule 13G shall be filed on behalf of each of the undersigned without the necessity of filing additional joint filing agreements. The undersigned acknowledge that each shall be responsible for the timely filing of such amendments, and for the completeness and accuracy of the information concerning it contained therein, but shall not be responsible for the completeness and accuracy of the information concerning the other, except to the extent that it knows or has reason to believe that such information is inaccurate. It is understood and agreed that the joint filing of the Schedule 13G shall not be construed as an admission that the persons named herein constitute a group for purposes of Regulation 13D-G of the Securities Exchange Act of 1934, nor is a joint venture for purposes of the Investment Company Act of 1940.</w:t>
      </w:r>
    </w:p>
    <w:p>
      <w:pPr>
        <w:sectPr>
          <w:pgSz w:w="11900" w:h="16838" w:orient="portrait"/>
          <w:cols w:equalWidth="0" w:num="1">
            <w:col w:w="9019"/>
          </w:cols>
          <w:pgMar w:left="1440" w:top="111" w:right="1440" w:bottom="0" w:gutter="0" w:footer="0" w:header="0"/>
        </w:sectPr>
      </w:pPr>
    </w:p>
    <w:p>
      <w:pPr>
        <w:spacing w:after="0" w:line="200" w:lineRule="exact"/>
        <w:rPr>
          <w:sz w:val="20"/>
          <w:szCs w:val="20"/>
          <w:color w:val="auto"/>
        </w:rPr>
      </w:pPr>
    </w:p>
    <w:p>
      <w:pPr>
        <w:spacing w:after="0" w:line="333" w:lineRule="exact"/>
        <w:rPr>
          <w:sz w:val="20"/>
          <w:szCs w:val="20"/>
          <w:color w:val="auto"/>
        </w:rPr>
      </w:pPr>
    </w:p>
    <w:p>
      <w:pPr>
        <w:ind w:left="3440"/>
        <w:spacing w:after="0"/>
        <w:rPr>
          <w:sz w:val="20"/>
          <w:szCs w:val="20"/>
          <w:color w:val="auto"/>
        </w:rPr>
      </w:pPr>
      <w:r>
        <w:rPr>
          <w:rFonts w:ascii="Times New Roman" w:cs="Times New Roman" w:eastAsia="Times New Roman" w:hAnsi="Times New Roman"/>
          <w:sz w:val="21"/>
          <w:szCs w:val="21"/>
          <w:color w:val="auto"/>
        </w:rPr>
        <w:t>By: Wellington Management Group LLP</w:t>
      </w:r>
    </w:p>
    <w:p>
      <w:pPr>
        <w:sectPr>
          <w:pgSz w:w="11900" w:h="16838" w:orient="portrait"/>
          <w:cols w:equalWidth="0" w:num="1">
            <w:col w:w="9019"/>
          </w:cols>
          <w:pgMar w:left="1440" w:top="111" w:right="1440" w:bottom="0" w:gutter="0" w:footer="0" w:header="0"/>
          <w:type w:val="continuous"/>
        </w:sectPr>
      </w:pPr>
    </w:p>
    <w:bookmarkStart w:id="8" w:name="page9"/>
    <w:bookmarkEnd w:id="8"/>
    <w:p>
      <w:pPr>
        <w:ind w:left="3440"/>
        <w:spacing w:after="0"/>
        <w:rPr>
          <w:sz w:val="20"/>
          <w:szCs w:val="20"/>
          <w:color w:val="auto"/>
        </w:rPr>
      </w:pPr>
      <w:r>
        <w:rPr>
          <w:rFonts w:ascii="Times New Roman" w:cs="Times New Roman" w:eastAsia="Times New Roman" w:hAnsi="Times New Roman"/>
          <w:sz w:val="22"/>
          <w:szCs w:val="22"/>
          <w:color w:val="auto"/>
        </w:rPr>
        <w:t xml:space="preserve">By: </w:t>
      </w:r>
      <w:r>
        <w:rPr>
          <w:rFonts w:ascii="Times New Roman" w:cs="Times New Roman" w:eastAsia="Times New Roman" w:hAnsi="Times New Roman"/>
          <w:sz w:val="22"/>
          <w:szCs w:val="22"/>
          <w:u w:val="single" w:color="auto"/>
          <w:color w:val="auto"/>
        </w:rPr>
        <w:t>/s/ Taisia Lowe</w:t>
      </w:r>
    </w:p>
    <w:p>
      <w:pPr>
        <w:spacing w:after="0" w:line="45" w:lineRule="exact"/>
        <w:rPr>
          <w:sz w:val="20"/>
          <w:szCs w:val="20"/>
          <w:color w:val="auto"/>
        </w:rPr>
      </w:pPr>
    </w:p>
    <w:p>
      <w:pPr>
        <w:ind w:left="3440"/>
        <w:spacing w:after="0"/>
        <w:rPr>
          <w:sz w:val="20"/>
          <w:szCs w:val="20"/>
          <w:color w:val="auto"/>
        </w:rPr>
      </w:pPr>
      <w:r>
        <w:rPr>
          <w:rFonts w:ascii="Times New Roman" w:cs="Times New Roman" w:eastAsia="Times New Roman" w:hAnsi="Times New Roman"/>
          <w:sz w:val="22"/>
          <w:szCs w:val="22"/>
          <w:color w:val="auto"/>
        </w:rPr>
        <w:t>Name: Taisia Lowe</w:t>
      </w:r>
    </w:p>
    <w:p>
      <w:pPr>
        <w:spacing w:after="0" w:line="44" w:lineRule="exact"/>
        <w:rPr>
          <w:sz w:val="20"/>
          <w:szCs w:val="20"/>
          <w:color w:val="auto"/>
        </w:rPr>
      </w:pPr>
    </w:p>
    <w:p>
      <w:pPr>
        <w:ind w:left="3440"/>
        <w:spacing w:after="0"/>
        <w:rPr>
          <w:sz w:val="20"/>
          <w:szCs w:val="20"/>
          <w:color w:val="auto"/>
        </w:rPr>
      </w:pPr>
      <w:r>
        <w:rPr>
          <w:rFonts w:ascii="Times New Roman" w:cs="Times New Roman" w:eastAsia="Times New Roman" w:hAnsi="Times New Roman"/>
          <w:sz w:val="22"/>
          <w:szCs w:val="22"/>
          <w:color w:val="auto"/>
        </w:rPr>
        <w:t>Title: Regulatory Analyst</w:t>
      </w:r>
    </w:p>
    <w:p>
      <w:pPr>
        <w:spacing w:after="0" w:line="44" w:lineRule="exact"/>
        <w:rPr>
          <w:sz w:val="20"/>
          <w:szCs w:val="20"/>
          <w:color w:val="auto"/>
        </w:rPr>
      </w:pPr>
    </w:p>
    <w:p>
      <w:pPr>
        <w:ind w:left="3440"/>
        <w:spacing w:after="0"/>
        <w:rPr>
          <w:sz w:val="20"/>
          <w:szCs w:val="20"/>
          <w:color w:val="auto"/>
        </w:rPr>
      </w:pPr>
      <w:r>
        <w:rPr>
          <w:rFonts w:ascii="Times New Roman" w:cs="Times New Roman" w:eastAsia="Times New Roman" w:hAnsi="Times New Roman"/>
          <w:sz w:val="22"/>
          <w:szCs w:val="22"/>
          <w:color w:val="auto"/>
        </w:rPr>
        <w:t>Date: February 15, 2021</w:t>
      </w:r>
    </w:p>
    <w:p>
      <w:pPr>
        <w:spacing w:after="0" w:line="341" w:lineRule="exact"/>
        <w:rPr>
          <w:sz w:val="20"/>
          <w:szCs w:val="20"/>
          <w:color w:val="auto"/>
        </w:rPr>
      </w:pPr>
    </w:p>
    <w:p>
      <w:pPr>
        <w:ind w:left="3440"/>
        <w:spacing w:after="0"/>
        <w:rPr>
          <w:sz w:val="20"/>
          <w:szCs w:val="20"/>
          <w:color w:val="auto"/>
        </w:rPr>
      </w:pPr>
      <w:r>
        <w:rPr>
          <w:rFonts w:ascii="Times New Roman" w:cs="Times New Roman" w:eastAsia="Times New Roman" w:hAnsi="Times New Roman"/>
          <w:sz w:val="22"/>
          <w:szCs w:val="22"/>
          <w:color w:val="auto"/>
        </w:rPr>
        <w:t>By: Wellington Group Holdings LLP</w:t>
      </w:r>
    </w:p>
    <w:p>
      <w:pPr>
        <w:spacing w:after="0" w:line="44" w:lineRule="exact"/>
        <w:rPr>
          <w:sz w:val="20"/>
          <w:szCs w:val="20"/>
          <w:color w:val="auto"/>
        </w:rPr>
      </w:pPr>
    </w:p>
    <w:p>
      <w:pPr>
        <w:ind w:left="3440"/>
        <w:spacing w:after="0"/>
        <w:rPr>
          <w:sz w:val="20"/>
          <w:szCs w:val="20"/>
          <w:color w:val="auto"/>
        </w:rPr>
      </w:pPr>
      <w:r>
        <w:rPr>
          <w:rFonts w:ascii="Times New Roman" w:cs="Times New Roman" w:eastAsia="Times New Roman" w:hAnsi="Times New Roman"/>
          <w:sz w:val="22"/>
          <w:szCs w:val="22"/>
          <w:color w:val="auto"/>
        </w:rPr>
        <w:t xml:space="preserve">By: </w:t>
      </w:r>
      <w:r>
        <w:rPr>
          <w:rFonts w:ascii="Times New Roman" w:cs="Times New Roman" w:eastAsia="Times New Roman" w:hAnsi="Times New Roman"/>
          <w:sz w:val="22"/>
          <w:szCs w:val="22"/>
          <w:u w:val="single" w:color="auto"/>
          <w:color w:val="auto"/>
        </w:rPr>
        <w:t>/s/ Taisia Lowe</w:t>
      </w:r>
    </w:p>
    <w:p>
      <w:pPr>
        <w:spacing w:after="0" w:line="44" w:lineRule="exact"/>
        <w:rPr>
          <w:sz w:val="20"/>
          <w:szCs w:val="20"/>
          <w:color w:val="auto"/>
        </w:rPr>
      </w:pPr>
    </w:p>
    <w:p>
      <w:pPr>
        <w:ind w:left="3440"/>
        <w:spacing w:after="0"/>
        <w:rPr>
          <w:sz w:val="20"/>
          <w:szCs w:val="20"/>
          <w:color w:val="auto"/>
        </w:rPr>
      </w:pPr>
      <w:r>
        <w:rPr>
          <w:rFonts w:ascii="Times New Roman" w:cs="Times New Roman" w:eastAsia="Times New Roman" w:hAnsi="Times New Roman"/>
          <w:sz w:val="22"/>
          <w:szCs w:val="22"/>
          <w:color w:val="auto"/>
        </w:rPr>
        <w:t>Name: Taisia Lowe</w:t>
      </w:r>
    </w:p>
    <w:p>
      <w:pPr>
        <w:spacing w:after="0" w:line="44" w:lineRule="exact"/>
        <w:rPr>
          <w:sz w:val="20"/>
          <w:szCs w:val="20"/>
          <w:color w:val="auto"/>
        </w:rPr>
      </w:pPr>
    </w:p>
    <w:p>
      <w:pPr>
        <w:ind w:left="3440"/>
        <w:spacing w:after="0"/>
        <w:rPr>
          <w:sz w:val="20"/>
          <w:szCs w:val="20"/>
          <w:color w:val="auto"/>
        </w:rPr>
      </w:pPr>
      <w:r>
        <w:rPr>
          <w:rFonts w:ascii="Times New Roman" w:cs="Times New Roman" w:eastAsia="Times New Roman" w:hAnsi="Times New Roman"/>
          <w:sz w:val="22"/>
          <w:szCs w:val="22"/>
          <w:color w:val="auto"/>
        </w:rPr>
        <w:t>Title: Regulatory Analyst</w:t>
      </w:r>
    </w:p>
    <w:p>
      <w:pPr>
        <w:spacing w:after="0" w:line="44" w:lineRule="exact"/>
        <w:rPr>
          <w:sz w:val="20"/>
          <w:szCs w:val="20"/>
          <w:color w:val="auto"/>
        </w:rPr>
      </w:pPr>
    </w:p>
    <w:p>
      <w:pPr>
        <w:ind w:left="3440"/>
        <w:spacing w:after="0"/>
        <w:rPr>
          <w:sz w:val="20"/>
          <w:szCs w:val="20"/>
          <w:color w:val="auto"/>
        </w:rPr>
      </w:pPr>
      <w:r>
        <w:rPr>
          <w:rFonts w:ascii="Times New Roman" w:cs="Times New Roman" w:eastAsia="Times New Roman" w:hAnsi="Times New Roman"/>
          <w:sz w:val="22"/>
          <w:szCs w:val="22"/>
          <w:color w:val="auto"/>
        </w:rPr>
        <w:t>Date: February 15, 2021</w:t>
      </w:r>
    </w:p>
    <w:p>
      <w:pPr>
        <w:spacing w:after="0" w:line="341" w:lineRule="exact"/>
        <w:rPr>
          <w:sz w:val="20"/>
          <w:szCs w:val="20"/>
          <w:color w:val="auto"/>
        </w:rPr>
      </w:pPr>
    </w:p>
    <w:p>
      <w:pPr>
        <w:ind w:left="3440"/>
        <w:spacing w:after="0"/>
        <w:rPr>
          <w:sz w:val="20"/>
          <w:szCs w:val="20"/>
          <w:color w:val="auto"/>
        </w:rPr>
      </w:pPr>
      <w:r>
        <w:rPr>
          <w:rFonts w:ascii="Times New Roman" w:cs="Times New Roman" w:eastAsia="Times New Roman" w:hAnsi="Times New Roman"/>
          <w:sz w:val="21"/>
          <w:szCs w:val="21"/>
          <w:color w:val="auto"/>
        </w:rPr>
        <w:t>By: Wellington Investment Advisors Holdings LLP</w:t>
      </w:r>
    </w:p>
    <w:p>
      <w:pPr>
        <w:spacing w:after="0" w:line="56" w:lineRule="exact"/>
        <w:rPr>
          <w:sz w:val="20"/>
          <w:szCs w:val="20"/>
          <w:color w:val="auto"/>
        </w:rPr>
      </w:pPr>
    </w:p>
    <w:p>
      <w:pPr>
        <w:ind w:left="3440"/>
        <w:spacing w:after="0"/>
        <w:rPr>
          <w:sz w:val="20"/>
          <w:szCs w:val="20"/>
          <w:color w:val="auto"/>
        </w:rPr>
      </w:pPr>
      <w:r>
        <w:rPr>
          <w:rFonts w:ascii="Times New Roman" w:cs="Times New Roman" w:eastAsia="Times New Roman" w:hAnsi="Times New Roman"/>
          <w:sz w:val="22"/>
          <w:szCs w:val="22"/>
          <w:color w:val="auto"/>
        </w:rPr>
        <w:t xml:space="preserve">By: </w:t>
      </w:r>
      <w:r>
        <w:rPr>
          <w:rFonts w:ascii="Times New Roman" w:cs="Times New Roman" w:eastAsia="Times New Roman" w:hAnsi="Times New Roman"/>
          <w:sz w:val="22"/>
          <w:szCs w:val="22"/>
          <w:u w:val="single" w:color="auto"/>
          <w:color w:val="auto"/>
        </w:rPr>
        <w:t>/s/ Taisia Lowe</w:t>
      </w:r>
    </w:p>
    <w:p>
      <w:pPr>
        <w:spacing w:after="0" w:line="44" w:lineRule="exact"/>
        <w:rPr>
          <w:sz w:val="20"/>
          <w:szCs w:val="20"/>
          <w:color w:val="auto"/>
        </w:rPr>
      </w:pPr>
    </w:p>
    <w:p>
      <w:pPr>
        <w:ind w:left="3440"/>
        <w:spacing w:after="0"/>
        <w:rPr>
          <w:sz w:val="20"/>
          <w:szCs w:val="20"/>
          <w:color w:val="auto"/>
        </w:rPr>
      </w:pPr>
      <w:r>
        <w:rPr>
          <w:rFonts w:ascii="Times New Roman" w:cs="Times New Roman" w:eastAsia="Times New Roman" w:hAnsi="Times New Roman"/>
          <w:sz w:val="22"/>
          <w:szCs w:val="22"/>
          <w:color w:val="auto"/>
        </w:rPr>
        <w:t>Name: Taisia Lowe</w:t>
      </w:r>
    </w:p>
    <w:p>
      <w:pPr>
        <w:spacing w:after="0" w:line="44" w:lineRule="exact"/>
        <w:rPr>
          <w:sz w:val="20"/>
          <w:szCs w:val="20"/>
          <w:color w:val="auto"/>
        </w:rPr>
      </w:pPr>
    </w:p>
    <w:p>
      <w:pPr>
        <w:ind w:left="3440"/>
        <w:spacing w:after="0"/>
        <w:rPr>
          <w:sz w:val="20"/>
          <w:szCs w:val="20"/>
          <w:color w:val="auto"/>
        </w:rPr>
      </w:pPr>
      <w:r>
        <w:rPr>
          <w:rFonts w:ascii="Times New Roman" w:cs="Times New Roman" w:eastAsia="Times New Roman" w:hAnsi="Times New Roman"/>
          <w:sz w:val="22"/>
          <w:szCs w:val="22"/>
          <w:color w:val="auto"/>
        </w:rPr>
        <w:t>Title: Regulatory Analyst</w:t>
      </w:r>
    </w:p>
    <w:p>
      <w:pPr>
        <w:spacing w:after="0" w:line="44" w:lineRule="exact"/>
        <w:rPr>
          <w:sz w:val="20"/>
          <w:szCs w:val="20"/>
          <w:color w:val="auto"/>
        </w:rPr>
      </w:pPr>
    </w:p>
    <w:p>
      <w:pPr>
        <w:ind w:left="3440"/>
        <w:spacing w:after="0"/>
        <w:rPr>
          <w:sz w:val="20"/>
          <w:szCs w:val="20"/>
          <w:color w:val="auto"/>
        </w:rPr>
      </w:pPr>
      <w:r>
        <w:rPr>
          <w:rFonts w:ascii="Times New Roman" w:cs="Times New Roman" w:eastAsia="Times New Roman" w:hAnsi="Times New Roman"/>
          <w:sz w:val="22"/>
          <w:szCs w:val="22"/>
          <w:color w:val="auto"/>
        </w:rPr>
        <w:t>Date: February 15, 2021</w:t>
      </w:r>
    </w:p>
    <w:p>
      <w:pPr>
        <w:spacing w:after="0" w:line="341" w:lineRule="exact"/>
        <w:rPr>
          <w:sz w:val="20"/>
          <w:szCs w:val="20"/>
          <w:color w:val="auto"/>
        </w:rPr>
      </w:pPr>
    </w:p>
    <w:p>
      <w:pPr>
        <w:ind w:left="3440"/>
        <w:spacing w:after="0"/>
        <w:rPr>
          <w:sz w:val="20"/>
          <w:szCs w:val="20"/>
          <w:color w:val="auto"/>
        </w:rPr>
      </w:pPr>
      <w:r>
        <w:rPr>
          <w:rFonts w:ascii="Times New Roman" w:cs="Times New Roman" w:eastAsia="Times New Roman" w:hAnsi="Times New Roman"/>
          <w:sz w:val="22"/>
          <w:szCs w:val="22"/>
          <w:color w:val="auto"/>
        </w:rPr>
        <w:t>By: Wellington Management Company LLP</w:t>
      </w:r>
    </w:p>
    <w:p>
      <w:pPr>
        <w:spacing w:after="0" w:line="44" w:lineRule="exact"/>
        <w:rPr>
          <w:sz w:val="20"/>
          <w:szCs w:val="20"/>
          <w:color w:val="auto"/>
        </w:rPr>
      </w:pPr>
    </w:p>
    <w:p>
      <w:pPr>
        <w:ind w:left="3440"/>
        <w:spacing w:after="0"/>
        <w:rPr>
          <w:sz w:val="20"/>
          <w:szCs w:val="20"/>
          <w:color w:val="auto"/>
        </w:rPr>
      </w:pPr>
      <w:r>
        <w:rPr>
          <w:rFonts w:ascii="Times New Roman" w:cs="Times New Roman" w:eastAsia="Times New Roman" w:hAnsi="Times New Roman"/>
          <w:sz w:val="22"/>
          <w:szCs w:val="22"/>
          <w:color w:val="auto"/>
        </w:rPr>
        <w:t xml:space="preserve">By: </w:t>
      </w:r>
      <w:r>
        <w:rPr>
          <w:rFonts w:ascii="Times New Roman" w:cs="Times New Roman" w:eastAsia="Times New Roman" w:hAnsi="Times New Roman"/>
          <w:sz w:val="22"/>
          <w:szCs w:val="22"/>
          <w:u w:val="single" w:color="auto"/>
          <w:color w:val="auto"/>
        </w:rPr>
        <w:t>/s/ Taisia Lowe</w:t>
      </w:r>
    </w:p>
    <w:p>
      <w:pPr>
        <w:spacing w:after="0" w:line="44" w:lineRule="exact"/>
        <w:rPr>
          <w:sz w:val="20"/>
          <w:szCs w:val="20"/>
          <w:color w:val="auto"/>
        </w:rPr>
      </w:pPr>
    </w:p>
    <w:p>
      <w:pPr>
        <w:ind w:left="3440"/>
        <w:spacing w:after="0"/>
        <w:rPr>
          <w:sz w:val="20"/>
          <w:szCs w:val="20"/>
          <w:color w:val="auto"/>
        </w:rPr>
      </w:pPr>
      <w:r>
        <w:rPr>
          <w:rFonts w:ascii="Times New Roman" w:cs="Times New Roman" w:eastAsia="Times New Roman" w:hAnsi="Times New Roman"/>
          <w:sz w:val="22"/>
          <w:szCs w:val="22"/>
          <w:color w:val="auto"/>
        </w:rPr>
        <w:t>Name: Taisia Lowe</w:t>
      </w:r>
    </w:p>
    <w:p>
      <w:pPr>
        <w:spacing w:after="0" w:line="44" w:lineRule="exact"/>
        <w:rPr>
          <w:sz w:val="20"/>
          <w:szCs w:val="20"/>
          <w:color w:val="auto"/>
        </w:rPr>
      </w:pPr>
    </w:p>
    <w:p>
      <w:pPr>
        <w:ind w:left="3440"/>
        <w:spacing w:after="0"/>
        <w:rPr>
          <w:sz w:val="20"/>
          <w:szCs w:val="20"/>
          <w:color w:val="auto"/>
        </w:rPr>
      </w:pPr>
      <w:r>
        <w:rPr>
          <w:rFonts w:ascii="Times New Roman" w:cs="Times New Roman" w:eastAsia="Times New Roman" w:hAnsi="Times New Roman"/>
          <w:sz w:val="22"/>
          <w:szCs w:val="22"/>
          <w:color w:val="auto"/>
        </w:rPr>
        <w:t>Title: Regulatory Analyst</w:t>
      </w:r>
    </w:p>
    <w:p>
      <w:pPr>
        <w:spacing w:after="0" w:line="44" w:lineRule="exact"/>
        <w:rPr>
          <w:sz w:val="20"/>
          <w:szCs w:val="20"/>
          <w:color w:val="auto"/>
        </w:rPr>
      </w:pPr>
    </w:p>
    <w:p>
      <w:pPr>
        <w:ind w:left="3440"/>
        <w:spacing w:after="0"/>
        <w:rPr>
          <w:sz w:val="20"/>
          <w:szCs w:val="20"/>
          <w:color w:val="auto"/>
        </w:rPr>
      </w:pPr>
      <w:r>
        <w:rPr>
          <w:rFonts w:ascii="Times New Roman" w:cs="Times New Roman" w:eastAsia="Times New Roman" w:hAnsi="Times New Roman"/>
          <w:sz w:val="22"/>
          <w:szCs w:val="22"/>
          <w:color w:val="auto"/>
        </w:rPr>
        <w:t>Date: February 15, 2021</w:t>
      </w:r>
    </w:p>
    <w:sectPr>
      <w:pgSz w:w="11900" w:h="16838" w:orient="portrait"/>
      <w:cols w:equalWidth="0" w:num="1">
        <w:col w:w="9019"/>
      </w:cols>
      <w:pgMar w:left="1440" w:top="111"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25558EC"/>
    <w:multiLevelType w:val="hybridMultilevel"/>
    <w:lvl w:ilvl="0">
      <w:lvlJc w:val="left"/>
      <w:lvlText w:val="*"/>
      <w:numFmt w:val="bullet"/>
      <w:start w:val="1"/>
    </w:lvl>
    <w:lvl w:ilvl="1">
      <w:lvlJc w:val="left"/>
      <w:lvlText w:val="[%2]"/>
      <w:numFmt w:val="upperLetter"/>
      <w:start w:val="24"/>
    </w:lvl>
  </w:abstractNum>
  <w:abstractNum w:abstractNumId="1">
    <w:nsid w:val="238E1F29"/>
    <w:multiLevelType w:val="hybridMultilevel"/>
    <w:lvl w:ilvl="0">
      <w:lvlJc w:val="left"/>
      <w:lvlText w:val="(%1)"/>
      <w:numFmt w:val="lowerLetter"/>
      <w:start w:val="1"/>
    </w:lvl>
  </w:abstractNum>
  <w:abstractNum w:abstractNumId="2">
    <w:nsid w:val="46E87CCD"/>
    <w:multiLevelType w:val="hybridMultilevel"/>
    <w:lvl w:ilvl="0">
      <w:lvlJc w:val="left"/>
      <w:lvlText w:val="(%1)"/>
      <w:numFmt w:val="lowerLetter"/>
      <w:start w:val="1"/>
    </w:lvl>
  </w:abstractNum>
  <w:abstractNum w:abstractNumId="3">
    <w:nsid w:val="3D1B58BA"/>
    <w:multiLevelType w:val="hybridMultilevel"/>
    <w:lvl w:ilvl="0">
      <w:lvlJc w:val="left"/>
      <w:lvlText w:val="(%1)"/>
      <w:numFmt w:val="lowerLetter"/>
      <w:start w:val="1"/>
    </w:lvl>
  </w:abstractNum>
  <w:abstractNum w:abstractNumId="4">
    <w:nsid w:val="507ED7AB"/>
    <w:multiLevelType w:val="hybridMultilevel"/>
    <w:lvl w:ilvl="0">
      <w:lvlJc w:val="left"/>
      <w:lvlText w:val="(%1)"/>
      <w:numFmt w:val="lowerLetter"/>
      <w:start w:val="1"/>
    </w:lvl>
  </w:abstractNum>
  <w:abstractNum w:abstractNumId="5">
    <w:nsid w:val="2EB141F2"/>
    <w:multiLevelType w:val="hybridMultilevel"/>
    <w:lvl w:ilvl="0">
      <w:lvlJc w:val="left"/>
      <w:lvlText w:val="(%1)"/>
      <w:numFmt w:val="lowerLetter"/>
      <w:start w:val="3"/>
    </w:lvl>
    <w:lvl w:ilvl="1">
      <w:lvlJc w:val="left"/>
      <w:lvlText w:val="(%2)"/>
      <w:numFmt w:val="lowerRoman"/>
      <w:start w:val="1"/>
    </w:lvl>
  </w:abstractNum>
  <w:abstractNum w:abstractNumId="6">
    <w:nsid w:val="41B71EFB"/>
    <w:multiLevelType w:val="hybridMultilevel"/>
    <w:lvl w:ilvl="0">
      <w:lvlJc w:val="left"/>
      <w:lvlText w:val="(%1)"/>
      <w:numFmt w:val="lowerRoman"/>
      <w:start w:val="4"/>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2021-02-04T10:50:40Z</dcterms:created>
  <dcterms:modified xsi:type="dcterms:W3CDTF">2021-02-04T10:50:40Z</dcterms:modified>
</cp:coreProperties>
</file>