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TYAGI ASHU</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00"/>
        <w:spacing w:after="0" w:line="331" w:lineRule="auto"/>
        <w:rPr>
          <w:sz w:val="20"/>
          <w:szCs w:val="20"/>
          <w:color w:val="auto"/>
        </w:rPr>
      </w:pPr>
      <w:r>
        <w:rPr>
          <w:rFonts w:ascii="Arial" w:cs="Arial" w:eastAsia="Arial" w:hAnsi="Arial"/>
          <w:sz w:val="18"/>
          <w:szCs w:val="18"/>
          <w:color w:val="0000FF"/>
        </w:rPr>
        <w:t>C/O SCOPIA CAPITAL MANAGEMENT LP 152 WEST 57TH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Y-mAbs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YMAB</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09/25/2018</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(I) (Instr. 4)</w:t>
            </w:r>
          </w:p>
        </w:tc>
        <w:tc>
          <w:tcPr>
            <w:tcW w:w="26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2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09/25/2018</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color w:val="0000FF"/>
              </w:rPr>
              <w:t>P</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0000FF"/>
              </w:rPr>
              <w:t>430,174</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w:t>
            </w:r>
          </w:p>
        </w:tc>
        <w:tc>
          <w:tcPr>
            <w:tcW w:w="60" w:type="dxa"/>
            <w:vAlign w:val="bottom"/>
          </w:tcPr>
          <w:p>
            <w:pPr>
              <w:spacing w:after="0"/>
              <w:rPr>
                <w:sz w:val="22"/>
                <w:szCs w:val="22"/>
                <w:color w:val="auto"/>
              </w:rPr>
            </w:pPr>
          </w:p>
        </w:tc>
        <w:tc>
          <w:tcPr>
            <w:tcW w:w="1080" w:type="dxa"/>
            <w:vAlign w:val="bottom"/>
            <w:gridSpan w:val="3"/>
            <w:vMerge w:val="restart"/>
          </w:tcPr>
          <w:p>
            <w:pPr>
              <w:ind w:left="160"/>
              <w:spacing w:after="0"/>
              <w:rPr>
                <w:sz w:val="20"/>
                <w:szCs w:val="20"/>
                <w:color w:val="auto"/>
              </w:rPr>
            </w:pPr>
            <w:r>
              <w:rPr>
                <w:rFonts w:ascii="Arial" w:cs="Arial" w:eastAsia="Arial" w:hAnsi="Arial"/>
                <w:sz w:val="18"/>
                <w:szCs w:val="18"/>
                <w:color w:val="0000FF"/>
              </w:rPr>
              <w:t>1,392,740</w:t>
            </w:r>
          </w:p>
        </w:tc>
        <w:tc>
          <w:tcPr>
            <w:tcW w:w="70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2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2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reported in this Form 4 are held in the accounts of certain private investment funds, specifically, Scopia Health Care International Master Fund LP ("Scopia Health International") and Scopia Health Care LLC ("Scopia Health LLC", and together with Scopia Health International, the "Investment Vehicles"). Following reported transaction, Scopia Health International holds 1,067,933 shares of the Company's common stock and Scopia Health LLC holds 324,807 shares of the Company's common stock. Scopia Capital Management LP ("Scopia Management") serves as the investment manager of the Investment Vehicles and has sole voting and investment power over the Company's securities held by the Investment Vehicles. Reporting Person may be deemed to exercise voting and investment power over the Company's securities held by the Investment Vehicles as a partner of Scopia Management.</w:t>
      </w:r>
    </w:p>
    <w:p>
      <w:pPr>
        <w:spacing w:after="0" w:line="11"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Further, Reporting Person may be deemed to have a pecuniary interest in a portion of the securities held directly by the Investment Vehicles due to the right of an affiliate of Scopia Management to receive performance-based allocations and due to Reporting Person's investments in the Investment Vehicles.</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disclaims beneficial ownership of the securities reported herein except to the extent of his pecuniary interest therein, and this report shall not be deemed an admission that Reporting Person is the beneficial owner of such securities for purposes of Section 16 of the Securities Exchange Act of 1934, as amended,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Ashutosh Tyagi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09/26/2018</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2467"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2019-12-23T20:32:41Z</dcterms:created>
  <dcterms:modified xsi:type="dcterms:W3CDTF">2019-12-23T20:32:41Z</dcterms:modified>
</cp:coreProperties>
</file>