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(RULE 13d-101)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 13d-1(a)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AMENDMENTS THERETO FILED PURSUANT TO RULE 13d-2(a)</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___)*</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Y-mAbs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984241109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Nathalie Auber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Sofinnova Ventures,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3000 Sand Hill Road, Bldg 4, Suite 250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Menlo Park, CA 94025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681-8420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Jonathan Goodwin,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Gunderson Dettmer Stough Villeneuve Franklin &amp; Hachigian,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550 Allerton Street, Redwood City, CA 94063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321-2400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September 21,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This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CUSIP NO. 984241109</w:t>
            </w:r>
          </w:p>
        </w:tc>
        <w:tc>
          <w:tcPr>
            <w:tcW w:w="800" w:type="dxa"/>
            <w:vAlign w:val="bottom"/>
          </w:tcPr>
          <w:p>
            <w:pPr>
              <w:spacing w:after="0"/>
              <w:rPr>
                <w:sz w:val="20"/>
                <w:szCs w:val="20"/>
                <w:color w:val="auto"/>
              </w:rPr>
            </w:pPr>
          </w:p>
        </w:tc>
        <w:tc>
          <w:tcPr>
            <w:tcW w:w="5720" w:type="dxa"/>
            <w:vAlign w:val="bottom"/>
          </w:tcPr>
          <w:p>
            <w:pPr>
              <w:ind w:left="1300"/>
              <w:spacing w:after="0"/>
              <w:rPr>
                <w:sz w:val="20"/>
                <w:szCs w:val="20"/>
                <w:color w:val="auto"/>
              </w:rPr>
            </w:pPr>
            <w:r>
              <w:rPr>
                <w:rFonts w:ascii="Arial" w:cs="Arial" w:eastAsia="Arial" w:hAnsi="Arial"/>
                <w:sz w:val="18"/>
                <w:szCs w:val="18"/>
                <w:color w:val="auto"/>
              </w:rPr>
              <w:t>13D</w:t>
            </w:r>
          </w:p>
        </w:tc>
        <w:tc>
          <w:tcPr>
            <w:tcW w:w="1440" w:type="dxa"/>
            <w:vAlign w:val="bottom"/>
          </w:tcPr>
          <w:p>
            <w:pPr>
              <w:jc w:val="right"/>
              <w:spacing w:after="0"/>
              <w:rPr>
                <w:sz w:val="20"/>
                <w:szCs w:val="20"/>
                <w:color w:val="auto"/>
              </w:rPr>
            </w:pPr>
            <w:r>
              <w:rPr>
                <w:rFonts w:ascii="Arial" w:cs="Arial" w:eastAsia="Arial" w:hAnsi="Arial"/>
                <w:sz w:val="18"/>
                <w:szCs w:val="18"/>
                <w:color w:val="auto"/>
              </w:rPr>
              <w:t>Page 2 of 13</w:t>
            </w:r>
          </w:p>
        </w:tc>
        <w:tc>
          <w:tcPr>
            <w:tcW w:w="0" w:type="dxa"/>
            <w:vAlign w:val="bottom"/>
          </w:tcPr>
          <w:p>
            <w:pPr>
              <w:spacing w:after="0"/>
              <w:rPr>
                <w:sz w:val="1"/>
                <w:szCs w:val="1"/>
                <w:color w:val="auto"/>
              </w:rPr>
            </w:pPr>
          </w:p>
        </w:tc>
      </w:tr>
      <w:tr>
        <w:trPr>
          <w:trHeight w:val="648"/>
        </w:trPr>
        <w:tc>
          <w:tcPr>
            <w:tcW w:w="9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right w:val="single" w:sz="8" w:color="auto"/>
            </w:tcBorders>
          </w:tcPr>
          <w:p>
            <w:pPr>
              <w:spacing w:after="0"/>
              <w:rPr>
                <w:sz w:val="24"/>
                <w:szCs w:val="24"/>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NAME OF REPORTING PERSON</w:t>
            </w:r>
          </w:p>
        </w:tc>
        <w:tc>
          <w:tcPr>
            <w:tcW w:w="572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9040" w:type="dxa"/>
            <w:vAlign w:val="bottom"/>
            <w:gridSpan w:val="3"/>
          </w:tcPr>
          <w:p>
            <w:pPr>
              <w:spacing w:after="0"/>
              <w:rPr>
                <w:sz w:val="20"/>
                <w:szCs w:val="20"/>
                <w:color w:val="auto"/>
              </w:rPr>
            </w:pPr>
            <w:r>
              <w:rPr>
                <w:rFonts w:ascii="Arial" w:cs="Arial" w:eastAsia="Arial" w:hAnsi="Arial"/>
                <w:sz w:val="18"/>
                <w:szCs w:val="18"/>
                <w:color w:val="auto"/>
              </w:rPr>
              <w:t>I.R.S. IDENTIFICATION NO. OF ABOVE PERSONS (ENTITIES ONLY)</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Sofinnova Venture Partners X, L.P. (“SVP X”)</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9040" w:type="dxa"/>
            <w:vAlign w:val="bottom"/>
            <w:tcBorders>
              <w:bottom w:val="single" w:sz="8" w:color="auto"/>
            </w:tcBorders>
            <w:gridSpan w:val="3"/>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904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44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7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520" w:type="dxa"/>
            <w:vAlign w:val="bottom"/>
          </w:tcPr>
          <w:p>
            <w:pPr>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520" w:type="dxa"/>
            <w:vAlign w:val="bottom"/>
          </w:tcPr>
          <w:p>
            <w:pPr>
              <w:spacing w:after="0"/>
              <w:rPr>
                <w:sz w:val="20"/>
                <w:szCs w:val="20"/>
                <w:color w:val="auto"/>
              </w:rPr>
            </w:pPr>
            <w:r>
              <w:rPr>
                <w:rFonts w:ascii="Arial" w:cs="Arial" w:eastAsia="Arial" w:hAnsi="Arial"/>
                <w:sz w:val="18"/>
                <w:szCs w:val="18"/>
                <w:color w:val="auto"/>
              </w:rPr>
              <w:t>SOURCE OF FUNDS</w:t>
            </w:r>
          </w:p>
        </w:tc>
        <w:tc>
          <w:tcPr>
            <w:tcW w:w="8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WC</w:t>
            </w:r>
          </w:p>
        </w:tc>
        <w:tc>
          <w:tcPr>
            <w:tcW w:w="8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9040" w:type="dxa"/>
            <w:vAlign w:val="bottom"/>
            <w:tcBorders>
              <w:bottom w:val="single" w:sz="8" w:color="auto"/>
            </w:tcBorders>
            <w:gridSpan w:val="3"/>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040" w:type="dxa"/>
            <w:vAlign w:val="bottom"/>
            <w:gridSpan w:val="3"/>
          </w:tcPr>
          <w:p>
            <w:pPr>
              <w:spacing w:after="0" w:line="207" w:lineRule="exact"/>
              <w:rPr>
                <w:sz w:val="20"/>
                <w:szCs w:val="20"/>
                <w:color w:val="auto"/>
              </w:rPr>
            </w:pPr>
            <w:r>
              <w:rPr>
                <w:rFonts w:ascii="Arial" w:cs="Arial" w:eastAsia="Arial" w:hAnsi="Arial"/>
                <w:sz w:val="18"/>
                <w:szCs w:val="18"/>
                <w:color w:val="auto"/>
                <w:w w:val="99"/>
              </w:rPr>
              <w:t xml:space="preserve">CHECK BOX IF DISCLOSURE OF LEGAL PROCEEDINGS IS REQUIRED PURSUANT TO ITEM 2(d) or 2(e) </w:t>
            </w:r>
            <w:r>
              <w:rPr>
                <w:rFonts w:ascii="MS PGothic" w:cs="MS PGothic" w:eastAsia="MS PGothic" w:hAnsi="MS PGothic"/>
                <w:sz w:val="18"/>
                <w:szCs w:val="18"/>
                <w:color w:val="auto"/>
                <w:w w:val="99"/>
              </w:rPr>
              <w:t>☐</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9040" w:type="dxa"/>
            <w:vAlign w:val="bottom"/>
            <w:tcBorders>
              <w:bottom w:val="single" w:sz="8" w:color="auto"/>
            </w:tcBorders>
            <w:gridSpan w:val="3"/>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9040" w:type="dxa"/>
            <w:vAlign w:val="bottom"/>
            <w:gridSpan w:val="3"/>
          </w:tcPr>
          <w:p>
            <w:pPr>
              <w:spacing w:after="0"/>
              <w:rPr>
                <w:sz w:val="20"/>
                <w:szCs w:val="20"/>
                <w:color w:val="auto"/>
              </w:rPr>
            </w:pPr>
            <w:r>
              <w:rPr>
                <w:rFonts w:ascii="Arial" w:cs="Arial" w:eastAsia="Arial" w:hAnsi="Arial"/>
                <w:sz w:val="18"/>
                <w:szCs w:val="18"/>
                <w:color w:val="auto"/>
              </w:rPr>
              <w:t>CITIZENSHIP OR PLACE OF ORGANIZATION Delaware</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tcBorders>
          </w:tcPr>
          <w:p>
            <w:pPr>
              <w:spacing w:after="0"/>
              <w:rPr>
                <w:sz w:val="16"/>
                <w:szCs w:val="16"/>
                <w:color w:val="auto"/>
              </w:rPr>
            </w:pPr>
          </w:p>
        </w:tc>
        <w:tc>
          <w:tcPr>
            <w:tcW w:w="2520" w:type="dxa"/>
            <w:vAlign w:val="bottom"/>
            <w:tcBorders>
              <w:right w:val="single" w:sz="8" w:color="auto"/>
            </w:tcBorders>
          </w:tcPr>
          <w:p>
            <w:pPr>
              <w:jc w:val="center"/>
              <w:ind w:right="850"/>
              <w:spacing w:after="0" w:line="195" w:lineRule="exact"/>
              <w:rPr>
                <w:sz w:val="20"/>
                <w:szCs w:val="20"/>
                <w:color w:val="auto"/>
              </w:rPr>
            </w:pPr>
            <w:r>
              <w:rPr>
                <w:rFonts w:ascii="Arial" w:cs="Arial" w:eastAsia="Arial" w:hAnsi="Arial"/>
                <w:sz w:val="18"/>
                <w:szCs w:val="18"/>
                <w:color w:val="auto"/>
                <w:w w:val="98"/>
              </w:rPr>
              <w:t>NUMBER OF</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720" w:type="dxa"/>
            <w:vAlign w:val="bottom"/>
            <w:vMerge w:val="restart"/>
          </w:tcPr>
          <w:p>
            <w:pPr>
              <w:ind w:left="2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vMerge w:val="continue"/>
          </w:tcPr>
          <w:p>
            <w:pPr>
              <w:spacing w:after="0"/>
              <w:rPr>
                <w:sz w:val="9"/>
                <w:szCs w:val="9"/>
                <w:color w:val="auto"/>
              </w:rPr>
            </w:pPr>
          </w:p>
        </w:tc>
        <w:tc>
          <w:tcPr>
            <w:tcW w:w="5720" w:type="dxa"/>
            <w:vAlign w:val="bottom"/>
            <w:vMerge w:val="continue"/>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3"/>
              </w:rPr>
              <w:t>2,104,278 shares, except that Sofinnova Management X, L.L.C. (“SM X”), the general partner of</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6"/>
              </w:rPr>
              <w:t>SVP X, may be deemed to have sole voting power, and Dr. Michael F. Powell (“Powell”), Dr.</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7"/>
              </w:rPr>
              <w:t>James I. Healy (“Healy”), and Dr. Anand Mehra (“Mehra”), the managing members of SM X,</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1"/>
              </w:rPr>
              <w:t>REPORTING</w:t>
            </w: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5720" w:type="dxa"/>
            <w:vAlign w:val="bottom"/>
            <w:vMerge w:val="restart"/>
          </w:tcPr>
          <w:p>
            <w:pPr>
              <w:ind w:left="20"/>
              <w:spacing w:after="0"/>
              <w:rPr>
                <w:sz w:val="20"/>
                <w:szCs w:val="20"/>
                <w:color w:val="auto"/>
              </w:rPr>
            </w:pPr>
            <w:r>
              <w:rPr>
                <w:rFonts w:ascii="Arial" w:cs="Arial" w:eastAsia="Arial" w:hAnsi="Arial"/>
                <w:sz w:val="18"/>
                <w:szCs w:val="18"/>
                <w:color w:val="auto"/>
              </w:rPr>
              <w:t>may be deemed to have shared power to vote these shares.</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0"/>
                <w:szCs w:val="10"/>
                <w:color w:val="auto"/>
              </w:rPr>
            </w:pPr>
          </w:p>
        </w:tc>
        <w:tc>
          <w:tcPr>
            <w:tcW w:w="5720" w:type="dxa"/>
            <w:vAlign w:val="bottom"/>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w:t>
            </w:r>
          </w:p>
        </w:tc>
        <w:tc>
          <w:tcPr>
            <w:tcW w:w="57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940" w:type="dxa"/>
            <w:vAlign w:val="bottom"/>
            <w:tcBorders>
              <w:left w:val="single" w:sz="8" w:color="auto"/>
            </w:tcBorders>
          </w:tcPr>
          <w:p>
            <w:pPr>
              <w:spacing w:after="0"/>
              <w:rPr>
                <w:sz w:val="8"/>
                <w:szCs w:val="8"/>
                <w:color w:val="auto"/>
              </w:rPr>
            </w:pPr>
          </w:p>
        </w:tc>
        <w:tc>
          <w:tcPr>
            <w:tcW w:w="2520" w:type="dxa"/>
            <w:vAlign w:val="bottom"/>
            <w:tcBorders>
              <w:right w:val="single" w:sz="8" w:color="auto"/>
            </w:tcBorders>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5720" w:type="dxa"/>
            <w:vAlign w:val="bottom"/>
            <w:vMerge w:val="continue"/>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See response to row 7.</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w:t>
            </w:r>
          </w:p>
        </w:tc>
        <w:tc>
          <w:tcPr>
            <w:tcW w:w="572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2,104,278 shares, except that SM X, the general partner of SVP X, may be deemed to have sole</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8"/>
              </w:rPr>
              <w:t>dispositive power and Powell, Healy, and Mehra, the managing members of SM X, may be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deemed to have shared power to dispose of these shares.</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57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See response to row 9.</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04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2,104,278</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904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440" w:type="dxa"/>
            <w:vAlign w:val="bottom"/>
            <w:tcBorders>
              <w:right w:val="single" w:sz="8" w:color="auto"/>
            </w:tcBorders>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720" w:type="dxa"/>
            <w:vAlign w:val="bottom"/>
            <w:tcBorders>
              <w:bottom w:val="single" w:sz="8" w:color="auto"/>
            </w:tcBorders>
          </w:tcPr>
          <w:p>
            <w:pPr>
              <w:spacing w:after="0"/>
              <w:rPr>
                <w:sz w:val="7"/>
                <w:szCs w:val="7"/>
                <w:color w:val="auto"/>
              </w:rPr>
            </w:pPr>
          </w:p>
        </w:tc>
        <w:tc>
          <w:tcPr>
            <w:tcW w:w="14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904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2520" w:type="dxa"/>
            <w:vAlign w:val="bottom"/>
          </w:tcPr>
          <w:p>
            <w:pPr>
              <w:spacing w:after="0"/>
              <w:rPr>
                <w:sz w:val="20"/>
                <w:szCs w:val="20"/>
                <w:color w:val="auto"/>
              </w:rPr>
            </w:pPr>
            <w:r>
              <w:rPr>
                <w:rFonts w:ascii="Arial" w:cs="Arial" w:eastAsia="Arial" w:hAnsi="Arial"/>
                <w:sz w:val="18"/>
                <w:szCs w:val="18"/>
                <w:color w:val="auto"/>
                <w:w w:val="91"/>
              </w:rPr>
              <w:t>TYPE OF REPORTING PERSON</w:t>
            </w:r>
          </w:p>
        </w:tc>
        <w:tc>
          <w:tcPr>
            <w:tcW w:w="80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72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5"/>
        </w:trPr>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CUSIP NO. 984241109</w:t>
            </w:r>
          </w:p>
        </w:tc>
        <w:tc>
          <w:tcPr>
            <w:tcW w:w="800" w:type="dxa"/>
            <w:vAlign w:val="bottom"/>
          </w:tcPr>
          <w:p>
            <w:pPr>
              <w:spacing w:after="0"/>
              <w:rPr>
                <w:sz w:val="20"/>
                <w:szCs w:val="20"/>
                <w:color w:val="auto"/>
              </w:rPr>
            </w:pPr>
          </w:p>
        </w:tc>
        <w:tc>
          <w:tcPr>
            <w:tcW w:w="5900" w:type="dxa"/>
            <w:vAlign w:val="bottom"/>
          </w:tcPr>
          <w:p>
            <w:pPr>
              <w:ind w:left="1300"/>
              <w:spacing w:after="0"/>
              <w:rPr>
                <w:sz w:val="20"/>
                <w:szCs w:val="20"/>
                <w:color w:val="auto"/>
              </w:rPr>
            </w:pPr>
            <w:r>
              <w:rPr>
                <w:rFonts w:ascii="Arial" w:cs="Arial" w:eastAsia="Arial" w:hAnsi="Arial"/>
                <w:sz w:val="18"/>
                <w:szCs w:val="18"/>
                <w:color w:val="auto"/>
              </w:rPr>
              <w:t>13D</w:t>
            </w:r>
          </w:p>
        </w:tc>
        <w:tc>
          <w:tcPr>
            <w:tcW w:w="1260" w:type="dxa"/>
            <w:vAlign w:val="bottom"/>
          </w:tcPr>
          <w:p>
            <w:pPr>
              <w:jc w:val="right"/>
              <w:spacing w:after="0"/>
              <w:rPr>
                <w:sz w:val="20"/>
                <w:szCs w:val="20"/>
                <w:color w:val="auto"/>
              </w:rPr>
            </w:pPr>
            <w:r>
              <w:rPr>
                <w:rFonts w:ascii="Arial" w:cs="Arial" w:eastAsia="Arial" w:hAnsi="Arial"/>
                <w:sz w:val="18"/>
                <w:szCs w:val="18"/>
                <w:color w:val="auto"/>
              </w:rPr>
              <w:t>Page 3 of 13</w:t>
            </w:r>
          </w:p>
        </w:tc>
        <w:tc>
          <w:tcPr>
            <w:tcW w:w="0" w:type="dxa"/>
            <w:vAlign w:val="bottom"/>
          </w:tcPr>
          <w:p>
            <w:pPr>
              <w:spacing w:after="0"/>
              <w:rPr>
                <w:sz w:val="1"/>
                <w:szCs w:val="1"/>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320" w:type="dxa"/>
            <w:vAlign w:val="bottom"/>
            <w:gridSpan w:val="2"/>
          </w:tcPr>
          <w:p>
            <w:pPr>
              <w:spacing w:after="0"/>
              <w:rPr>
                <w:sz w:val="20"/>
                <w:szCs w:val="20"/>
                <w:color w:val="auto"/>
              </w:rPr>
            </w:pPr>
            <w:r>
              <w:rPr>
                <w:rFonts w:ascii="Arial" w:cs="Arial" w:eastAsia="Arial" w:hAnsi="Arial"/>
                <w:sz w:val="18"/>
                <w:szCs w:val="18"/>
                <w:color w:val="auto"/>
              </w:rPr>
              <w:t>NAME OF REPORTING PERSON</w:t>
            </w:r>
          </w:p>
        </w:tc>
        <w:tc>
          <w:tcPr>
            <w:tcW w:w="59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I.R.S. IDENTIFICATION NO. OF ABOVE PERSONS (ENTITIES ONLY)</w:t>
            </w:r>
          </w:p>
        </w:tc>
        <w:tc>
          <w:tcPr>
            <w:tcW w:w="1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w w:val="96"/>
              </w:rPr>
              <w:t>Sofinnova Management X, L.L.C. (“SM X”)</w:t>
            </w:r>
          </w:p>
        </w:tc>
        <w:tc>
          <w:tcPr>
            <w:tcW w:w="59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9220" w:type="dxa"/>
            <w:vAlign w:val="bottom"/>
            <w:tcBorders>
              <w:bottom w:val="single" w:sz="8" w:color="auto"/>
            </w:tcBorders>
            <w:gridSpan w:val="3"/>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92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520" w:type="dxa"/>
            <w:vAlign w:val="bottom"/>
          </w:tcPr>
          <w:p>
            <w:pPr>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520" w:type="dxa"/>
            <w:vAlign w:val="bottom"/>
          </w:tcPr>
          <w:p>
            <w:pPr>
              <w:spacing w:after="0"/>
              <w:rPr>
                <w:sz w:val="20"/>
                <w:szCs w:val="20"/>
                <w:color w:val="auto"/>
              </w:rPr>
            </w:pPr>
            <w:r>
              <w:rPr>
                <w:rFonts w:ascii="Arial" w:cs="Arial" w:eastAsia="Arial" w:hAnsi="Arial"/>
                <w:sz w:val="18"/>
                <w:szCs w:val="18"/>
                <w:color w:val="auto"/>
              </w:rPr>
              <w:t>SOURCE OF FUNDS</w:t>
            </w:r>
          </w:p>
        </w:tc>
        <w:tc>
          <w:tcPr>
            <w:tcW w:w="8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AF</w:t>
            </w:r>
          </w:p>
        </w:tc>
        <w:tc>
          <w:tcPr>
            <w:tcW w:w="8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9220" w:type="dxa"/>
            <w:vAlign w:val="bottom"/>
            <w:tcBorders>
              <w:bottom w:val="single" w:sz="8" w:color="auto"/>
            </w:tcBorders>
            <w:gridSpan w:val="3"/>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9220" w:type="dxa"/>
            <w:vAlign w:val="bottom"/>
            <w:gridSpan w:val="3"/>
          </w:tcPr>
          <w:p>
            <w:pPr>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9220" w:type="dxa"/>
            <w:vAlign w:val="bottom"/>
            <w:tcBorders>
              <w:bottom w:val="single" w:sz="8" w:color="auto"/>
            </w:tcBorders>
            <w:gridSpan w:val="3"/>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92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 Delaware</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tcBorders>
          </w:tcPr>
          <w:p>
            <w:pPr>
              <w:spacing w:after="0"/>
              <w:rPr>
                <w:sz w:val="16"/>
                <w:szCs w:val="16"/>
                <w:color w:val="auto"/>
              </w:rPr>
            </w:pPr>
          </w:p>
        </w:tc>
        <w:tc>
          <w:tcPr>
            <w:tcW w:w="2520" w:type="dxa"/>
            <w:vAlign w:val="bottom"/>
            <w:tcBorders>
              <w:right w:val="single" w:sz="8" w:color="auto"/>
            </w:tcBorders>
          </w:tcPr>
          <w:p>
            <w:pPr>
              <w:jc w:val="center"/>
              <w:ind w:right="850"/>
              <w:spacing w:after="0" w:line="195" w:lineRule="exact"/>
              <w:rPr>
                <w:sz w:val="20"/>
                <w:szCs w:val="20"/>
                <w:color w:val="auto"/>
              </w:rPr>
            </w:pPr>
            <w:r>
              <w:rPr>
                <w:rFonts w:ascii="Arial" w:cs="Arial" w:eastAsia="Arial" w:hAnsi="Arial"/>
                <w:sz w:val="18"/>
                <w:szCs w:val="18"/>
                <w:color w:val="auto"/>
                <w:w w:val="98"/>
              </w:rPr>
              <w:t>NUMBER OF</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vMerge w:val="continue"/>
          </w:tcPr>
          <w:p>
            <w:pPr>
              <w:spacing w:after="0"/>
              <w:rPr>
                <w:sz w:val="9"/>
                <w:szCs w:val="9"/>
                <w:color w:val="auto"/>
              </w:rPr>
            </w:pPr>
          </w:p>
        </w:tc>
        <w:tc>
          <w:tcPr>
            <w:tcW w:w="5900" w:type="dxa"/>
            <w:vAlign w:val="bottom"/>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4"/>
              </w:rPr>
              <w:t>2,104,278 shares, all of which are owned directly by SVP X. SM X, the general partner of SVP</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w w:val="97"/>
              </w:rPr>
              <w:t>X, may be deemed to have sole voting power, and Powell, Healy, and Mehra, the managing</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9"/>
                <w:szCs w:val="9"/>
                <w:color w:val="auto"/>
              </w:rPr>
            </w:pPr>
          </w:p>
        </w:tc>
        <w:tc>
          <w:tcPr>
            <w:tcW w:w="716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5900" w:type="dxa"/>
            <w:vAlign w:val="bottom"/>
            <w:vMerge w:val="restart"/>
          </w:tcPr>
          <w:p>
            <w:pPr>
              <w:ind w:left="20"/>
              <w:spacing w:after="0"/>
              <w:rPr>
                <w:sz w:val="20"/>
                <w:szCs w:val="20"/>
                <w:color w:val="auto"/>
              </w:rPr>
            </w:pPr>
            <w:r>
              <w:rPr>
                <w:rFonts w:ascii="Arial" w:cs="Arial" w:eastAsia="Arial" w:hAnsi="Arial"/>
                <w:sz w:val="18"/>
                <w:szCs w:val="18"/>
                <w:color w:val="auto"/>
                <w:w w:val="92"/>
              </w:rPr>
              <w:t>members of SM X, may be deemed to have shared power to vote these shares.</w:t>
            </w:r>
          </w:p>
        </w:tc>
        <w:tc>
          <w:tcPr>
            <w:tcW w:w="1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1"/>
              </w:rPr>
              <w:t>REPORTING</w:t>
            </w:r>
          </w:p>
        </w:tc>
        <w:tc>
          <w:tcPr>
            <w:tcW w:w="800" w:type="dxa"/>
            <w:vAlign w:val="bottom"/>
            <w:tcBorders>
              <w:right w:val="single" w:sz="8" w:color="auto"/>
            </w:tcBorders>
          </w:tcPr>
          <w:p>
            <w:pPr>
              <w:spacing w:after="0"/>
              <w:rPr>
                <w:sz w:val="10"/>
                <w:szCs w:val="10"/>
                <w:color w:val="auto"/>
              </w:rPr>
            </w:pPr>
          </w:p>
        </w:tc>
        <w:tc>
          <w:tcPr>
            <w:tcW w:w="5900" w:type="dxa"/>
            <w:vAlign w:val="bottom"/>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tcBorders>
          </w:tcPr>
          <w:p>
            <w:pPr>
              <w:spacing w:after="0"/>
              <w:rPr>
                <w:sz w:val="15"/>
                <w:szCs w:val="15"/>
                <w:color w:val="auto"/>
              </w:rPr>
            </w:pPr>
          </w:p>
        </w:tc>
        <w:tc>
          <w:tcPr>
            <w:tcW w:w="2520" w:type="dxa"/>
            <w:vAlign w:val="bottom"/>
            <w:tcBorders>
              <w:right w:val="single" w:sz="8" w:color="auto"/>
            </w:tcBorders>
          </w:tcPr>
          <w:p>
            <w:pPr>
              <w:jc w:val="center"/>
              <w:ind w:right="850"/>
              <w:spacing w:after="0" w:line="182" w:lineRule="exact"/>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w:t>
            </w:r>
          </w:p>
        </w:tc>
        <w:tc>
          <w:tcPr>
            <w:tcW w:w="5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5900" w:type="dxa"/>
            <w:vAlign w:val="bottom"/>
            <w:vMerge w:val="restart"/>
          </w:tcPr>
          <w:p>
            <w:pPr>
              <w:spacing w:after="0"/>
              <w:rPr>
                <w:sz w:val="20"/>
                <w:szCs w:val="20"/>
                <w:color w:val="auto"/>
              </w:rPr>
            </w:pPr>
            <w:r>
              <w:rPr>
                <w:rFonts w:ascii="Arial" w:cs="Arial" w:eastAsia="Arial" w:hAnsi="Arial"/>
                <w:sz w:val="18"/>
                <w:szCs w:val="18"/>
                <w:color w:val="auto"/>
              </w:rPr>
              <w:t>See response to row 7.</w:t>
            </w:r>
          </w:p>
        </w:tc>
        <w:tc>
          <w:tcPr>
            <w:tcW w:w="1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5900" w:type="dxa"/>
            <w:vAlign w:val="bottom"/>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w:t>
            </w:r>
          </w:p>
        </w:tc>
        <w:tc>
          <w:tcPr>
            <w:tcW w:w="59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2,104,278 shares, all of which are owned directly by SVP X. SM X, the general partner of SVP</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X, may be deemed to have sole dispositive power, and Powell, Healy, and Mehra, the managing</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members of SM X, may be deemed to have shared dispositive power over these shares.</w:t>
            </w: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59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See response to row 9.</w:t>
            </w:r>
          </w:p>
        </w:tc>
        <w:tc>
          <w:tcPr>
            <w:tcW w:w="1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2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2,104,278</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92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26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92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2520" w:type="dxa"/>
            <w:vAlign w:val="bottom"/>
          </w:tcPr>
          <w:p>
            <w:pPr>
              <w:spacing w:after="0"/>
              <w:rPr>
                <w:sz w:val="20"/>
                <w:szCs w:val="20"/>
                <w:color w:val="auto"/>
              </w:rPr>
            </w:pPr>
            <w:r>
              <w:rPr>
                <w:rFonts w:ascii="Arial" w:cs="Arial" w:eastAsia="Arial" w:hAnsi="Arial"/>
                <w:sz w:val="18"/>
                <w:szCs w:val="18"/>
                <w:color w:val="auto"/>
                <w:w w:val="91"/>
              </w:rPr>
              <w:t>TYPE OF REPORTING PERSON</w:t>
            </w:r>
          </w:p>
        </w:tc>
        <w:tc>
          <w:tcPr>
            <w:tcW w:w="8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26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9"/>
        </w:trPr>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CUSIP NO. 984241109</w:t>
            </w:r>
          </w:p>
        </w:tc>
        <w:tc>
          <w:tcPr>
            <w:tcW w:w="800" w:type="dxa"/>
            <w:vAlign w:val="bottom"/>
          </w:tcPr>
          <w:p>
            <w:pPr>
              <w:spacing w:after="0"/>
              <w:rPr>
                <w:sz w:val="20"/>
                <w:szCs w:val="20"/>
                <w:color w:val="auto"/>
              </w:rPr>
            </w:pPr>
          </w:p>
        </w:tc>
        <w:tc>
          <w:tcPr>
            <w:tcW w:w="5180" w:type="dxa"/>
            <w:vAlign w:val="bottom"/>
          </w:tcPr>
          <w:p>
            <w:pPr>
              <w:ind w:left="1300"/>
              <w:spacing w:after="0"/>
              <w:rPr>
                <w:sz w:val="20"/>
                <w:szCs w:val="20"/>
                <w:color w:val="auto"/>
              </w:rPr>
            </w:pPr>
            <w:r>
              <w:rPr>
                <w:rFonts w:ascii="Arial" w:cs="Arial" w:eastAsia="Arial" w:hAnsi="Arial"/>
                <w:sz w:val="18"/>
                <w:szCs w:val="18"/>
                <w:color w:val="auto"/>
              </w:rPr>
              <w:t>13D</w:t>
            </w:r>
          </w:p>
        </w:tc>
        <w:tc>
          <w:tcPr>
            <w:tcW w:w="1980" w:type="dxa"/>
            <w:vAlign w:val="bottom"/>
          </w:tcPr>
          <w:p>
            <w:pPr>
              <w:jc w:val="right"/>
              <w:spacing w:after="0"/>
              <w:rPr>
                <w:sz w:val="20"/>
                <w:szCs w:val="20"/>
                <w:color w:val="auto"/>
              </w:rPr>
            </w:pPr>
            <w:r>
              <w:rPr>
                <w:rFonts w:ascii="Arial" w:cs="Arial" w:eastAsia="Arial" w:hAnsi="Arial"/>
                <w:sz w:val="18"/>
                <w:szCs w:val="18"/>
                <w:color w:val="auto"/>
              </w:rPr>
              <w:t>Page 4 of 13</w:t>
            </w:r>
          </w:p>
        </w:tc>
        <w:tc>
          <w:tcPr>
            <w:tcW w:w="0" w:type="dxa"/>
            <w:vAlign w:val="bottom"/>
          </w:tcPr>
          <w:p>
            <w:pPr>
              <w:spacing w:after="0"/>
              <w:rPr>
                <w:sz w:val="1"/>
                <w:szCs w:val="1"/>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spacing w:after="0"/>
              <w:rPr>
                <w:sz w:val="22"/>
                <w:szCs w:val="22"/>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NAME OF REPORTING PERSON</w:t>
            </w:r>
          </w:p>
        </w:tc>
        <w:tc>
          <w:tcPr>
            <w:tcW w:w="5180" w:type="dxa"/>
            <w:vAlign w:val="bottom"/>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8500" w:type="dxa"/>
            <w:vAlign w:val="bottom"/>
            <w:gridSpan w:val="3"/>
          </w:tcPr>
          <w:p>
            <w:pPr>
              <w:spacing w:after="0"/>
              <w:rPr>
                <w:sz w:val="20"/>
                <w:szCs w:val="20"/>
                <w:color w:val="auto"/>
              </w:rPr>
            </w:pPr>
            <w:r>
              <w:rPr>
                <w:rFonts w:ascii="Arial" w:cs="Arial" w:eastAsia="Arial" w:hAnsi="Arial"/>
                <w:sz w:val="18"/>
                <w:szCs w:val="18"/>
                <w:color w:val="auto"/>
              </w:rPr>
              <w:t>I.R.S. IDENTIFICATION NO. OF ABOVE PERSONS (ENTITIES ONLY)</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w w:val="98"/>
              </w:rPr>
              <w:t>Dr. Michael F. Powell (“Powell”)</w:t>
            </w: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gridSpan w:val="3"/>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85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520" w:type="dxa"/>
            <w:vAlign w:val="bottom"/>
          </w:tcPr>
          <w:p>
            <w:pPr>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520" w:type="dxa"/>
            <w:vAlign w:val="bottom"/>
          </w:tcPr>
          <w:p>
            <w:pPr>
              <w:spacing w:after="0"/>
              <w:rPr>
                <w:sz w:val="20"/>
                <w:szCs w:val="20"/>
                <w:color w:val="auto"/>
              </w:rPr>
            </w:pPr>
            <w:r>
              <w:rPr>
                <w:rFonts w:ascii="Arial" w:cs="Arial" w:eastAsia="Arial" w:hAnsi="Arial"/>
                <w:sz w:val="18"/>
                <w:szCs w:val="18"/>
                <w:color w:val="auto"/>
              </w:rPr>
              <w:t>SOURCE OF FUNDS</w:t>
            </w:r>
          </w:p>
        </w:tc>
        <w:tc>
          <w:tcPr>
            <w:tcW w:w="80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1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AF</w:t>
            </w: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gridSpan w:val="3"/>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8500" w:type="dxa"/>
            <w:vAlign w:val="bottom"/>
            <w:gridSpan w:val="3"/>
          </w:tcPr>
          <w:p>
            <w:pPr>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1980" w:type="dxa"/>
            <w:vAlign w:val="bottom"/>
            <w:tcBorders>
              <w:right w:val="single" w:sz="8" w:color="auto"/>
            </w:tcBorders>
          </w:tcPr>
          <w:p>
            <w:pPr>
              <w:jc w:val="right"/>
              <w:ind w:right="16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8500" w:type="dxa"/>
            <w:vAlign w:val="bottom"/>
            <w:tcBorders>
              <w:bottom w:val="single" w:sz="8" w:color="auto"/>
            </w:tcBorders>
            <w:gridSpan w:val="3"/>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85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 U.S. Citizen</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tcBorders>
          </w:tcPr>
          <w:p>
            <w:pPr>
              <w:spacing w:after="0"/>
              <w:rPr>
                <w:sz w:val="16"/>
                <w:szCs w:val="16"/>
                <w:color w:val="auto"/>
              </w:rPr>
            </w:pPr>
          </w:p>
        </w:tc>
        <w:tc>
          <w:tcPr>
            <w:tcW w:w="2520" w:type="dxa"/>
            <w:vAlign w:val="bottom"/>
            <w:tcBorders>
              <w:right w:val="single" w:sz="8" w:color="auto"/>
            </w:tcBorders>
          </w:tcPr>
          <w:p>
            <w:pPr>
              <w:jc w:val="center"/>
              <w:ind w:right="850"/>
              <w:spacing w:after="0" w:line="195" w:lineRule="exact"/>
              <w:rPr>
                <w:sz w:val="20"/>
                <w:szCs w:val="20"/>
                <w:color w:val="auto"/>
              </w:rPr>
            </w:pPr>
            <w:r>
              <w:rPr>
                <w:rFonts w:ascii="Arial" w:cs="Arial" w:eastAsia="Arial" w:hAnsi="Arial"/>
                <w:sz w:val="18"/>
                <w:szCs w:val="18"/>
                <w:color w:val="auto"/>
                <w:w w:val="98"/>
              </w:rPr>
              <w:t>NUMBER OF</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180" w:type="dxa"/>
            <w:vAlign w:val="bottom"/>
            <w:vMerge w:val="restart"/>
          </w:tcPr>
          <w:p>
            <w:pPr>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tcBorders>
          </w:tcPr>
          <w:p>
            <w:pPr>
              <w:spacing w:after="0"/>
              <w:rPr>
                <w:sz w:val="5"/>
                <w:szCs w:val="5"/>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vMerge w:val="continue"/>
          </w:tcPr>
          <w:p>
            <w:pPr>
              <w:spacing w:after="0"/>
              <w:rPr>
                <w:sz w:val="5"/>
                <w:szCs w:val="5"/>
                <w:color w:val="auto"/>
              </w:rPr>
            </w:pPr>
          </w:p>
        </w:tc>
        <w:tc>
          <w:tcPr>
            <w:tcW w:w="5180" w:type="dxa"/>
            <w:vAlign w:val="bottom"/>
            <w:vMerge w:val="continue"/>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tcBorders>
          </w:tcPr>
          <w:p>
            <w:pPr>
              <w:spacing w:after="0"/>
              <w:rPr>
                <w:sz w:val="12"/>
                <w:szCs w:val="12"/>
                <w:color w:val="auto"/>
              </w:rPr>
            </w:pPr>
          </w:p>
        </w:tc>
        <w:tc>
          <w:tcPr>
            <w:tcW w:w="252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180" w:type="dxa"/>
            <w:vAlign w:val="bottom"/>
            <w:vMerge w:val="restart"/>
          </w:tcPr>
          <w:p>
            <w:pPr>
              <w:spacing w:after="0"/>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940" w:type="dxa"/>
            <w:vAlign w:val="bottom"/>
            <w:tcBorders>
              <w:left w:val="single" w:sz="8" w:color="auto"/>
            </w:tcBorders>
          </w:tcPr>
          <w:p>
            <w:pPr>
              <w:spacing w:after="0"/>
              <w:rPr>
                <w:sz w:val="7"/>
                <w:szCs w:val="7"/>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7"/>
                <w:szCs w:val="7"/>
                <w:color w:val="auto"/>
              </w:rPr>
            </w:pPr>
          </w:p>
        </w:tc>
        <w:tc>
          <w:tcPr>
            <w:tcW w:w="518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tcBorders>
          </w:tcPr>
          <w:p>
            <w:pPr>
              <w:spacing w:after="0"/>
              <w:rPr>
                <w:sz w:val="5"/>
                <w:szCs w:val="5"/>
                <w:color w:val="auto"/>
              </w:rPr>
            </w:pPr>
          </w:p>
        </w:tc>
        <w:tc>
          <w:tcPr>
            <w:tcW w:w="2520" w:type="dxa"/>
            <w:vAlign w:val="bottom"/>
            <w:tcBorders>
              <w:right w:val="single" w:sz="8" w:color="auto"/>
            </w:tcBorders>
            <w:vMerge w:val="continue"/>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940" w:type="dxa"/>
            <w:vAlign w:val="bottom"/>
            <w:tcBorders>
              <w:left w:val="single" w:sz="8" w:color="auto"/>
            </w:tcBorders>
          </w:tcPr>
          <w:p>
            <w:pPr>
              <w:spacing w:after="0"/>
              <w:rPr>
                <w:sz w:val="4"/>
                <w:szCs w:val="4"/>
                <w:color w:val="auto"/>
              </w:rPr>
            </w:pPr>
          </w:p>
        </w:tc>
        <w:tc>
          <w:tcPr>
            <w:tcW w:w="2520" w:type="dxa"/>
            <w:vAlign w:val="bottom"/>
            <w:tcBorders>
              <w:right w:val="single" w:sz="8" w:color="auto"/>
            </w:tcBorders>
            <w:vMerge w:val="continue"/>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5180" w:type="dxa"/>
            <w:vAlign w:val="bottom"/>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5180" w:type="dxa"/>
            <w:vAlign w:val="bottom"/>
          </w:tcPr>
          <w:p>
            <w:pPr>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1"/>
              </w:rPr>
              <w:t>REPORTING</w:t>
            </w: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2,104,278 shares, all of which are owned directly by SVP X. SM X, the general partner of SVP</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X, may be deemed to have sole voting power, and Powell, a managing member of SM X, may be</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deemed to have shared voting power to vote these shares.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tcBorders>
          </w:tcPr>
          <w:p>
            <w:pPr>
              <w:spacing w:after="0"/>
              <w:rPr>
                <w:sz w:val="5"/>
                <w:szCs w:val="5"/>
                <w:color w:val="auto"/>
              </w:rPr>
            </w:pPr>
          </w:p>
        </w:tc>
        <w:tc>
          <w:tcPr>
            <w:tcW w:w="2520" w:type="dxa"/>
            <w:vAlign w:val="bottom"/>
            <w:tcBorders>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tcBorders>
          </w:tcPr>
          <w:p>
            <w:pPr>
              <w:spacing w:after="0"/>
              <w:rPr>
                <w:sz w:val="22"/>
                <w:szCs w:val="22"/>
                <w:color w:val="auto"/>
              </w:rPr>
            </w:pPr>
          </w:p>
        </w:tc>
        <w:tc>
          <w:tcPr>
            <w:tcW w:w="25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w:t>
            </w:r>
          </w:p>
        </w:tc>
        <w:tc>
          <w:tcPr>
            <w:tcW w:w="51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tcBorders>
          </w:tcPr>
          <w:p>
            <w:pPr>
              <w:spacing w:after="0"/>
              <w:rPr>
                <w:sz w:val="5"/>
                <w:szCs w:val="5"/>
                <w:color w:val="auto"/>
              </w:rPr>
            </w:pPr>
          </w:p>
        </w:tc>
        <w:tc>
          <w:tcPr>
            <w:tcW w:w="2520" w:type="dxa"/>
            <w:vAlign w:val="bottom"/>
            <w:tcBorders>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940" w:type="dxa"/>
            <w:vAlign w:val="bottom"/>
            <w:tcBorders>
              <w:left w:val="single" w:sz="8" w:color="auto"/>
            </w:tcBorders>
          </w:tcPr>
          <w:p>
            <w:pPr>
              <w:spacing w:after="0"/>
              <w:rPr>
                <w:sz w:val="22"/>
                <w:szCs w:val="22"/>
                <w:color w:val="auto"/>
              </w:rPr>
            </w:pPr>
          </w:p>
        </w:tc>
        <w:tc>
          <w:tcPr>
            <w:tcW w:w="252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51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2,104,278 shares, all of which are owned directly by SVP X. SM X, the general partner of SVP</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X, may be deemed to have sole dispositive power, and Powell, a managing member of SM X,</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7"/>
              </w:rPr>
              <w:t>may be deemed to have shared power to dispose of these shares.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85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2,104,278</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85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980" w:type="dxa"/>
            <w:vAlign w:val="bottom"/>
            <w:tcBorders>
              <w:right w:val="single" w:sz="8" w:color="auto"/>
            </w:tcBorders>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85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2520" w:type="dxa"/>
            <w:vAlign w:val="bottom"/>
          </w:tcPr>
          <w:p>
            <w:pPr>
              <w:spacing w:after="0"/>
              <w:rPr>
                <w:sz w:val="20"/>
                <w:szCs w:val="20"/>
                <w:color w:val="auto"/>
              </w:rPr>
            </w:pPr>
            <w:r>
              <w:rPr>
                <w:rFonts w:ascii="Arial" w:cs="Arial" w:eastAsia="Arial" w:hAnsi="Arial"/>
                <w:sz w:val="18"/>
                <w:szCs w:val="18"/>
                <w:color w:val="auto"/>
                <w:w w:val="91"/>
              </w:rPr>
              <w:t>TYPE OF REPORTING PERSON</w:t>
            </w: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69"/>
        </w:trPr>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CUSIP NO. 984241109</w:t>
            </w:r>
          </w:p>
        </w:tc>
        <w:tc>
          <w:tcPr>
            <w:tcW w:w="800" w:type="dxa"/>
            <w:vAlign w:val="bottom"/>
          </w:tcPr>
          <w:p>
            <w:pPr>
              <w:spacing w:after="0"/>
              <w:rPr>
                <w:sz w:val="20"/>
                <w:szCs w:val="20"/>
                <w:color w:val="auto"/>
              </w:rPr>
            </w:pPr>
          </w:p>
        </w:tc>
        <w:tc>
          <w:tcPr>
            <w:tcW w:w="5180" w:type="dxa"/>
            <w:vAlign w:val="bottom"/>
          </w:tcPr>
          <w:p>
            <w:pPr>
              <w:ind w:left="1300"/>
              <w:spacing w:after="0"/>
              <w:rPr>
                <w:sz w:val="20"/>
                <w:szCs w:val="20"/>
                <w:color w:val="auto"/>
              </w:rPr>
            </w:pPr>
            <w:r>
              <w:rPr>
                <w:rFonts w:ascii="Arial" w:cs="Arial" w:eastAsia="Arial" w:hAnsi="Arial"/>
                <w:sz w:val="18"/>
                <w:szCs w:val="18"/>
                <w:color w:val="auto"/>
              </w:rPr>
              <w:t>13D</w:t>
            </w:r>
          </w:p>
        </w:tc>
        <w:tc>
          <w:tcPr>
            <w:tcW w:w="1980" w:type="dxa"/>
            <w:vAlign w:val="bottom"/>
          </w:tcPr>
          <w:p>
            <w:pPr>
              <w:jc w:val="right"/>
              <w:spacing w:after="0"/>
              <w:rPr>
                <w:sz w:val="20"/>
                <w:szCs w:val="20"/>
                <w:color w:val="auto"/>
              </w:rPr>
            </w:pPr>
            <w:r>
              <w:rPr>
                <w:rFonts w:ascii="Arial" w:cs="Arial" w:eastAsia="Arial" w:hAnsi="Arial"/>
                <w:sz w:val="18"/>
                <w:szCs w:val="18"/>
                <w:color w:val="auto"/>
              </w:rPr>
              <w:t>Page 5 of 13</w:t>
            </w:r>
          </w:p>
        </w:tc>
        <w:tc>
          <w:tcPr>
            <w:tcW w:w="0" w:type="dxa"/>
            <w:vAlign w:val="bottom"/>
          </w:tcPr>
          <w:p>
            <w:pPr>
              <w:spacing w:after="0"/>
              <w:rPr>
                <w:sz w:val="1"/>
                <w:szCs w:val="1"/>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320" w:type="dxa"/>
            <w:vAlign w:val="bottom"/>
            <w:gridSpan w:val="2"/>
          </w:tcPr>
          <w:p>
            <w:pPr>
              <w:spacing w:after="0"/>
              <w:rPr>
                <w:sz w:val="20"/>
                <w:szCs w:val="20"/>
                <w:color w:val="auto"/>
              </w:rPr>
            </w:pPr>
            <w:r>
              <w:rPr>
                <w:rFonts w:ascii="Arial" w:cs="Arial" w:eastAsia="Arial" w:hAnsi="Arial"/>
                <w:sz w:val="18"/>
                <w:szCs w:val="18"/>
                <w:color w:val="auto"/>
              </w:rPr>
              <w:t>NAME OF REPORTING PERSON</w:t>
            </w:r>
          </w:p>
        </w:tc>
        <w:tc>
          <w:tcPr>
            <w:tcW w:w="518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I.R.S. IDENTIFICATION NO. OF ABOVE PERSONS (ENTITIES ONLY)</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Dr. James I. Healy (“Healy”)</w:t>
            </w: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8500" w:type="dxa"/>
            <w:vAlign w:val="bottom"/>
            <w:tcBorders>
              <w:bottom w:val="single" w:sz="8" w:color="auto"/>
            </w:tcBorders>
            <w:gridSpan w:val="3"/>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85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520" w:type="dxa"/>
            <w:vAlign w:val="bottom"/>
          </w:tcPr>
          <w:p>
            <w:pPr>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520" w:type="dxa"/>
            <w:vAlign w:val="bottom"/>
          </w:tcPr>
          <w:p>
            <w:pPr>
              <w:spacing w:after="0"/>
              <w:rPr>
                <w:sz w:val="20"/>
                <w:szCs w:val="20"/>
                <w:color w:val="auto"/>
              </w:rPr>
            </w:pPr>
            <w:r>
              <w:rPr>
                <w:rFonts w:ascii="Arial" w:cs="Arial" w:eastAsia="Arial" w:hAnsi="Arial"/>
                <w:sz w:val="18"/>
                <w:szCs w:val="18"/>
                <w:color w:val="auto"/>
              </w:rPr>
              <w:t>SOURCE OF FUNDS</w:t>
            </w: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AF</w:t>
            </w: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8500" w:type="dxa"/>
            <w:vAlign w:val="bottom"/>
            <w:tcBorders>
              <w:bottom w:val="single" w:sz="8" w:color="auto"/>
            </w:tcBorders>
            <w:gridSpan w:val="3"/>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8500" w:type="dxa"/>
            <w:vAlign w:val="bottom"/>
            <w:gridSpan w:val="3"/>
          </w:tcPr>
          <w:p>
            <w:pPr>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1980" w:type="dxa"/>
            <w:vAlign w:val="bottom"/>
            <w:tcBorders>
              <w:right w:val="single" w:sz="8" w:color="auto"/>
            </w:tcBorders>
          </w:tcPr>
          <w:p>
            <w:pPr>
              <w:jc w:val="right"/>
              <w:ind w:right="16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61"/>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gridSpan w:val="3"/>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85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 U.S. Citizen</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tcBorders>
          </w:tcPr>
          <w:p>
            <w:pPr>
              <w:spacing w:after="0"/>
              <w:rPr>
                <w:sz w:val="16"/>
                <w:szCs w:val="16"/>
                <w:color w:val="auto"/>
              </w:rPr>
            </w:pPr>
          </w:p>
        </w:tc>
        <w:tc>
          <w:tcPr>
            <w:tcW w:w="2520" w:type="dxa"/>
            <w:vAlign w:val="bottom"/>
            <w:tcBorders>
              <w:right w:val="single" w:sz="8" w:color="auto"/>
            </w:tcBorders>
          </w:tcPr>
          <w:p>
            <w:pPr>
              <w:jc w:val="center"/>
              <w:ind w:right="850"/>
              <w:spacing w:after="0" w:line="195" w:lineRule="exact"/>
              <w:rPr>
                <w:sz w:val="20"/>
                <w:szCs w:val="20"/>
                <w:color w:val="auto"/>
              </w:rPr>
            </w:pPr>
            <w:r>
              <w:rPr>
                <w:rFonts w:ascii="Arial" w:cs="Arial" w:eastAsia="Arial" w:hAnsi="Arial"/>
                <w:sz w:val="18"/>
                <w:szCs w:val="18"/>
                <w:color w:val="auto"/>
                <w:w w:val="98"/>
              </w:rPr>
              <w:t>NUMBER OF</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180" w:type="dxa"/>
            <w:vAlign w:val="bottom"/>
            <w:vMerge w:val="restart"/>
          </w:tcPr>
          <w:p>
            <w:pPr>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vMerge w:val="continue"/>
          </w:tcPr>
          <w:p>
            <w:pPr>
              <w:spacing w:after="0"/>
              <w:rPr>
                <w:sz w:val="7"/>
                <w:szCs w:val="7"/>
                <w:color w:val="auto"/>
              </w:rPr>
            </w:pPr>
          </w:p>
        </w:tc>
        <w:tc>
          <w:tcPr>
            <w:tcW w:w="5180" w:type="dxa"/>
            <w:vAlign w:val="bottom"/>
            <w:vMerge w:val="continue"/>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tcBorders>
          </w:tcPr>
          <w:p>
            <w:pPr>
              <w:spacing w:after="0"/>
              <w:rPr>
                <w:sz w:val="11"/>
                <w:szCs w:val="11"/>
                <w:color w:val="auto"/>
              </w:rPr>
            </w:pPr>
          </w:p>
        </w:tc>
        <w:tc>
          <w:tcPr>
            <w:tcW w:w="2520" w:type="dxa"/>
            <w:vAlign w:val="bottom"/>
            <w:tcBorders>
              <w:right w:val="single" w:sz="8" w:color="auto"/>
            </w:tcBorders>
            <w:vMerge w:val="continue"/>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1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2"/>
              </w:rPr>
              <w:t>7,111 shares subject to stock options exercisable by Healy within 60 days of the date of this filing</w:t>
            </w:r>
          </w:p>
        </w:tc>
        <w:tc>
          <w:tcPr>
            <w:tcW w:w="0" w:type="dxa"/>
            <w:vAlign w:val="bottom"/>
          </w:tcPr>
          <w:p>
            <w:pPr>
              <w:spacing w:after="0"/>
              <w:rPr>
                <w:sz w:val="1"/>
                <w:szCs w:val="1"/>
                <w:color w:val="auto"/>
              </w:rPr>
            </w:pPr>
          </w:p>
        </w:tc>
      </w:tr>
      <w:tr>
        <w:trPr>
          <w:trHeight w:val="95"/>
        </w:trPr>
        <w:tc>
          <w:tcPr>
            <w:tcW w:w="940" w:type="dxa"/>
            <w:vAlign w:val="bottom"/>
            <w:tcBorders>
              <w:left w:val="single" w:sz="8" w:color="auto"/>
            </w:tcBorders>
          </w:tcPr>
          <w:p>
            <w:pPr>
              <w:spacing w:after="0"/>
              <w:rPr>
                <w:sz w:val="8"/>
                <w:szCs w:val="8"/>
                <w:color w:val="auto"/>
              </w:rPr>
            </w:pPr>
          </w:p>
        </w:tc>
        <w:tc>
          <w:tcPr>
            <w:tcW w:w="2520" w:type="dxa"/>
            <w:vAlign w:val="bottom"/>
            <w:tcBorders>
              <w:right w:val="single" w:sz="8" w:color="auto"/>
            </w:tcBorders>
            <w:vMerge w:val="restart"/>
          </w:tcPr>
          <w:p>
            <w:pPr>
              <w:jc w:val="center"/>
              <w:ind w:right="850"/>
              <w:spacing w:after="0" w:line="157" w:lineRule="exact"/>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8"/>
                <w:szCs w:val="8"/>
                <w:color w:val="auto"/>
              </w:rPr>
            </w:pPr>
          </w:p>
        </w:tc>
        <w:tc>
          <w:tcPr>
            <w:tcW w:w="71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520" w:type="dxa"/>
            <w:vAlign w:val="bottom"/>
            <w:tcBorders>
              <w:right w:val="single" w:sz="8" w:color="auto"/>
            </w:tcBorders>
            <w:vMerge w:val="continue"/>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518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1"/>
              </w:rPr>
              <w:t>REPORTING</w:t>
            </w: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4"/>
              </w:rPr>
              <w:t>2,104,278 shares, all of which are owned directly by SVP X. SM X, the general partner of SVP</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5"/>
              </w:rPr>
              <w:t>X, may be deemed to have sole voting power, and Healy, a managing member of SM X and a</w:t>
            </w:r>
          </w:p>
        </w:tc>
        <w:tc>
          <w:tcPr>
            <w:tcW w:w="0" w:type="dxa"/>
            <w:vAlign w:val="bottom"/>
          </w:tcPr>
          <w:p>
            <w:pPr>
              <w:spacing w:after="0"/>
              <w:rPr>
                <w:sz w:val="1"/>
                <w:szCs w:val="1"/>
                <w:color w:val="auto"/>
              </w:rPr>
            </w:pPr>
          </w:p>
        </w:tc>
      </w:tr>
      <w:tr>
        <w:trPr>
          <w:trHeight w:val="270"/>
        </w:trPr>
        <w:tc>
          <w:tcPr>
            <w:tcW w:w="940" w:type="dxa"/>
            <w:vAlign w:val="bottom"/>
            <w:tcBorders>
              <w:left w:val="single" w:sz="8" w:color="auto"/>
            </w:tcBorders>
          </w:tcPr>
          <w:p>
            <w:pPr>
              <w:spacing w:after="0"/>
              <w:rPr>
                <w:sz w:val="23"/>
                <w:szCs w:val="23"/>
                <w:color w:val="auto"/>
              </w:rPr>
            </w:pPr>
          </w:p>
        </w:tc>
        <w:tc>
          <w:tcPr>
            <w:tcW w:w="252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23"/>
                <w:szCs w:val="23"/>
                <w:color w:val="auto"/>
              </w:rPr>
            </w:pPr>
          </w:p>
        </w:tc>
        <w:tc>
          <w:tcPr>
            <w:tcW w:w="71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director of the Issuer, may be deemed to have shared voting power to vote these shares.</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94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w:t>
            </w:r>
          </w:p>
        </w:tc>
        <w:tc>
          <w:tcPr>
            <w:tcW w:w="51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7,111 shares subject to stock options exercisable by Healy within 60 days of the date of this filing</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tcBorders>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94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51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2,104,278 shares, all of which are owned directly by SVP X. SM X, the general partner of SVP</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1"/>
              </w:rPr>
              <w:t>X, may be deemed to have sole dispositive power, and Healy, a managing member of SM X and a</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director of the Issuer, may be deemed to have shared power to dispose of these shares.</w:t>
            </w:r>
          </w:p>
        </w:tc>
        <w:tc>
          <w:tcPr>
            <w:tcW w:w="0" w:type="dxa"/>
            <w:vAlign w:val="bottom"/>
          </w:tcPr>
          <w:p>
            <w:pPr>
              <w:spacing w:after="0"/>
              <w:rPr>
                <w:sz w:val="1"/>
                <w:szCs w:val="1"/>
                <w:color w:val="auto"/>
              </w:rPr>
            </w:pPr>
          </w:p>
        </w:tc>
      </w:tr>
      <w:tr>
        <w:trPr>
          <w:trHeight w:val="81"/>
        </w:trPr>
        <w:tc>
          <w:tcPr>
            <w:tcW w:w="940" w:type="dxa"/>
            <w:vAlign w:val="bottom"/>
            <w:tcBorders>
              <w:left w:val="single" w:sz="8" w:color="auto"/>
              <w:bottom w:val="single" w:sz="8" w:color="auto"/>
            </w:tcBorders>
          </w:tcPr>
          <w:p>
            <w:pPr>
              <w:spacing w:after="0"/>
              <w:rPr>
                <w:sz w:val="7"/>
                <w:szCs w:val="7"/>
                <w:color w:val="auto"/>
              </w:rPr>
            </w:pPr>
          </w:p>
        </w:tc>
        <w:tc>
          <w:tcPr>
            <w:tcW w:w="2520" w:type="dxa"/>
            <w:vAlign w:val="bottom"/>
            <w:tcBorders>
              <w:bottom w:val="single" w:sz="8" w:color="auto"/>
              <w:right w:val="single" w:sz="8" w:color="auto"/>
            </w:tcBorders>
          </w:tcPr>
          <w:p>
            <w:pPr>
              <w:spacing w:after="0"/>
              <w:rPr>
                <w:sz w:val="7"/>
                <w:szCs w:val="7"/>
                <w:color w:val="auto"/>
              </w:rPr>
            </w:pPr>
          </w:p>
        </w:tc>
        <w:tc>
          <w:tcPr>
            <w:tcW w:w="800" w:type="dxa"/>
            <w:vAlign w:val="bottom"/>
            <w:tcBorders>
              <w:bottom w:val="single" w:sz="8" w:color="auto"/>
              <w:right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85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2,111,389</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85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980" w:type="dxa"/>
            <w:vAlign w:val="bottom"/>
            <w:tcBorders>
              <w:right w:val="single" w:sz="8" w:color="auto"/>
            </w:tcBorders>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940" w:type="dxa"/>
            <w:vAlign w:val="bottom"/>
            <w:tcBorders>
              <w:left w:val="single" w:sz="8" w:color="auto"/>
              <w:bottom w:val="single" w:sz="8" w:color="auto"/>
              <w:right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5180" w:type="dxa"/>
            <w:vAlign w:val="bottom"/>
            <w:tcBorders>
              <w:bottom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85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2520" w:type="dxa"/>
            <w:vAlign w:val="bottom"/>
          </w:tcPr>
          <w:p>
            <w:pPr>
              <w:spacing w:after="0"/>
              <w:rPr>
                <w:sz w:val="20"/>
                <w:szCs w:val="20"/>
                <w:color w:val="auto"/>
              </w:rPr>
            </w:pPr>
            <w:r>
              <w:rPr>
                <w:rFonts w:ascii="Arial" w:cs="Arial" w:eastAsia="Arial" w:hAnsi="Arial"/>
                <w:sz w:val="18"/>
                <w:szCs w:val="18"/>
                <w:color w:val="auto"/>
                <w:w w:val="91"/>
              </w:rPr>
              <w:t>TYPE OF REPORTING PERSON</w:t>
            </w: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5"/>
        </w:trPr>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60" w:type="dxa"/>
            <w:vAlign w:val="bottom"/>
            <w:gridSpan w:val="2"/>
          </w:tcPr>
          <w:p>
            <w:pPr>
              <w:spacing w:after="0"/>
              <w:rPr>
                <w:sz w:val="20"/>
                <w:szCs w:val="20"/>
                <w:color w:val="auto"/>
              </w:rPr>
            </w:pPr>
            <w:r>
              <w:rPr>
                <w:rFonts w:ascii="Arial" w:cs="Arial" w:eastAsia="Arial" w:hAnsi="Arial"/>
                <w:sz w:val="18"/>
                <w:szCs w:val="18"/>
                <w:color w:val="auto"/>
              </w:rPr>
              <w:t>CUSIP NO. 984241109</w:t>
            </w:r>
          </w:p>
        </w:tc>
        <w:tc>
          <w:tcPr>
            <w:tcW w:w="800" w:type="dxa"/>
            <w:vAlign w:val="bottom"/>
          </w:tcPr>
          <w:p>
            <w:pPr>
              <w:spacing w:after="0"/>
              <w:rPr>
                <w:sz w:val="20"/>
                <w:szCs w:val="20"/>
                <w:color w:val="auto"/>
              </w:rPr>
            </w:pPr>
          </w:p>
        </w:tc>
        <w:tc>
          <w:tcPr>
            <w:tcW w:w="5180" w:type="dxa"/>
            <w:vAlign w:val="bottom"/>
          </w:tcPr>
          <w:p>
            <w:pPr>
              <w:ind w:left="1300"/>
              <w:spacing w:after="0"/>
              <w:rPr>
                <w:sz w:val="20"/>
                <w:szCs w:val="20"/>
                <w:color w:val="auto"/>
              </w:rPr>
            </w:pPr>
            <w:r>
              <w:rPr>
                <w:rFonts w:ascii="Arial" w:cs="Arial" w:eastAsia="Arial" w:hAnsi="Arial"/>
                <w:sz w:val="18"/>
                <w:szCs w:val="18"/>
                <w:color w:val="auto"/>
              </w:rPr>
              <w:t>13D</w:t>
            </w:r>
          </w:p>
        </w:tc>
        <w:tc>
          <w:tcPr>
            <w:tcW w:w="1980" w:type="dxa"/>
            <w:vAlign w:val="bottom"/>
          </w:tcPr>
          <w:p>
            <w:pPr>
              <w:jc w:val="right"/>
              <w:spacing w:after="0"/>
              <w:rPr>
                <w:sz w:val="20"/>
                <w:szCs w:val="20"/>
                <w:color w:val="auto"/>
              </w:rPr>
            </w:pPr>
            <w:r>
              <w:rPr>
                <w:rFonts w:ascii="Arial" w:cs="Arial" w:eastAsia="Arial" w:hAnsi="Arial"/>
                <w:sz w:val="18"/>
                <w:szCs w:val="18"/>
                <w:color w:val="auto"/>
              </w:rPr>
              <w:t>Page 6 of 13</w:t>
            </w:r>
          </w:p>
        </w:tc>
        <w:tc>
          <w:tcPr>
            <w:tcW w:w="0" w:type="dxa"/>
            <w:vAlign w:val="bottom"/>
          </w:tcPr>
          <w:p>
            <w:pPr>
              <w:spacing w:after="0"/>
              <w:rPr>
                <w:sz w:val="1"/>
                <w:szCs w:val="1"/>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3320" w:type="dxa"/>
            <w:vAlign w:val="bottom"/>
            <w:gridSpan w:val="2"/>
          </w:tcPr>
          <w:p>
            <w:pPr>
              <w:spacing w:after="0"/>
              <w:rPr>
                <w:sz w:val="20"/>
                <w:szCs w:val="20"/>
                <w:color w:val="auto"/>
              </w:rPr>
            </w:pPr>
            <w:r>
              <w:rPr>
                <w:rFonts w:ascii="Arial" w:cs="Arial" w:eastAsia="Arial" w:hAnsi="Arial"/>
                <w:sz w:val="18"/>
                <w:szCs w:val="18"/>
                <w:color w:val="auto"/>
              </w:rPr>
              <w:t>NAME OF REPORTING PERSON</w:t>
            </w:r>
          </w:p>
        </w:tc>
        <w:tc>
          <w:tcPr>
            <w:tcW w:w="518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8500" w:type="dxa"/>
            <w:vAlign w:val="bottom"/>
            <w:gridSpan w:val="3"/>
          </w:tcPr>
          <w:p>
            <w:pPr>
              <w:spacing w:after="0"/>
              <w:rPr>
                <w:sz w:val="20"/>
                <w:szCs w:val="20"/>
                <w:color w:val="auto"/>
              </w:rPr>
            </w:pPr>
            <w:r>
              <w:rPr>
                <w:rFonts w:ascii="Arial" w:cs="Arial" w:eastAsia="Arial" w:hAnsi="Arial"/>
                <w:sz w:val="18"/>
                <w:szCs w:val="18"/>
                <w:color w:val="auto"/>
              </w:rPr>
              <w:t>I.R.S. IDENTIFICATION NO. OF ABOVE PERSONS (ENTITIES ONLY)</w:t>
            </w:r>
          </w:p>
        </w:tc>
        <w:tc>
          <w:tcPr>
            <w:tcW w:w="1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Dr. Anand Mehra (“Mehra”)</w:t>
            </w: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8500" w:type="dxa"/>
            <w:vAlign w:val="bottom"/>
            <w:tcBorders>
              <w:bottom w:val="single" w:sz="8" w:color="auto"/>
            </w:tcBorders>
            <w:gridSpan w:val="3"/>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850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vMerge w:val="restart"/>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2520" w:type="dxa"/>
            <w:vAlign w:val="bottom"/>
          </w:tcPr>
          <w:p>
            <w:pPr>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2520" w:type="dxa"/>
            <w:vAlign w:val="bottom"/>
          </w:tcPr>
          <w:p>
            <w:pPr>
              <w:spacing w:after="0"/>
              <w:rPr>
                <w:sz w:val="20"/>
                <w:szCs w:val="20"/>
                <w:color w:val="auto"/>
              </w:rPr>
            </w:pPr>
            <w:r>
              <w:rPr>
                <w:rFonts w:ascii="Arial" w:cs="Arial" w:eastAsia="Arial" w:hAnsi="Arial"/>
                <w:sz w:val="18"/>
                <w:szCs w:val="18"/>
                <w:color w:val="auto"/>
              </w:rPr>
              <w:t>SOURCE OF FUNDS</w:t>
            </w: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AF</w:t>
            </w: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8500" w:type="dxa"/>
            <w:vAlign w:val="bottom"/>
            <w:tcBorders>
              <w:bottom w:val="single" w:sz="8" w:color="auto"/>
            </w:tcBorders>
            <w:gridSpan w:val="3"/>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8500" w:type="dxa"/>
            <w:vAlign w:val="bottom"/>
            <w:gridSpan w:val="3"/>
          </w:tcPr>
          <w:p>
            <w:pPr>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1980" w:type="dxa"/>
            <w:vAlign w:val="bottom"/>
            <w:tcBorders>
              <w:right w:val="single" w:sz="8" w:color="auto"/>
            </w:tcBorders>
          </w:tcPr>
          <w:p>
            <w:pPr>
              <w:jc w:val="right"/>
              <w:ind w:right="16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8500" w:type="dxa"/>
            <w:vAlign w:val="bottom"/>
            <w:tcBorders>
              <w:bottom w:val="single" w:sz="8" w:color="auto"/>
            </w:tcBorders>
            <w:gridSpan w:val="3"/>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85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 U.S. Citizen</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940" w:type="dxa"/>
            <w:vAlign w:val="bottom"/>
            <w:tcBorders>
              <w:left w:val="single" w:sz="8" w:color="auto"/>
            </w:tcBorders>
          </w:tcPr>
          <w:p>
            <w:pPr>
              <w:spacing w:after="0"/>
              <w:rPr>
                <w:sz w:val="16"/>
                <w:szCs w:val="16"/>
                <w:color w:val="auto"/>
              </w:rPr>
            </w:pPr>
          </w:p>
        </w:tc>
        <w:tc>
          <w:tcPr>
            <w:tcW w:w="2520" w:type="dxa"/>
            <w:vAlign w:val="bottom"/>
            <w:tcBorders>
              <w:right w:val="single" w:sz="8" w:color="auto"/>
            </w:tcBorders>
          </w:tcPr>
          <w:p>
            <w:pPr>
              <w:jc w:val="center"/>
              <w:ind w:right="850"/>
              <w:spacing w:after="0" w:line="195" w:lineRule="exact"/>
              <w:rPr>
                <w:sz w:val="20"/>
                <w:szCs w:val="20"/>
                <w:color w:val="auto"/>
              </w:rPr>
            </w:pPr>
            <w:r>
              <w:rPr>
                <w:rFonts w:ascii="Arial" w:cs="Arial" w:eastAsia="Arial" w:hAnsi="Arial"/>
                <w:sz w:val="18"/>
                <w:szCs w:val="18"/>
                <w:color w:val="auto"/>
                <w:w w:val="98"/>
              </w:rPr>
              <w:t>NUMBER OF</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7</w:t>
            </w:r>
          </w:p>
        </w:tc>
        <w:tc>
          <w:tcPr>
            <w:tcW w:w="5180" w:type="dxa"/>
            <w:vAlign w:val="bottom"/>
            <w:vMerge w:val="restart"/>
          </w:tcPr>
          <w:p>
            <w:pPr>
              <w:spacing w:after="0"/>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4"/>
              </w:rPr>
              <w:t>SHARES</w:t>
            </w:r>
          </w:p>
        </w:tc>
        <w:tc>
          <w:tcPr>
            <w:tcW w:w="800" w:type="dxa"/>
            <w:vAlign w:val="bottom"/>
            <w:tcBorders>
              <w:right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1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5180" w:type="dxa"/>
            <w:vAlign w:val="bottom"/>
            <w:vMerge w:val="restart"/>
          </w:tcPr>
          <w:p>
            <w:pPr>
              <w:spacing w:after="0"/>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9"/>
              </w:rPr>
              <w:t>BENEFICIALLY</w:t>
            </w:r>
          </w:p>
        </w:tc>
        <w:tc>
          <w:tcPr>
            <w:tcW w:w="800" w:type="dxa"/>
            <w:vAlign w:val="bottom"/>
            <w:tcBorders>
              <w:right w:val="single" w:sz="8" w:color="auto"/>
            </w:tcBorders>
          </w:tcPr>
          <w:p>
            <w:pPr>
              <w:spacing w:after="0"/>
              <w:rPr>
                <w:sz w:val="10"/>
                <w:szCs w:val="10"/>
                <w:color w:val="auto"/>
              </w:rPr>
            </w:pPr>
          </w:p>
        </w:tc>
        <w:tc>
          <w:tcPr>
            <w:tcW w:w="5180" w:type="dxa"/>
            <w:vAlign w:val="bottom"/>
            <w:vMerge w:val="continue"/>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940" w:type="dxa"/>
            <w:vAlign w:val="bottom"/>
            <w:tcBorders>
              <w:left w:val="single" w:sz="8" w:color="auto"/>
            </w:tcBorders>
          </w:tcPr>
          <w:p>
            <w:pPr>
              <w:spacing w:after="0"/>
              <w:rPr>
                <w:sz w:val="15"/>
                <w:szCs w:val="15"/>
                <w:color w:val="auto"/>
              </w:rPr>
            </w:pPr>
          </w:p>
        </w:tc>
        <w:tc>
          <w:tcPr>
            <w:tcW w:w="2520" w:type="dxa"/>
            <w:vAlign w:val="bottom"/>
            <w:tcBorders>
              <w:right w:val="single" w:sz="8" w:color="auto"/>
            </w:tcBorders>
          </w:tcPr>
          <w:p>
            <w:pPr>
              <w:jc w:val="center"/>
              <w:ind w:right="850"/>
              <w:spacing w:after="0" w:line="182" w:lineRule="exact"/>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8</w:t>
            </w:r>
          </w:p>
        </w:tc>
        <w:tc>
          <w:tcPr>
            <w:tcW w:w="51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1"/>
              </w:rPr>
              <w:t>REPORTING</w:t>
            </w:r>
          </w:p>
        </w:tc>
        <w:tc>
          <w:tcPr>
            <w:tcW w:w="800" w:type="dxa"/>
            <w:vAlign w:val="bottom"/>
            <w:tcBorders>
              <w:right w:val="single" w:sz="8" w:color="auto"/>
            </w:tcBorders>
            <w:vMerge w:val="continue"/>
          </w:tcPr>
          <w:p>
            <w:pPr>
              <w:spacing w:after="0"/>
              <w:rPr>
                <w:sz w:val="10"/>
                <w:szCs w:val="10"/>
                <w:color w:val="auto"/>
              </w:rPr>
            </w:pPr>
          </w:p>
        </w:tc>
        <w:tc>
          <w:tcPr>
            <w:tcW w:w="5180" w:type="dxa"/>
            <w:vAlign w:val="bottom"/>
            <w:vMerge w:val="continue"/>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40" w:type="dxa"/>
            <w:vAlign w:val="bottom"/>
            <w:tcBorders>
              <w:left w:val="single" w:sz="8" w:color="auto"/>
            </w:tcBorders>
          </w:tcPr>
          <w:p>
            <w:pPr>
              <w:spacing w:after="0"/>
              <w:rPr>
                <w:sz w:val="8"/>
                <w:szCs w:val="8"/>
                <w:color w:val="auto"/>
              </w:rPr>
            </w:pPr>
          </w:p>
        </w:tc>
        <w:tc>
          <w:tcPr>
            <w:tcW w:w="25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1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5"/>
              </w:rPr>
              <w:t>2,104,278 shares, all of which are owned directly by SVP X. SM X, the general partner of SVP</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2"/>
              </w:rPr>
              <w:t>PERSON</w:t>
            </w:r>
          </w:p>
        </w:tc>
        <w:tc>
          <w:tcPr>
            <w:tcW w:w="800" w:type="dxa"/>
            <w:vAlign w:val="bottom"/>
            <w:tcBorders>
              <w:right w:val="single" w:sz="8" w:color="auto"/>
            </w:tcBorders>
          </w:tcPr>
          <w:p>
            <w:pPr>
              <w:spacing w:after="0"/>
              <w:rPr>
                <w:sz w:val="10"/>
                <w:szCs w:val="10"/>
                <w:color w:val="auto"/>
              </w:rPr>
            </w:pPr>
          </w:p>
        </w:tc>
        <w:tc>
          <w:tcPr>
            <w:tcW w:w="71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40" w:type="dxa"/>
            <w:vAlign w:val="bottom"/>
            <w:tcBorders>
              <w:left w:val="single" w:sz="8" w:color="auto"/>
            </w:tcBorders>
          </w:tcPr>
          <w:p>
            <w:pPr>
              <w:spacing w:after="0"/>
              <w:rPr>
                <w:sz w:val="8"/>
                <w:szCs w:val="8"/>
                <w:color w:val="auto"/>
              </w:rPr>
            </w:pPr>
          </w:p>
        </w:tc>
        <w:tc>
          <w:tcPr>
            <w:tcW w:w="25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tcPr>
          <w:p>
            <w:pPr>
              <w:spacing w:after="0"/>
              <w:rPr>
                <w:sz w:val="8"/>
                <w:szCs w:val="8"/>
                <w:color w:val="auto"/>
              </w:rPr>
            </w:pPr>
          </w:p>
        </w:tc>
        <w:tc>
          <w:tcPr>
            <w:tcW w:w="716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color w:val="auto"/>
                <w:w w:val="92"/>
              </w:rPr>
              <w:t>X, may be deemed to have sole voting power, and Mehra, a managing member of SM X, may be</w:t>
            </w: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vMerge w:val="restart"/>
          </w:tcPr>
          <w:p>
            <w:pPr>
              <w:jc w:val="center"/>
              <w:ind w:right="850"/>
              <w:spacing w:after="0"/>
              <w:rPr>
                <w:sz w:val="20"/>
                <w:szCs w:val="20"/>
                <w:color w:val="auto"/>
              </w:rPr>
            </w:pPr>
            <w:r>
              <w:rPr>
                <w:rFonts w:ascii="Arial" w:cs="Arial" w:eastAsia="Arial" w:hAnsi="Arial"/>
                <w:sz w:val="18"/>
                <w:szCs w:val="18"/>
                <w:color w:val="auto"/>
                <w:w w:val="99"/>
              </w:rPr>
              <w:t>WITH</w:t>
            </w:r>
          </w:p>
        </w:tc>
        <w:tc>
          <w:tcPr>
            <w:tcW w:w="800" w:type="dxa"/>
            <w:vAlign w:val="bottom"/>
            <w:tcBorders>
              <w:right w:val="single" w:sz="8" w:color="auto"/>
            </w:tcBorders>
          </w:tcPr>
          <w:p>
            <w:pPr>
              <w:spacing w:after="0"/>
              <w:rPr>
                <w:sz w:val="10"/>
                <w:szCs w:val="10"/>
                <w:color w:val="auto"/>
              </w:rPr>
            </w:pPr>
          </w:p>
        </w:tc>
        <w:tc>
          <w:tcPr>
            <w:tcW w:w="71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vMerge w:val="continue"/>
          </w:tcPr>
          <w:p>
            <w:pPr>
              <w:spacing w:after="0"/>
              <w:rPr>
                <w:sz w:val="9"/>
                <w:szCs w:val="9"/>
                <w:color w:val="auto"/>
              </w:rPr>
            </w:pPr>
          </w:p>
        </w:tc>
        <w:tc>
          <w:tcPr>
            <w:tcW w:w="800" w:type="dxa"/>
            <w:vAlign w:val="bottom"/>
            <w:tcBorders>
              <w:right w:val="single" w:sz="8" w:color="auto"/>
            </w:tcBorders>
          </w:tcPr>
          <w:p>
            <w:pPr>
              <w:spacing w:after="0"/>
              <w:rPr>
                <w:sz w:val="9"/>
                <w:szCs w:val="9"/>
                <w:color w:val="auto"/>
              </w:rPr>
            </w:pPr>
          </w:p>
        </w:tc>
        <w:tc>
          <w:tcPr>
            <w:tcW w:w="5180" w:type="dxa"/>
            <w:vAlign w:val="bottom"/>
            <w:vMerge w:val="restart"/>
          </w:tcPr>
          <w:p>
            <w:pPr>
              <w:spacing w:after="0"/>
              <w:rPr>
                <w:sz w:val="20"/>
                <w:szCs w:val="20"/>
                <w:color w:val="auto"/>
              </w:rPr>
            </w:pPr>
            <w:r>
              <w:rPr>
                <w:rFonts w:ascii="Arial" w:cs="Arial" w:eastAsia="Arial" w:hAnsi="Arial"/>
                <w:sz w:val="18"/>
                <w:szCs w:val="18"/>
                <w:color w:val="auto"/>
              </w:rPr>
              <w:t>deemed to have shared voting power to vote these shares.</w:t>
            </w:r>
          </w:p>
        </w:tc>
        <w:tc>
          <w:tcPr>
            <w:tcW w:w="19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25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5180" w:type="dxa"/>
            <w:vAlign w:val="bottom"/>
            <w:vMerge w:val="continue"/>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w:t>
            </w:r>
          </w:p>
        </w:tc>
        <w:tc>
          <w:tcPr>
            <w:tcW w:w="5180" w:type="dxa"/>
            <w:vAlign w:val="bottom"/>
          </w:tcPr>
          <w:p>
            <w:pPr>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-0-</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2520" w:type="dxa"/>
            <w:vAlign w:val="bottom"/>
            <w:tcBorders>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940" w:type="dxa"/>
            <w:vAlign w:val="bottom"/>
            <w:tcBorders>
              <w:lef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51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5"/>
              </w:rPr>
              <w:t>2,104,278 shares, all of which are owned directly by SVP X. SM X, the general partner of SVP</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X, may be deemed to have sole dispositive power, and Mehra, a managing member of SM X,</w:t>
            </w:r>
          </w:p>
        </w:tc>
        <w:tc>
          <w:tcPr>
            <w:tcW w:w="0" w:type="dxa"/>
            <w:vAlign w:val="bottom"/>
          </w:tcPr>
          <w:p>
            <w:pPr>
              <w:spacing w:after="0"/>
              <w:rPr>
                <w:sz w:val="1"/>
                <w:szCs w:val="1"/>
                <w:color w:val="auto"/>
              </w:rPr>
            </w:pPr>
          </w:p>
        </w:tc>
      </w:tr>
      <w:tr>
        <w:trPr>
          <w:trHeight w:val="230"/>
        </w:trPr>
        <w:tc>
          <w:tcPr>
            <w:tcW w:w="940" w:type="dxa"/>
            <w:vAlign w:val="bottom"/>
            <w:tcBorders>
              <w:lef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7"/>
              </w:rPr>
              <w:t>may be deemed to have shared power to dispose of these shares.</w:t>
            </w:r>
          </w:p>
        </w:tc>
        <w:tc>
          <w:tcPr>
            <w:tcW w:w="1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800" w:type="dxa"/>
            <w:vAlign w:val="bottom"/>
            <w:tcBorders>
              <w:bottom w:val="single" w:sz="8" w:color="auto"/>
              <w:right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85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2,104,278</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850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980" w:type="dxa"/>
            <w:vAlign w:val="bottom"/>
            <w:tcBorders>
              <w:right w:val="single" w:sz="8" w:color="auto"/>
            </w:tcBorders>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40" w:type="dxa"/>
            <w:vAlign w:val="bottom"/>
            <w:tcBorders>
              <w:left w:val="single" w:sz="8" w:color="auto"/>
              <w:bottom w:val="single" w:sz="8" w:color="auto"/>
              <w:right w:val="single" w:sz="8" w:color="auto"/>
            </w:tcBorders>
          </w:tcPr>
          <w:p>
            <w:pPr>
              <w:spacing w:after="0"/>
              <w:rPr>
                <w:sz w:val="7"/>
                <w:szCs w:val="7"/>
                <w:color w:val="auto"/>
              </w:rPr>
            </w:pPr>
          </w:p>
        </w:tc>
        <w:tc>
          <w:tcPr>
            <w:tcW w:w="25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85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2520" w:type="dxa"/>
            <w:vAlign w:val="bottom"/>
          </w:tcPr>
          <w:p>
            <w:pPr>
              <w:spacing w:after="0"/>
              <w:rPr>
                <w:sz w:val="20"/>
                <w:szCs w:val="20"/>
                <w:color w:val="auto"/>
              </w:rPr>
            </w:pPr>
            <w:r>
              <w:rPr>
                <w:rFonts w:ascii="Arial" w:cs="Arial" w:eastAsia="Arial" w:hAnsi="Arial"/>
                <w:sz w:val="18"/>
                <w:szCs w:val="18"/>
                <w:color w:val="auto"/>
                <w:w w:val="91"/>
              </w:rPr>
              <w:t>TYPE OF REPORTING PERSON</w:t>
            </w:r>
          </w:p>
        </w:tc>
        <w:tc>
          <w:tcPr>
            <w:tcW w:w="8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2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180" w:type="dxa"/>
            <w:vAlign w:val="bottom"/>
            <w:tcBorders>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5"/>
        </w:trPr>
        <w:tc>
          <w:tcPr>
            <w:tcW w:w="9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6" w:name="page7"/>
    <w:bookmarkEnd w:id="6"/>
    <w:p>
      <w:pPr>
        <w:spacing w:after="0"/>
        <w:tabs>
          <w:tab w:leader="none" w:pos="5540" w:val="left"/>
          <w:tab w:leader="none" w:pos="1050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7 of 13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on Schedule 13D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Statement on Schedule 13D (“Schedule 13D”) relates to the beneficial ownership of Common Stock, $0.0001 par value per share (“Common Stock”) of Y-mAbs Therapeutics, Inc., a Delaware corporation (“Issuer”) and is being filed to reflect the acquisition of Common Stock by Sofinnova Venture Partners X, L.P., a Delaware limited partnership (“SVP X”), Sofinnova Management X, L.L.C., a Delaware limited liability company (“SM X”), Dr. Michael F. Powell (“Powell”), Dr. James I. Healy (“Healy”), and Dr. Anand Mehra (“Mehra” and collectively with SVP X, SM X, Powell, and Healy, the “Reporting Persons”).</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229" w:lineRule="exact"/>
        <w:rPr>
          <w:sz w:val="20"/>
          <w:szCs w:val="20"/>
          <w:color w:val="auto"/>
        </w:rPr>
      </w:pPr>
    </w:p>
    <w:p>
      <w:pPr>
        <w:ind w:left="1160" w:hanging="504"/>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class of equity securities to which this statement relates is the Common Stock of the Issuer.</w:t>
      </w:r>
    </w:p>
    <w:p>
      <w:pPr>
        <w:spacing w:after="0" w:line="228" w:lineRule="exact"/>
        <w:rPr>
          <w:rFonts w:ascii="Arial" w:cs="Arial" w:eastAsia="Arial" w:hAnsi="Arial"/>
          <w:sz w:val="18"/>
          <w:szCs w:val="18"/>
          <w:color w:val="auto"/>
        </w:rPr>
      </w:pPr>
    </w:p>
    <w:p>
      <w:pPr>
        <w:ind w:left="1180" w:hanging="524"/>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Issuer’s principal executive offices are located at 230 Park Avenue, 33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Floor, New York, NY 10169.</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229" w:lineRule="exact"/>
        <w:rPr>
          <w:sz w:val="20"/>
          <w:szCs w:val="20"/>
          <w:color w:val="auto"/>
        </w:rPr>
      </w:pPr>
    </w:p>
    <w:p>
      <w:pPr>
        <w:ind w:right="20" w:firstLine="656"/>
        <w:spacing w:after="0" w:line="277" w:lineRule="auto"/>
        <w:tabs>
          <w:tab w:leader="none" w:pos="11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persons and entities filing this Schedule 13D are SVP X, SM X, Powell, Healy, and Mehra. SM X, the general partner of SVP X, may be deemed to have sole power to vote and sole power to dispose of shares of the Issuer directly owned by SVP X.</w:t>
      </w:r>
    </w:p>
    <w:p>
      <w:pPr>
        <w:spacing w:after="0" w:line="170" w:lineRule="exact"/>
        <w:rPr>
          <w:rFonts w:ascii="Arial" w:cs="Arial" w:eastAsia="Arial" w:hAnsi="Arial"/>
          <w:sz w:val="18"/>
          <w:szCs w:val="18"/>
          <w:color w:val="auto"/>
        </w:rPr>
      </w:pPr>
    </w:p>
    <w:p>
      <w:pPr>
        <w:ind w:firstLine="656"/>
        <w:spacing w:after="0" w:line="277" w:lineRule="auto"/>
        <w:tabs>
          <w:tab w:leader="none" w:pos="12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the principal place of business for each of the Reporting Persons is c/o Sofinnova Ventures, 3000 Sand Hill Road, Bldg 4, Suite 250, Menlo Park, California 94025.</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21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occupation of each of the Reporting Persons is the venture capital investment business. The principal business of SVP X is to make investments in private and public companies, and the principal business of SM X is to serve as the general partner of SVP X. Powell, Healy and Mehra are the managing members of SM X. Healy is a member of the board of directors of the Issuer.</w:t>
      </w:r>
    </w:p>
    <w:p>
      <w:pPr>
        <w:spacing w:after="0" w:line="181" w:lineRule="exact"/>
        <w:rPr>
          <w:rFonts w:ascii="Arial" w:cs="Arial" w:eastAsia="Arial" w:hAnsi="Arial"/>
          <w:sz w:val="18"/>
          <w:szCs w:val="18"/>
          <w:color w:val="auto"/>
        </w:rPr>
      </w:pPr>
    </w:p>
    <w:p>
      <w:pPr>
        <w:ind w:right="20" w:firstLine="656"/>
        <w:spacing w:after="0" w:line="277" w:lineRule="auto"/>
        <w:tabs>
          <w:tab w:leader="none" w:pos="1303"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09"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left="1160" w:hanging="504"/>
        <w:spacing w:after="0"/>
        <w:tabs>
          <w:tab w:leader="none" w:pos="11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SVP X is a Delaware limited partnership. SM X is a Delaware limited liability company. Powell, Healy, and Mehra are U.S. citizens.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November 2017, SVP X purchased 1,604,278 shares of Common Stock from the Issuer at a purchase price of $9.35 per share, or $15,000,000.00 in the aggregate.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24, 2018, Healy was granted a non-employee stock option by the Issuer to purchase 32,000 shares of Common Stock at an exercise price of $11.16 per share. 1/36th of the shares of the option vest in equal monthly installments starting April 24, 2018 until such time as the option is 100% vested, subject to Healy continuing to be a service provider to the Issuer on each vesting date. Such option will expire on April 24, 2028.</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closing of the Issuer’s initial public offering of Common Stock (the “Offering”), SVP X purchased 500,000 shares of Common Stock at $16.00 per share, or $8,000,000 in the aggregate. Such purchase occurred pursuant to and on the terms set forth in the Issuer’s Prospectus filed pursuant to Rule 424(b)(4) on September 24, 2018 with the Securities and Exchange Commission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tabs>
          <w:tab w:leader="none" w:pos="5540" w:val="left"/>
          <w:tab w:leader="none" w:pos="1050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8 of 13</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noted above, the source of the funds for all purchases and acquisitions by the Reporting Persons was from working capital. Certain purchases by SVP X were made using its working capital funded partially through a line of credit with Silicon Valley Bank in the normal course of business and then paid down from the proceeds from investor capital calls.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Unless noted above, no part of the purchase price was borrowed by any Reporting Person for the purpose of acquiring any securities discussed in this Item 3.</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Reporting Persons hold their securities of the Issuer for investment purposes. Depending on the factors discussed herein, the Reporting Persons may, from time to time, acquire additional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(a,b) Regarding aggregate beneficial ownership, see Row 11 of the cover page of each Reporting Person. Regarding percentage beneficial 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 The percentage listed in Row 13 for each Reporting Person was calculated based upon 33,293,666 shares of Common Stock outstanding immediately after the Offering.</w:t>
      </w:r>
    </w:p>
    <w:p>
      <w:pPr>
        <w:spacing w:after="0" w:line="193" w:lineRule="exact"/>
        <w:rPr>
          <w:sz w:val="20"/>
          <w:szCs w:val="20"/>
          <w:color w:val="auto"/>
        </w:rPr>
      </w:pPr>
    </w:p>
    <w:p>
      <w:pPr>
        <w:ind w:left="1220" w:hanging="564"/>
        <w:spacing w:after="0"/>
        <w:tabs>
          <w:tab w:leader="none" w:pos="1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Except as set forth in Item 3 above, the Reporting Persons have not effected any transaction in the securities of the Issuer during the past 60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days.</w:t>
      </w:r>
    </w:p>
    <w:p>
      <w:pPr>
        <w:spacing w:after="0" w:line="211" w:lineRule="exact"/>
        <w:rPr>
          <w:sz w:val="20"/>
          <w:szCs w:val="20"/>
          <w:color w:val="auto"/>
        </w:rPr>
      </w:pPr>
    </w:p>
    <w:p>
      <w:pPr>
        <w:ind w:right="20" w:firstLine="656"/>
        <w:spacing w:after="0" w:line="342" w:lineRule="auto"/>
        <w:tabs>
          <w:tab w:leader="none" w:pos="1203" w:val="left"/>
        </w:tabs>
        <w:numPr>
          <w:ilvl w:val="0"/>
          <w:numId w:val="4"/>
        </w:numPr>
        <w:rPr>
          <w:rFonts w:ascii="Arial" w:cs="Arial" w:eastAsia="Arial" w:hAnsi="Arial"/>
          <w:sz w:val="16"/>
          <w:szCs w:val="16"/>
          <w:color w:val="auto"/>
        </w:rPr>
      </w:pPr>
      <w:r>
        <w:rPr>
          <w:rFonts w:ascii="Arial" w:cs="Arial" w:eastAsia="Arial" w:hAnsi="Arial"/>
          <w:sz w:val="16"/>
          <w:szCs w:val="16"/>
          <w:color w:val="auto"/>
        </w:rPr>
        <w:t>Under certain circumstances set forth in the limited partnership agreement of SVP X, the general partner and limited partners of SVP X may be deemed to have the right to receive dividends from, or the proceeds from, the sale of shares of the Issuer owned by such entity of which they are a partner.</w:t>
      </w:r>
    </w:p>
    <w:p>
      <w:pPr>
        <w:spacing w:after="0" w:line="123" w:lineRule="exact"/>
        <w:rPr>
          <w:rFonts w:ascii="Arial" w:cs="Arial" w:eastAsia="Arial" w:hAnsi="Arial"/>
          <w:sz w:val="16"/>
          <w:szCs w:val="16"/>
          <w:color w:val="auto"/>
        </w:rPr>
      </w:pPr>
    </w:p>
    <w:p>
      <w:pPr>
        <w:ind w:left="1180" w:hanging="524"/>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SVP X and Healy have agreed that, without the prior written consent of Merrill Lynch, Pierce, Fenner &amp; Smith Incorporated and Cowen and Company, LLC, on behalf of the Issuer’s underwriters, they will not, subject to limited exceptions, during the period ending 180 days after the date of the Prospectus (i) 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w:t>
      </w:r>
    </w:p>
    <w:p>
      <w:pPr>
        <w:spacing w:after="0" w:line="2" w:lineRule="exact"/>
        <w:rPr>
          <w:sz w:val="20"/>
          <w:szCs w:val="20"/>
          <w:color w:val="auto"/>
        </w:rPr>
      </w:pPr>
    </w:p>
    <w:p>
      <w:pPr>
        <w:jc w:val="both"/>
        <w:ind w:firstLine="8"/>
        <w:spacing w:after="0" w:line="252" w:lineRule="auto"/>
        <w:tabs>
          <w:tab w:leader="none" w:pos="27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shares of our common stock or any security convertible into or exercisable or exchangeable for our common stock, or with respect to the filing of any registration statement in connection therewith under the Securities Act; or (iii) enter into any swap or any other agreement or any transaction that transfers, in whole or in part, the economic consequence of ownership of our common stock, whether any transaction described above is to be settled by delivery of our common stock or such other securities, in cash or otherwise. Such Lock-Up Agreement is more fully described in the Prospectus and was filed as Exhibit B of Exhibit 1.1 to the Issuer’s Form S-1 Registration Statement (File No. 333-226999), and such description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tabs>
          <w:tab w:leader="none" w:pos="5540" w:val="left"/>
          <w:tab w:leader="none" w:pos="1050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9 of 13</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SVP X is a party to Registration Rights Agreement among the Issuer, SVP X and other shareholders. Subject to the terms of such Registration Rights Agreement, SVP X can demand that the Issuer file a registration statement or request that its Common Stock be covered by a registration statement that the Issuer is otherwise filing under certain specified circumstances. Such Registration Rights Agreement dated as of November 17, 2017 is more fully described in the Prospectus and was filed as Exhibit 4.3(a) to the Issuer’s Form S-1 Registration Statement (File No. File No. 333-226999), and such description is incorporated herein by reference.</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Healy, in his capacity as a director of the Issuer, along with the other directors of the Issuer, entered into an Indemnification Agreement with the Issuer. The form of such Indemnification Agreement was filed as Exhibit 10.11 to the Issuer’s Form S-1 Registration Statement (File No. 333-226999), and such description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EXHIBIT A</w:t>
            </w:r>
          </w:p>
        </w:tc>
        <w:tc>
          <w:tcPr>
            <w:tcW w:w="9480" w:type="dxa"/>
            <w:vAlign w:val="bottom"/>
          </w:tcPr>
          <w:p>
            <w:pPr>
              <w:ind w:left="1040"/>
              <w:spacing w:after="0"/>
              <w:rPr>
                <w:sz w:val="20"/>
                <w:szCs w:val="20"/>
                <w:color w:val="auto"/>
              </w:rPr>
            </w:pPr>
            <w:r>
              <w:rPr>
                <w:rFonts w:ascii="Arial" w:cs="Arial" w:eastAsia="Arial" w:hAnsi="Arial"/>
                <w:sz w:val="18"/>
                <w:szCs w:val="18"/>
                <w:color w:val="auto"/>
              </w:rPr>
              <w:t>Agreement of Joint Filing</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EXHIBIT B</w:t>
            </w:r>
          </w:p>
        </w:tc>
        <w:tc>
          <w:tcPr>
            <w:tcW w:w="9480" w:type="dxa"/>
            <w:vAlign w:val="bottom"/>
          </w:tcPr>
          <w:p>
            <w:pPr>
              <w:ind w:left="1040"/>
              <w:spacing w:after="0"/>
              <w:rPr>
                <w:sz w:val="20"/>
                <w:szCs w:val="20"/>
                <w:color w:val="auto"/>
              </w:rPr>
            </w:pPr>
            <w:r>
              <w:rPr>
                <w:rFonts w:ascii="Arial" w:cs="Arial" w:eastAsia="Arial" w:hAnsi="Arial"/>
                <w:sz w:val="18"/>
                <w:szCs w:val="18"/>
                <w:color w:val="auto"/>
              </w:rPr>
              <w:t>Power of Attorney</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EXHIBIT C</w:t>
            </w:r>
          </w:p>
        </w:tc>
        <w:tc>
          <w:tcPr>
            <w:tcW w:w="9480" w:type="dxa"/>
            <w:vAlign w:val="bottom"/>
          </w:tcPr>
          <w:p>
            <w:pPr>
              <w:ind w:left="1040"/>
              <w:spacing w:after="0"/>
              <w:rPr>
                <w:sz w:val="20"/>
                <w:szCs w:val="20"/>
                <w:color w:val="auto"/>
              </w:rPr>
            </w:pPr>
            <w:r>
              <w:rPr>
                <w:rFonts w:ascii="Arial" w:cs="Arial" w:eastAsia="Arial" w:hAnsi="Arial"/>
                <w:sz w:val="18"/>
                <w:szCs w:val="18"/>
                <w:color w:val="auto"/>
              </w:rPr>
              <w:t>Form of Lock-Up Agreement described in Item 6, filed as Exhibit B of Exhibit 1.1 to the Issuer’s Form S-1</w:t>
            </w:r>
          </w:p>
        </w:tc>
      </w:tr>
      <w:tr>
        <w:trPr>
          <w:trHeight w:val="216"/>
        </w:trPr>
        <w:tc>
          <w:tcPr>
            <w:tcW w:w="1940" w:type="dxa"/>
            <w:vAlign w:val="bottom"/>
          </w:tcPr>
          <w:p>
            <w:pPr>
              <w:spacing w:after="0"/>
              <w:rPr>
                <w:sz w:val="18"/>
                <w:szCs w:val="18"/>
                <w:color w:val="auto"/>
              </w:rPr>
            </w:pPr>
          </w:p>
        </w:tc>
        <w:tc>
          <w:tcPr>
            <w:tcW w:w="9480" w:type="dxa"/>
            <w:vAlign w:val="bottom"/>
          </w:tcPr>
          <w:p>
            <w:pPr>
              <w:ind w:left="1040"/>
              <w:spacing w:after="0"/>
              <w:rPr>
                <w:sz w:val="20"/>
                <w:szCs w:val="20"/>
                <w:color w:val="auto"/>
              </w:rPr>
            </w:pPr>
            <w:r>
              <w:rPr>
                <w:rFonts w:ascii="Arial" w:cs="Arial" w:eastAsia="Arial" w:hAnsi="Arial"/>
                <w:sz w:val="18"/>
                <w:szCs w:val="18"/>
                <w:color w:val="auto"/>
              </w:rPr>
              <w:t>Registration Statement (File No. 333-226999) is incorporated herein by reference.</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EXHIBIT D</w:t>
            </w:r>
          </w:p>
        </w:tc>
        <w:tc>
          <w:tcPr>
            <w:tcW w:w="9480" w:type="dxa"/>
            <w:vAlign w:val="bottom"/>
          </w:tcPr>
          <w:p>
            <w:pPr>
              <w:ind w:left="1040"/>
              <w:spacing w:after="0"/>
              <w:rPr>
                <w:sz w:val="20"/>
                <w:szCs w:val="20"/>
                <w:color w:val="auto"/>
              </w:rPr>
            </w:pPr>
            <w:r>
              <w:rPr>
                <w:rFonts w:ascii="Arial" w:cs="Arial" w:eastAsia="Arial" w:hAnsi="Arial"/>
                <w:sz w:val="18"/>
                <w:szCs w:val="18"/>
                <w:color w:val="auto"/>
                <w:w w:val="95"/>
              </w:rPr>
              <w:t>Registration Rights Agreement described in Item 6, filed as Exhibit 4.3(a) to the Issuer’s Form S-1 Registration</w:t>
            </w:r>
          </w:p>
        </w:tc>
      </w:tr>
      <w:tr>
        <w:trPr>
          <w:trHeight w:val="216"/>
        </w:trPr>
        <w:tc>
          <w:tcPr>
            <w:tcW w:w="1940" w:type="dxa"/>
            <w:vAlign w:val="bottom"/>
          </w:tcPr>
          <w:p>
            <w:pPr>
              <w:spacing w:after="0"/>
              <w:rPr>
                <w:sz w:val="18"/>
                <w:szCs w:val="18"/>
                <w:color w:val="auto"/>
              </w:rPr>
            </w:pPr>
          </w:p>
        </w:tc>
        <w:tc>
          <w:tcPr>
            <w:tcW w:w="9480" w:type="dxa"/>
            <w:vAlign w:val="bottom"/>
          </w:tcPr>
          <w:p>
            <w:pPr>
              <w:ind w:left="1040"/>
              <w:spacing w:after="0"/>
              <w:rPr>
                <w:sz w:val="20"/>
                <w:szCs w:val="20"/>
                <w:color w:val="auto"/>
              </w:rPr>
            </w:pPr>
            <w:r>
              <w:rPr>
                <w:rFonts w:ascii="Arial" w:cs="Arial" w:eastAsia="Arial" w:hAnsi="Arial"/>
                <w:sz w:val="18"/>
                <w:szCs w:val="18"/>
                <w:color w:val="auto"/>
              </w:rPr>
              <w:t>Statement (File No. 333-226999) is incorporated herein by reference.</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EXHIBIT E</w:t>
            </w:r>
          </w:p>
        </w:tc>
        <w:tc>
          <w:tcPr>
            <w:tcW w:w="9480" w:type="dxa"/>
            <w:vAlign w:val="bottom"/>
          </w:tcPr>
          <w:p>
            <w:pPr>
              <w:ind w:left="1040"/>
              <w:spacing w:after="0"/>
              <w:rPr>
                <w:sz w:val="20"/>
                <w:szCs w:val="20"/>
                <w:color w:val="auto"/>
              </w:rPr>
            </w:pPr>
            <w:r>
              <w:rPr>
                <w:rFonts w:ascii="Arial" w:cs="Arial" w:eastAsia="Arial" w:hAnsi="Arial"/>
                <w:sz w:val="18"/>
                <w:szCs w:val="18"/>
                <w:color w:val="auto"/>
                <w:w w:val="92"/>
              </w:rPr>
              <w:t>Form of Indemnification Agreement described in Item 6, filed as Exhibit 10.11 to the Issuer’s Form S-1 Registration</w:t>
            </w:r>
          </w:p>
        </w:tc>
      </w:tr>
      <w:tr>
        <w:trPr>
          <w:trHeight w:val="230"/>
        </w:trPr>
        <w:tc>
          <w:tcPr>
            <w:tcW w:w="1940" w:type="dxa"/>
            <w:vAlign w:val="bottom"/>
          </w:tcPr>
          <w:p>
            <w:pPr>
              <w:spacing w:after="0"/>
              <w:rPr>
                <w:sz w:val="20"/>
                <w:szCs w:val="20"/>
                <w:color w:val="auto"/>
              </w:rPr>
            </w:pPr>
          </w:p>
        </w:tc>
        <w:tc>
          <w:tcPr>
            <w:tcW w:w="9480" w:type="dxa"/>
            <w:vAlign w:val="bottom"/>
          </w:tcPr>
          <w:p>
            <w:pPr>
              <w:ind w:left="1040"/>
              <w:spacing w:after="0"/>
              <w:rPr>
                <w:sz w:val="20"/>
                <w:szCs w:val="20"/>
                <w:color w:val="auto"/>
              </w:rPr>
            </w:pPr>
            <w:r>
              <w:rPr>
                <w:rFonts w:ascii="Arial" w:cs="Arial" w:eastAsia="Arial" w:hAnsi="Arial"/>
                <w:sz w:val="18"/>
                <w:szCs w:val="18"/>
                <w:color w:val="auto"/>
              </w:rPr>
              <w:t>Statement (File No. 333-226999) is incorporated herein by reference.</w:t>
            </w:r>
          </w:p>
        </w:tc>
      </w:tr>
      <w:tr>
        <w:trPr>
          <w:trHeight w:val="459"/>
        </w:trPr>
        <w:tc>
          <w:tcPr>
            <w:tcW w:w="194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9" w:name="page10"/>
    <w:bookmarkEnd w:id="9"/>
    <w:p>
      <w:pPr>
        <w:spacing w:after="0"/>
        <w:tabs>
          <w:tab w:leader="none" w:pos="5540" w:val="left"/>
          <w:tab w:leader="none" w:pos="1040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10 of 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SOFINNOVA VENTURE PARTNERS X, L.P., 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Limited Partnership</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SOFINNOVA MANAGEMENT X, L.L.C., 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Delaware Limited Liability Company</w:t>
      </w:r>
    </w:p>
    <w:p>
      <w:pPr>
        <w:spacing w:after="0" w:line="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Nathalie Auber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607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SOFINNOVA MANAGEMENT X, L.L.C., 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Nathalie Auber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60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JAMES I. HEALY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MICHAEL F. POWELL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ANAND MEHRA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Nathalie Auber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607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0" w:name="page11"/>
    <w:bookmarkEnd w:id="10"/>
    <w:p>
      <w:pPr>
        <w:spacing w:after="0"/>
        <w:tabs>
          <w:tab w:leader="none" w:pos="5540" w:val="left"/>
          <w:tab w:leader="none" w:pos="1042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11 of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left="1260" w:hanging="865"/>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of Joint Filing</w:t>
      </w:r>
    </w:p>
    <w:p>
      <w:pPr>
        <w:spacing w:after="0" w:line="23" w:lineRule="exact"/>
        <w:rPr>
          <w:sz w:val="20"/>
          <w:szCs w:val="20"/>
          <w:color w:val="auto"/>
        </w:rPr>
      </w:pPr>
    </w:p>
    <w:p>
      <w:pPr>
        <w:ind w:left="1260" w:hanging="86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9" w:lineRule="exact"/>
        <w:rPr>
          <w:sz w:val="20"/>
          <w:szCs w:val="20"/>
          <w:color w:val="auto"/>
        </w:rPr>
      </w:pPr>
    </w:p>
    <w:p>
      <w:pPr>
        <w:ind w:left="1260" w:right="40" w:hanging="860"/>
        <w:spacing w:after="0" w:line="250"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of Lock-Up Agreement described in Item 6, filed as Exhibit B of Exhibit 1.1 to the Issuer’s Form S-1 Registration Statement (File No. 333-226999) is incorporated herein by reference.</w:t>
      </w:r>
    </w:p>
    <w:p>
      <w:pPr>
        <w:spacing w:after="0" w:line="1" w:lineRule="exact"/>
        <w:rPr>
          <w:sz w:val="20"/>
          <w:szCs w:val="20"/>
          <w:color w:val="auto"/>
        </w:rPr>
      </w:pPr>
    </w:p>
    <w:p>
      <w:pPr>
        <w:ind w:left="1260" w:hanging="865"/>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Registration Rights Agreement described in Item 6, filed as Exhibit 4.3(a) to the Issuer’s Form S-1 Registration Statement (File No. 333-</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226999) is incorporated herein by reference.</w:t>
      </w:r>
    </w:p>
    <w:p>
      <w:pPr>
        <w:spacing w:after="0" w:line="9" w:lineRule="exact"/>
        <w:rPr>
          <w:sz w:val="20"/>
          <w:szCs w:val="20"/>
          <w:color w:val="auto"/>
        </w:rPr>
      </w:pPr>
    </w:p>
    <w:p>
      <w:pPr>
        <w:ind w:left="1260" w:right="300" w:hanging="855"/>
        <w:spacing w:after="0" w:line="261" w:lineRule="auto"/>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 of Indemnification Agreement described in Item 6, filed as Exhibit 10.11 to the Issuer’s Form S-1 Registration Statement (File No. 333-226999)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tabs>
          <w:tab w:leader="none" w:pos="5540" w:val="left"/>
          <w:tab w:leader="none" w:pos="1040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12 of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agree that a single Schedule 13D (or any amendment thereto) relating to the Common Stock of Y-mAbs Therapeutics,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filed on behalf of each of the undersigned and that this Agreement shall be filed as an exhibit to such Schedule 13D.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SOFINNOVA VENTURE PARTNERS X, L.P., 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Limited Partnership</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SOFINNOVA MANAGEMENT X, L.L.C., 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Delaware Limited Liability Company</w:t>
      </w:r>
    </w:p>
    <w:p>
      <w:pPr>
        <w:spacing w:after="0" w:line="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Its:</w:t>
        <w:tab/>
        <w:t>General Partner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Nathalie Auber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60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SOFINNOVA MANAGEMENT X, L.L.C., 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Delaware Limited Liability Company</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Nathalie Auber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6073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JAMES I. HEALY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MICHAEL F. POWELL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ANAND MEHRA</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Nathalie Auber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tabs>
          <w:tab w:leader="none" w:pos="5540" w:val="left"/>
          <w:tab w:leader="none" w:pos="10400" w:val="left"/>
        </w:tabs>
        <w:rPr>
          <w:sz w:val="20"/>
          <w:szCs w:val="20"/>
          <w:color w:val="auto"/>
        </w:rPr>
      </w:pPr>
      <w:r>
        <w:rPr>
          <w:rFonts w:ascii="Arial" w:cs="Arial" w:eastAsia="Arial" w:hAnsi="Arial"/>
          <w:sz w:val="18"/>
          <w:szCs w:val="18"/>
          <w:color w:val="auto"/>
        </w:rPr>
        <w:t>CUSIP NO. 984241109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13 of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Nathalie Auber has signed this Schedule 13D as Attorney-In-Fact. Note that copies of the applicable Power of Attorney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991870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A"/>
      <w:numFmt w:val="bullet"/>
      <w:start w:val="1"/>
    </w:lvl>
  </w:abstractNum>
  <w:abstractNum w:abstractNumId="6">
    <w:nsid w:val="515F007C"/>
    <w:multiLevelType w:val="hybridMultilevel"/>
    <w:lvl w:ilvl="0">
      <w:lvlJc w:val="left"/>
      <w:lvlText w:val="B"/>
      <w:numFmt w:val="bullet"/>
      <w:start w:val="1"/>
    </w:lvl>
  </w:abstractNum>
  <w:abstractNum w:abstractNumId="7">
    <w:nsid w:val="5BD062C2"/>
    <w:multiLevelType w:val="hybridMultilevel"/>
    <w:lvl w:ilvl="0">
      <w:lvlJc w:val="left"/>
      <w:lvlText w:val="C"/>
      <w:numFmt w:val="bullet"/>
      <w:start w:val="1"/>
    </w:lvl>
  </w:abstractNum>
  <w:abstractNum w:abstractNumId="8">
    <w:nsid w:val="12200854"/>
    <w:multiLevelType w:val="hybridMultilevel"/>
    <w:lvl w:ilvl="0">
      <w:lvlJc w:val="left"/>
      <w:lvlText w:val="D"/>
      <w:numFmt w:val="bullet"/>
      <w:start w:val="1"/>
    </w:lvl>
  </w:abstractNum>
  <w:abstractNum w:abstractNumId="9">
    <w:nsid w:val="4DB127F8"/>
    <w:multiLevelType w:val="hybridMultilevel"/>
    <w:lvl w:ilvl="0">
      <w:lvlJc w:val="left"/>
      <w:lvlText w:val="E"/>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2019-12-08T17:30:57Z</dcterms:created>
  <dcterms:modified xsi:type="dcterms:W3CDTF">2019-12-08T17:30:57Z</dcterms:modified>
</cp:coreProperties>
</file>