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9120"/>
        <w:spacing w:after="0" w:line="247"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10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10 Pages</w:t>
      </w:r>
    </w:p>
    <w:p>
      <w:pPr>
        <w:ind w:left="1920" w:hanging="1079"/>
        <w:spacing w:after="0" w:line="227" w:lineRule="auto"/>
        <w:tabs>
          <w:tab w:leader="none" w:pos="192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57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5742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Acorn Bioventures, L.P.</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460" w:type="dxa"/>
            <w:vAlign w:val="bottom"/>
            <w:vMerge w:val="continue"/>
          </w:tcPr>
          <w:p>
            <w:pPr>
              <w:spacing w:after="0"/>
              <w:rPr>
                <w:sz w:val="6"/>
                <w:szCs w:val="6"/>
                <w:color w:val="auto"/>
              </w:rPr>
            </w:pPr>
          </w:p>
        </w:tc>
        <w:tc>
          <w:tcPr>
            <w:tcW w:w="674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5"/>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20" w:hanging="1079"/>
        <w:spacing w:after="0" w:line="187" w:lineRule="auto"/>
        <w:tabs>
          <w:tab w:leader="none" w:pos="1920" w:val="left"/>
        </w:tabs>
        <w:numPr>
          <w:ilvl w:val="0"/>
          <w:numId w:val="3"/>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1,159,966</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1,159,966</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1,159,966</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2.7%</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10 Pages</w:t>
      </w:r>
    </w:p>
    <w:p>
      <w:pPr>
        <w:ind w:left="1920" w:hanging="1079"/>
        <w:spacing w:after="0" w:line="227" w:lineRule="auto"/>
        <w:tabs>
          <w:tab w:leader="none" w:pos="192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Acorn Capital Advisors GP, LLC</w:t>
      </w:r>
    </w:p>
    <w:p>
      <w:pPr>
        <w:spacing w:after="0" w:line="115" w:lineRule="exact"/>
        <w:rPr>
          <w:sz w:val="20"/>
          <w:szCs w:val="20"/>
          <w:color w:val="auto"/>
        </w:rPr>
      </w:pPr>
    </w:p>
    <w:tbl>
      <w:tblPr>
        <w:tblLayout w:type="fixed"/>
        <w:tblInd w:w="840" w:type="dxa"/>
        <w:tblCellMar>
          <w:top w:w="0" w:type="dxa"/>
          <w:left w:w="0" w:type="dxa"/>
          <w:bottom w:w="0" w:type="dxa"/>
          <w:right w:w="0" w:type="dxa"/>
        </w:tblCellMar>
      </w:tblPr>
      <w:tr>
        <w:trPr>
          <w:trHeight w:val="280"/>
        </w:trPr>
        <w:tc>
          <w:tcPr>
            <w:tcW w:w="62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23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w w:val="94"/>
              </w:rPr>
              <w:t xml:space="preserve">(a) </w:t>
            </w:r>
            <w:r>
              <w:rPr>
                <w:rFonts w:ascii="MS PGothic" w:cs="MS PGothic" w:eastAsia="MS PGothic" w:hAnsi="MS PGothic"/>
                <w:sz w:val="28"/>
                <w:szCs w:val="28"/>
                <w:color w:val="auto"/>
                <w:w w:val="94"/>
              </w:rPr>
              <w:t>☐</w:t>
            </w:r>
          </w:p>
        </w:tc>
        <w:tc>
          <w:tcPr>
            <w:tcW w:w="0" w:type="dxa"/>
            <w:vAlign w:val="bottom"/>
          </w:tcPr>
          <w:p>
            <w:pPr>
              <w:spacing w:after="0"/>
              <w:rPr>
                <w:sz w:val="1"/>
                <w:szCs w:val="1"/>
                <w:color w:val="auto"/>
              </w:rPr>
            </w:pPr>
          </w:p>
        </w:tc>
      </w:tr>
      <w:tr>
        <w:trPr>
          <w:trHeight w:val="73"/>
        </w:trPr>
        <w:tc>
          <w:tcPr>
            <w:tcW w:w="620" w:type="dxa"/>
            <w:vAlign w:val="bottom"/>
            <w:vMerge w:val="continue"/>
          </w:tcPr>
          <w:p>
            <w:pPr>
              <w:spacing w:after="0"/>
              <w:rPr>
                <w:sz w:val="6"/>
                <w:szCs w:val="6"/>
                <w:color w:val="auto"/>
              </w:rPr>
            </w:pPr>
          </w:p>
        </w:tc>
        <w:tc>
          <w:tcPr>
            <w:tcW w:w="674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5"/>
        </w:trPr>
        <w:tc>
          <w:tcPr>
            <w:tcW w:w="6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340" w:type="dxa"/>
            <w:vAlign w:val="bottom"/>
          </w:tcPr>
          <w:p>
            <w:pPr>
              <w:ind w:left="1800"/>
              <w:spacing w:after="0" w:line="322" w:lineRule="exact"/>
              <w:rPr>
                <w:sz w:val="20"/>
                <w:szCs w:val="20"/>
                <w:color w:val="auto"/>
              </w:rPr>
            </w:pPr>
            <w:r>
              <w:rPr>
                <w:rFonts w:ascii="Times New Roman" w:cs="Times New Roman" w:eastAsia="Times New Roman" w:hAnsi="Times New Roman"/>
                <w:sz w:val="20"/>
                <w:szCs w:val="20"/>
                <w:color w:val="auto"/>
                <w:w w:val="92"/>
              </w:rPr>
              <w:t xml:space="preserve">(b) </w:t>
            </w: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bl>
    <w:p>
      <w:pPr>
        <w:ind w:left="1920" w:hanging="1079"/>
        <w:spacing w:after="0" w:line="187" w:lineRule="auto"/>
        <w:tabs>
          <w:tab w:leader="none" w:pos="1920" w:val="left"/>
        </w:tabs>
        <w:numPr>
          <w:ilvl w:val="0"/>
          <w:numId w:val="5"/>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1,159,966</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1,159,966</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1,159,966</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2.7%</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10 Pages</w:t>
      </w:r>
    </w:p>
    <w:p>
      <w:pPr>
        <w:ind w:left="1920" w:hanging="1079"/>
        <w:spacing w:after="0" w:line="227" w:lineRule="auto"/>
        <w:tabs>
          <w:tab w:leader="none" w:pos="192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Acorn Bioventures 2 L.P.</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460" w:type="dxa"/>
            <w:vAlign w:val="bottom"/>
            <w:vMerge w:val="continue"/>
          </w:tcPr>
          <w:p>
            <w:pPr>
              <w:spacing w:after="0"/>
              <w:rPr>
                <w:sz w:val="6"/>
                <w:szCs w:val="6"/>
                <w:color w:val="auto"/>
              </w:rPr>
            </w:pPr>
          </w:p>
        </w:tc>
        <w:tc>
          <w:tcPr>
            <w:tcW w:w="674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5"/>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20" w:hanging="1079"/>
        <w:spacing w:after="0" w:line="187" w:lineRule="auto"/>
        <w:tabs>
          <w:tab w:leader="none" w:pos="1920" w:val="left"/>
        </w:tabs>
        <w:numPr>
          <w:ilvl w:val="0"/>
          <w:numId w:val="7"/>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1,601,859</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1,601,859</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1,601,859</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3.7%</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10 Pages</w:t>
      </w:r>
    </w:p>
    <w:p>
      <w:pPr>
        <w:ind w:left="1920" w:hanging="1079"/>
        <w:spacing w:after="0" w:line="227" w:lineRule="auto"/>
        <w:tabs>
          <w:tab w:leader="none" w:pos="1920" w:val="left"/>
        </w:tabs>
        <w:numPr>
          <w:ilvl w:val="0"/>
          <w:numId w:val="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Acorn Capital Advisors GP 2, LLC</w:t>
      </w:r>
    </w:p>
    <w:p>
      <w:pPr>
        <w:spacing w:after="0" w:line="115" w:lineRule="exact"/>
        <w:rPr>
          <w:sz w:val="20"/>
          <w:szCs w:val="20"/>
          <w:color w:val="auto"/>
        </w:rPr>
      </w:pPr>
    </w:p>
    <w:tbl>
      <w:tblPr>
        <w:tblLayout w:type="fixed"/>
        <w:tblInd w:w="840" w:type="dxa"/>
        <w:tblCellMar>
          <w:top w:w="0" w:type="dxa"/>
          <w:left w:w="0" w:type="dxa"/>
          <w:bottom w:w="0" w:type="dxa"/>
          <w:right w:w="0" w:type="dxa"/>
        </w:tblCellMar>
      </w:tblPr>
      <w:tr>
        <w:trPr>
          <w:trHeight w:val="280"/>
        </w:trPr>
        <w:tc>
          <w:tcPr>
            <w:tcW w:w="62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w w:val="82"/>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23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w w:val="94"/>
              </w:rPr>
              <w:t xml:space="preserve">(a) </w:t>
            </w:r>
            <w:r>
              <w:rPr>
                <w:rFonts w:ascii="MS PGothic" w:cs="MS PGothic" w:eastAsia="MS PGothic" w:hAnsi="MS PGothic"/>
                <w:sz w:val="28"/>
                <w:szCs w:val="28"/>
                <w:color w:val="auto"/>
                <w:w w:val="94"/>
              </w:rPr>
              <w:t>☐</w:t>
            </w:r>
          </w:p>
        </w:tc>
        <w:tc>
          <w:tcPr>
            <w:tcW w:w="0" w:type="dxa"/>
            <w:vAlign w:val="bottom"/>
          </w:tcPr>
          <w:p>
            <w:pPr>
              <w:spacing w:after="0"/>
              <w:rPr>
                <w:sz w:val="1"/>
                <w:szCs w:val="1"/>
                <w:color w:val="auto"/>
              </w:rPr>
            </w:pPr>
          </w:p>
        </w:tc>
      </w:tr>
      <w:tr>
        <w:trPr>
          <w:trHeight w:val="73"/>
        </w:trPr>
        <w:tc>
          <w:tcPr>
            <w:tcW w:w="620" w:type="dxa"/>
            <w:vAlign w:val="bottom"/>
            <w:vMerge w:val="continue"/>
          </w:tcPr>
          <w:p>
            <w:pPr>
              <w:spacing w:after="0"/>
              <w:rPr>
                <w:sz w:val="6"/>
                <w:szCs w:val="6"/>
                <w:color w:val="auto"/>
              </w:rPr>
            </w:pPr>
          </w:p>
        </w:tc>
        <w:tc>
          <w:tcPr>
            <w:tcW w:w="674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5"/>
        </w:trPr>
        <w:tc>
          <w:tcPr>
            <w:tcW w:w="6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340" w:type="dxa"/>
            <w:vAlign w:val="bottom"/>
          </w:tcPr>
          <w:p>
            <w:pPr>
              <w:ind w:left="1800"/>
              <w:spacing w:after="0" w:line="322" w:lineRule="exact"/>
              <w:rPr>
                <w:sz w:val="20"/>
                <w:szCs w:val="20"/>
                <w:color w:val="auto"/>
              </w:rPr>
            </w:pPr>
            <w:r>
              <w:rPr>
                <w:rFonts w:ascii="Times New Roman" w:cs="Times New Roman" w:eastAsia="Times New Roman" w:hAnsi="Times New Roman"/>
                <w:sz w:val="20"/>
                <w:szCs w:val="20"/>
                <w:color w:val="auto"/>
                <w:w w:val="92"/>
              </w:rPr>
              <w:t xml:space="preserve">(b) </w:t>
            </w: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bl>
    <w:p>
      <w:pPr>
        <w:ind w:left="1920" w:hanging="1079"/>
        <w:spacing w:after="0" w:line="187" w:lineRule="auto"/>
        <w:tabs>
          <w:tab w:leader="none" w:pos="1920" w:val="left"/>
        </w:tabs>
        <w:numPr>
          <w:ilvl w:val="0"/>
          <w:numId w:val="9"/>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1,601,859</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1,601,859</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1,601,859</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3.7%</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10 Pages</w:t>
      </w:r>
    </w:p>
    <w:p>
      <w:pPr>
        <w:ind w:left="1920" w:hanging="1079"/>
        <w:spacing w:after="0" w:line="227" w:lineRule="auto"/>
        <w:tabs>
          <w:tab w:leader="none" w:pos="1920" w:val="left"/>
        </w:tabs>
        <w:numPr>
          <w:ilvl w:val="0"/>
          <w:numId w:val="10"/>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Anders Hove</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460" w:type="dxa"/>
            <w:vAlign w:val="bottom"/>
            <w:vMerge w:val="continue"/>
          </w:tcPr>
          <w:p>
            <w:pPr>
              <w:spacing w:after="0"/>
              <w:rPr>
                <w:sz w:val="6"/>
                <w:szCs w:val="6"/>
                <w:color w:val="auto"/>
              </w:rPr>
            </w:pPr>
          </w:p>
        </w:tc>
        <w:tc>
          <w:tcPr>
            <w:tcW w:w="674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5"/>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20" w:hanging="1079"/>
        <w:spacing w:after="0" w:line="187" w:lineRule="auto"/>
        <w:tabs>
          <w:tab w:leader="none" w:pos="1920" w:val="left"/>
        </w:tabs>
        <w:numPr>
          <w:ilvl w:val="0"/>
          <w:numId w:val="11"/>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 of America</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2,761,825</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2,761,825</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2,761,825</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6.3%</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0984241109</w:t>
            </w: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Page 7 of 10 Pages</w:t>
            </w:r>
          </w:p>
        </w:tc>
        <w:tc>
          <w:tcPr>
            <w:tcW w:w="0" w:type="dxa"/>
            <w:vAlign w:val="bottom"/>
          </w:tcPr>
          <w:p>
            <w:pPr>
              <w:spacing w:after="0"/>
              <w:rPr>
                <w:sz w:val="1"/>
                <w:szCs w:val="1"/>
                <w:color w:val="auto"/>
              </w:rPr>
            </w:pPr>
          </w:p>
        </w:tc>
      </w:tr>
      <w:tr>
        <w:trPr>
          <w:trHeight w:val="57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60" w:type="dxa"/>
            <w:vAlign w:val="bottom"/>
          </w:tcPr>
          <w:p>
            <w:pPr>
              <w:spacing w:after="0"/>
              <w:rPr>
                <w:sz w:val="24"/>
                <w:szCs w:val="24"/>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Y-mAbs Therapeutics, Inc. (the "Issuer")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230 Park Avenue, Suite 3350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New York, NY 10169</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7440" w:type="dxa"/>
            <w:vAlign w:val="bottom"/>
            <w:gridSpan w:val="18"/>
          </w:tcPr>
          <w:p>
            <w:pPr>
              <w:ind w:left="140"/>
              <w:spacing w:after="0"/>
              <w:rPr>
                <w:sz w:val="20"/>
                <w:szCs w:val="20"/>
                <w:color w:val="auto"/>
              </w:rPr>
            </w:pPr>
            <w:r>
              <w:rPr>
                <w:rFonts w:ascii="Times New Roman" w:cs="Times New Roman" w:eastAsia="Times New Roman" w:hAnsi="Times New Roman"/>
                <w:sz w:val="20"/>
                <w:szCs w:val="20"/>
                <w:color w:val="auto"/>
              </w:rPr>
              <w:t>Acorn Bioventures, L.P. (“Acorn”);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440" w:type="dxa"/>
            <w:vAlign w:val="bottom"/>
            <w:gridSpan w:val="18"/>
          </w:tcPr>
          <w:p>
            <w:pPr>
              <w:ind w:left="140"/>
              <w:spacing w:after="0" w:line="209" w:lineRule="exact"/>
              <w:rPr>
                <w:sz w:val="20"/>
                <w:szCs w:val="20"/>
                <w:color w:val="auto"/>
              </w:rPr>
            </w:pPr>
            <w:r>
              <w:rPr>
                <w:rFonts w:ascii="Times New Roman" w:cs="Times New Roman" w:eastAsia="Times New Roman" w:hAnsi="Times New Roman"/>
                <w:sz w:val="20"/>
                <w:szCs w:val="20"/>
                <w:color w:val="auto"/>
                <w:w w:val="98"/>
              </w:rPr>
              <w:t>Acorn Capital Advisors GP, LLC (“Acorn GP”), which is the sole general partner of Acorn;</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(iii)</w:t>
            </w: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440" w:type="dxa"/>
            <w:vAlign w:val="bottom"/>
            <w:gridSpan w:val="18"/>
          </w:tcPr>
          <w:p>
            <w:pPr>
              <w:ind w:left="140"/>
              <w:spacing w:after="0" w:line="209" w:lineRule="exact"/>
              <w:rPr>
                <w:sz w:val="20"/>
                <w:szCs w:val="20"/>
                <w:color w:val="auto"/>
              </w:rPr>
            </w:pPr>
            <w:r>
              <w:rPr>
                <w:rFonts w:ascii="Times New Roman" w:cs="Times New Roman" w:eastAsia="Times New Roman" w:hAnsi="Times New Roman"/>
                <w:sz w:val="20"/>
                <w:szCs w:val="20"/>
                <w:color w:val="auto"/>
              </w:rPr>
              <w:t>Acorn Bioventures 2, L.P. (“Acorn 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(iv)</w:t>
            </w: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880" w:type="dxa"/>
            <w:vAlign w:val="bottom"/>
            <w:gridSpan w:val="19"/>
          </w:tcPr>
          <w:p>
            <w:pPr>
              <w:ind w:left="140"/>
              <w:spacing w:after="0" w:line="209" w:lineRule="exact"/>
              <w:rPr>
                <w:sz w:val="20"/>
                <w:szCs w:val="20"/>
                <w:color w:val="auto"/>
              </w:rPr>
            </w:pPr>
            <w:r>
              <w:rPr>
                <w:rFonts w:ascii="Times New Roman" w:cs="Times New Roman" w:eastAsia="Times New Roman" w:hAnsi="Times New Roman"/>
                <w:sz w:val="20"/>
                <w:szCs w:val="20"/>
                <w:color w:val="auto"/>
              </w:rPr>
              <w:t>Acorn Capital Advisors GP 2, LLC (“Acorn GP 2”), which is the sole general partner of Acorn 2; and</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tcPr>
          <w:p>
            <w:pPr>
              <w:ind w:left="440"/>
              <w:spacing w:after="0" w:line="209" w:lineRule="exact"/>
              <w:rPr>
                <w:sz w:val="20"/>
                <w:szCs w:val="20"/>
                <w:color w:val="auto"/>
              </w:rPr>
            </w:pPr>
            <w:r>
              <w:rPr>
                <w:rFonts w:ascii="Times New Roman" w:cs="Times New Roman" w:eastAsia="Times New Roman" w:hAnsi="Times New Roman"/>
                <w:sz w:val="20"/>
                <w:szCs w:val="20"/>
                <w:color w:val="auto"/>
              </w:rPr>
              <w:t>(v)</w:t>
            </w:r>
          </w:p>
        </w:tc>
        <w:tc>
          <w:tcPr>
            <w:tcW w:w="3140" w:type="dxa"/>
            <w:vAlign w:val="bottom"/>
            <w:gridSpan w:val="11"/>
          </w:tcPr>
          <w:p>
            <w:pPr>
              <w:ind w:left="140"/>
              <w:spacing w:after="0" w:line="209" w:lineRule="exact"/>
              <w:rPr>
                <w:sz w:val="20"/>
                <w:szCs w:val="20"/>
                <w:color w:val="auto"/>
              </w:rPr>
            </w:pPr>
            <w:r>
              <w:rPr>
                <w:rFonts w:ascii="Times New Roman" w:cs="Times New Roman" w:eastAsia="Times New Roman" w:hAnsi="Times New Roman"/>
                <w:sz w:val="20"/>
                <w:szCs w:val="20"/>
                <w:color w:val="auto"/>
              </w:rPr>
              <w:t>Anders Hove (“Hove or “Manager”).</w:t>
            </w:r>
          </w:p>
        </w:tc>
        <w:tc>
          <w:tcPr>
            <w:tcW w:w="940" w:type="dxa"/>
            <w:vAlign w:val="bottom"/>
            <w:tcBorders>
              <w:top w:val="single" w:sz="8" w:color="auto"/>
            </w:tcBorders>
            <w:gridSpan w:val="3"/>
          </w:tcPr>
          <w:p>
            <w:pPr>
              <w:spacing w:after="0"/>
              <w:rPr>
                <w:sz w:val="18"/>
                <w:szCs w:val="18"/>
                <w:color w:val="auto"/>
              </w:rPr>
            </w:pPr>
          </w:p>
        </w:tc>
        <w:tc>
          <w:tcPr>
            <w:tcW w:w="3360" w:type="dxa"/>
            <w:vAlign w:val="bottom"/>
            <w:gridSpan w:val="4"/>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20" w:type="dxa"/>
            <w:vAlign w:val="bottom"/>
            <w:gridSpan w:val="1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980" w:type="dxa"/>
            <w:vAlign w:val="bottom"/>
            <w:gridSpan w:val="20"/>
          </w:tcPr>
          <w:p>
            <w:pPr>
              <w:ind w:left="440"/>
              <w:spacing w:after="0"/>
              <w:rPr>
                <w:sz w:val="20"/>
                <w:szCs w:val="20"/>
                <w:color w:val="auto"/>
              </w:rPr>
            </w:pPr>
            <w:r>
              <w:rPr>
                <w:rFonts w:ascii="Times New Roman" w:cs="Times New Roman" w:eastAsia="Times New Roman" w:hAnsi="Times New Roman"/>
                <w:sz w:val="20"/>
                <w:szCs w:val="20"/>
                <w:color w:val="auto"/>
                <w:w w:val="99"/>
              </w:rPr>
              <w:t>The filing of this statement should not be construed as an admission that any of the foregoing persons or any Reporting</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980" w:type="dxa"/>
            <w:vAlign w:val="bottom"/>
            <w:gridSpan w:val="20"/>
          </w:tcPr>
          <w:p>
            <w:pPr>
              <w:ind w:left="440"/>
              <w:spacing w:after="0"/>
              <w:rPr>
                <w:sz w:val="20"/>
                <w:szCs w:val="20"/>
                <w:color w:val="auto"/>
              </w:rPr>
            </w:pPr>
            <w:r>
              <w:rPr>
                <w:rFonts w:ascii="Times New Roman" w:cs="Times New Roman" w:eastAsia="Times New Roman" w:hAnsi="Times New Roman"/>
                <w:sz w:val="20"/>
                <w:szCs w:val="20"/>
                <w:color w:val="auto"/>
              </w:rPr>
              <w:t>Person is, for the purposes of Section 13 of the Act, the beneficial owner of the shares of Common Stock reported</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herein.</w:t>
            </w: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9980" w:type="dxa"/>
            <w:vAlign w:val="bottom"/>
            <w:gridSpan w:val="20"/>
          </w:tcPr>
          <w:p>
            <w:pPr>
              <w:ind w:left="440"/>
              <w:spacing w:after="0"/>
              <w:rPr>
                <w:sz w:val="20"/>
                <w:szCs w:val="20"/>
                <w:color w:val="auto"/>
              </w:rPr>
            </w:pPr>
            <w:r>
              <w:rPr>
                <w:rFonts w:ascii="Times New Roman" w:cs="Times New Roman" w:eastAsia="Times New Roman" w:hAnsi="Times New Roman"/>
                <w:sz w:val="20"/>
                <w:szCs w:val="20"/>
                <w:color w:val="auto"/>
              </w:rPr>
              <w:t>The address of the principal business office of each of the Reporting Persons is 420 Lexington Avenue, Suite 2626,</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New York, New York 10170</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9980" w:type="dxa"/>
            <w:vAlign w:val="bottom"/>
            <w:gridSpan w:val="20"/>
          </w:tcPr>
          <w:p>
            <w:pPr>
              <w:ind w:left="440"/>
              <w:spacing w:after="0"/>
              <w:rPr>
                <w:sz w:val="20"/>
                <w:szCs w:val="20"/>
                <w:color w:val="auto"/>
              </w:rPr>
            </w:pPr>
            <w:r>
              <w:rPr>
                <w:rFonts w:ascii="Times New Roman" w:cs="Times New Roman" w:eastAsia="Times New Roman" w:hAnsi="Times New Roman"/>
                <w:sz w:val="20"/>
                <w:szCs w:val="20"/>
                <w:color w:val="auto"/>
              </w:rPr>
              <w:t>Acorn is a Delaware limited partnership. Acorn GP is a Delaware limited liability company. Acorn 2 is a Delaware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980" w:type="dxa"/>
            <w:vAlign w:val="bottom"/>
            <w:gridSpan w:val="20"/>
          </w:tcPr>
          <w:p>
            <w:pPr>
              <w:ind w:left="440"/>
              <w:spacing w:after="0"/>
              <w:rPr>
                <w:sz w:val="20"/>
                <w:szCs w:val="20"/>
                <w:color w:val="auto"/>
              </w:rPr>
            </w:pPr>
            <w:r>
              <w:rPr>
                <w:rFonts w:ascii="Times New Roman" w:cs="Times New Roman" w:eastAsia="Times New Roman" w:hAnsi="Times New Roman"/>
                <w:sz w:val="20"/>
                <w:szCs w:val="20"/>
                <w:color w:val="auto"/>
              </w:rPr>
              <w:t>limited partnership. Acorn GP 2 is a Delaware limited liability company. Each of Hove and Manke are citizens of the</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60" w:type="dxa"/>
            <w:vAlign w:val="bottom"/>
          </w:tcPr>
          <w:p>
            <w:pPr>
              <w:spacing w:after="0"/>
              <w:rPr>
                <w:sz w:val="24"/>
                <w:szCs w:val="24"/>
                <w:color w:val="auto"/>
              </w:rPr>
            </w:pPr>
          </w:p>
        </w:tc>
        <w:tc>
          <w:tcPr>
            <w:tcW w:w="854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Common stock, $0.0001 par value per share (the "Common Stock")</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4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gridSpan w:val="3"/>
          </w:tcPr>
          <w:p>
            <w:pPr>
              <w:spacing w:after="0"/>
              <w:rPr>
                <w:sz w:val="24"/>
                <w:szCs w:val="24"/>
                <w:color w:val="auto"/>
              </w:rPr>
            </w:pPr>
          </w:p>
        </w:tc>
        <w:tc>
          <w:tcPr>
            <w:tcW w:w="288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24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984241109</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7" w:name="page8"/>
    <w:bookmarkEnd w:id="7"/>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10 Pages</w:t>
      </w:r>
    </w:p>
    <w:p>
      <w:pPr>
        <w:spacing w:after="0" w:line="342" w:lineRule="exact"/>
        <w:rPr>
          <w:sz w:val="20"/>
          <w:szCs w:val="20"/>
          <w:color w:val="auto"/>
        </w:rPr>
      </w:pPr>
    </w:p>
    <w:p>
      <w:pPr>
        <w:ind w:left="1700" w:hanging="1686"/>
        <w:spacing w:after="0" w:line="273" w:lineRule="auto"/>
        <w:tabs>
          <w:tab w:leader="none" w:pos="16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 whether the Person Filing is a:</w:t>
      </w:r>
    </w:p>
    <w:p>
      <w:pPr>
        <w:spacing w:after="0" w:line="137" w:lineRule="exact"/>
        <w:rPr>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100" w:hanging="1247"/>
        <w:spacing w:after="0" w:line="260" w:lineRule="exact"/>
        <w:tabs>
          <w:tab w:leader="none" w:pos="2572"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 240.13d-1(b)(1)(ii)(E);</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employee benefit plan or endowment fund in accordance with § 240.13d-1(b)(1)(ii)(F);</w:t>
      </w:r>
    </w:p>
    <w:p>
      <w:pPr>
        <w:spacing w:after="0" w:line="260" w:lineRule="exact"/>
        <w:rPr>
          <w:rFonts w:ascii="Times New Roman" w:cs="Times New Roman" w:eastAsia="Times New Roman" w:hAnsi="Times New Roman"/>
          <w:sz w:val="20"/>
          <w:szCs w:val="20"/>
          <w:color w:val="auto"/>
        </w:rPr>
      </w:pPr>
    </w:p>
    <w:p>
      <w:pPr>
        <w:ind w:left="2560" w:hanging="767"/>
        <w:spacing w:after="0"/>
        <w:tabs>
          <w:tab w:leader="none" w:pos="2560" w:val="left"/>
        </w:tabs>
        <w:numPr>
          <w:ilvl w:val="0"/>
          <w:numId w:val="12"/>
        </w:numPr>
        <w:rPr>
          <w:rFonts w:ascii="Times New Roman" w:cs="Times New Roman" w:eastAsia="Times New Roman" w:hAnsi="Times New Roman"/>
          <w:sz w:val="20"/>
          <w:szCs w:val="20"/>
          <w:color w:val="auto"/>
        </w:rPr>
      </w:pPr>
      <w:r>
        <w:rPr>
          <w:rFonts w:ascii="Wingdings" w:cs="Wingdings" w:eastAsia="Wingdings" w:hAnsi="Wingdings"/>
          <w:sz w:val="20"/>
          <w:szCs w:val="20"/>
          <w:b w:val="1"/>
          <w:bCs w:val="1"/>
          <w:color w:val="auto"/>
        </w:rPr>
        <w:t xml:space="preserve">o   </w:t>
      </w:r>
      <w:r>
        <w:rPr>
          <w:rFonts w:ascii="Times New Roman" w:cs="Times New Roman" w:eastAsia="Times New Roman" w:hAnsi="Times New Roman"/>
          <w:sz w:val="20"/>
          <w:szCs w:val="20"/>
          <w:color w:val="auto"/>
        </w:rPr>
        <w:t>A parent holding company or control person in accordance with §240.13d-1(b)(1)(ii)(G);</w:t>
      </w:r>
    </w:p>
    <w:p>
      <w:pPr>
        <w:spacing w:after="0" w:line="197" w:lineRule="exact"/>
        <w:rPr>
          <w:rFonts w:ascii="Times New Roman" w:cs="Times New Roman" w:eastAsia="Times New Roman" w:hAnsi="Times New Roman"/>
          <w:sz w:val="20"/>
          <w:szCs w:val="20"/>
          <w:color w:val="auto"/>
        </w:rPr>
      </w:pPr>
    </w:p>
    <w:p>
      <w:pPr>
        <w:ind w:left="3040" w:right="100" w:hanging="1247"/>
        <w:spacing w:after="0" w:line="260" w:lineRule="exact"/>
        <w:tabs>
          <w:tab w:leader="none" w:pos="2572"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 (12 U.S.C.1813);</w:t>
      </w: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ind w:left="3040" w:right="100" w:hanging="1247"/>
        <w:spacing w:after="0" w:line="260" w:lineRule="exact"/>
        <w:tabs>
          <w:tab w:leader="none" w:pos="2572"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§240.13d-1(b)(1)(ii)(J);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§240.13d-1(b)(1)(ii)(K).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-46355</wp:posOffset>
            </wp:positionV>
            <wp:extent cx="2575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5560" cy="8890"/>
                    </a:xfrm>
                    <a:prstGeom prst="rect">
                      <a:avLst/>
                    </a:prstGeom>
                    <a:noFill/>
                  </pic:spPr>
                </pic:pic>
              </a:graphicData>
            </a:graphic>
          </wp:anchor>
        </w:drawing>
      </w:r>
    </w:p>
    <w:p>
      <w:pPr>
        <w:spacing w:after="0" w:line="149"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jc w:val="both"/>
        <w:ind w:left="18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Reporting Person.</w:t>
      </w:r>
    </w:p>
    <w:p>
      <w:pPr>
        <w:spacing w:after="0" w:line="173" w:lineRule="exact"/>
        <w:rPr>
          <w:sz w:val="20"/>
          <w:szCs w:val="20"/>
          <w:color w:val="auto"/>
        </w:rPr>
      </w:pPr>
    </w:p>
    <w:p>
      <w:pPr>
        <w:jc w:val="both"/>
        <w:ind w:left="180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43,621,618 shares of Common Stock outstanding as of November 6, 2023 as reported in the Issuer’s Quarterly Report on Form 10-Q for the quarterly period ended September 30, 2023 filed with the Securities and Exchange Commission on November 13, 2023.</w:t>
      </w:r>
    </w:p>
    <w:p>
      <w:pPr>
        <w:sectPr>
          <w:pgSz w:w="11900" w:h="16838" w:orient="portrait"/>
          <w:cols w:equalWidth="0" w:num="1">
            <w:col w:w="11240"/>
          </w:cols>
          <w:pgMar w:left="320" w:top="225" w:right="339" w:bottom="1440" w:gutter="0" w:footer="0" w:header="0"/>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10 Pages</w:t>
      </w:r>
    </w:p>
    <w:p>
      <w:pPr>
        <w:spacing w:after="0" w:line="346" w:lineRule="exact"/>
        <w:rPr>
          <w:sz w:val="20"/>
          <w:szCs w:val="20"/>
          <w:color w:val="auto"/>
        </w:rPr>
      </w:pPr>
    </w:p>
    <w:p>
      <w:pPr>
        <w:jc w:val="both"/>
        <w:ind w:left="1580"/>
        <w:spacing w:after="0" w:line="254" w:lineRule="auto"/>
        <w:rPr>
          <w:sz w:val="20"/>
          <w:szCs w:val="20"/>
          <w:color w:val="auto"/>
        </w:rPr>
      </w:pPr>
      <w:r>
        <w:rPr>
          <w:rFonts w:ascii="Times New Roman" w:cs="Times New Roman" w:eastAsia="Times New Roman" w:hAnsi="Times New Roman"/>
          <w:sz w:val="20"/>
          <w:szCs w:val="20"/>
          <w:color w:val="auto"/>
        </w:rPr>
        <w:t>Acorn GP is the general partner of Acorn and may be deemed to beneficially own the shares of Common Stock beneficially owned by Acorn. Acorn GP 2 is the general partner of Acorn 2 and may be deemed to beneficially own the shares of Common Stock beneficially owned by Acorn 2.</w:t>
      </w:r>
    </w:p>
    <w:p>
      <w:pPr>
        <w:spacing w:after="0" w:line="188" w:lineRule="exact"/>
        <w:rPr>
          <w:sz w:val="20"/>
          <w:szCs w:val="20"/>
          <w:color w:val="auto"/>
        </w:rPr>
      </w:pPr>
    </w:p>
    <w:p>
      <w:pPr>
        <w:ind w:left="1580" w:right="20"/>
        <w:spacing w:after="0" w:line="269" w:lineRule="auto"/>
        <w:rPr>
          <w:sz w:val="20"/>
          <w:szCs w:val="20"/>
          <w:color w:val="auto"/>
        </w:rPr>
      </w:pPr>
      <w:r>
        <w:rPr>
          <w:rFonts w:ascii="Times New Roman" w:cs="Times New Roman" w:eastAsia="Times New Roman" w:hAnsi="Times New Roman"/>
          <w:sz w:val="20"/>
          <w:szCs w:val="20"/>
          <w:color w:val="auto"/>
        </w:rPr>
        <w:t>The Manager, in his capacity as manager of each of Acorn GP and Acorn GP 2, may be deemed to beneficially own the shares beneficially owned by each of Acorn and Acorn 2.</w:t>
      </w:r>
    </w:p>
    <w:p>
      <w:pPr>
        <w:sectPr>
          <w:pgSz w:w="11900" w:h="16838" w:orient="portrait"/>
          <w:cols w:equalWidth="0" w:num="1">
            <w:col w:w="11240"/>
          </w:cols>
          <w:pgMar w:left="320" w:top="225" w:right="33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860" w:space="720"/>
            <w:col w:w="9660"/>
          </w:cols>
          <w:pgMar w:left="320" w:top="225" w:right="339" w:bottom="1440" w:gutter="0" w:footer="0" w:header="0"/>
          <w:type w:val="continuous"/>
        </w:sectPr>
      </w:pPr>
    </w:p>
    <w:p>
      <w:pPr>
        <w:spacing w:after="0" w:line="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225"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860" w:space="720"/>
            <w:col w:w="9660"/>
          </w:cols>
          <w:pgMar w:left="320" w:top="225" w:right="339" w:bottom="1440" w:gutter="0" w:footer="0" w:header="0"/>
          <w:type w:val="continuous"/>
        </w:sectPr>
      </w:pPr>
    </w:p>
    <w:p>
      <w:pPr>
        <w:spacing w:after="0" w:line="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225"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 or Control Person:</w:t>
      </w:r>
    </w:p>
    <w:p>
      <w:pPr>
        <w:spacing w:after="0" w:line="169" w:lineRule="exact"/>
        <w:rPr>
          <w:sz w:val="20"/>
          <w:szCs w:val="20"/>
          <w:color w:val="auto"/>
        </w:rPr>
      </w:pPr>
    </w:p>
    <w:p>
      <w:pPr>
        <w:sectPr>
          <w:pgSz w:w="11900" w:h="16838" w:orient="portrait"/>
          <w:cols w:equalWidth="0" w:num="2">
            <w:col w:w="860" w:space="720"/>
            <w:col w:w="9660"/>
          </w:cols>
          <w:pgMar w:left="320" w:top="225"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225"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860" w:space="720"/>
            <w:col w:w="9660"/>
          </w:cols>
          <w:pgMar w:left="320" w:top="225" w:right="339" w:bottom="1440" w:gutter="0" w:footer="0" w:header="0"/>
          <w:type w:val="continuous"/>
        </w:sectPr>
      </w:pPr>
    </w:p>
    <w:p>
      <w:pPr>
        <w:spacing w:after="0" w:line="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225"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860" w:space="720"/>
            <w:col w:w="9660"/>
          </w:cols>
          <w:pgMar w:left="320" w:top="225" w:right="339" w:bottom="1440" w:gutter="0" w:footer="0" w:header="0"/>
          <w:type w:val="continuous"/>
        </w:sectPr>
      </w:pPr>
    </w:p>
    <w:p>
      <w:pPr>
        <w:spacing w:after="0" w:line="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225"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00" w:lineRule="exact"/>
        <w:rPr>
          <w:sz w:val="20"/>
          <w:szCs w:val="20"/>
          <w:color w:val="auto"/>
        </w:rPr>
      </w:pPr>
    </w:p>
    <w:p>
      <w:pPr>
        <w:sectPr>
          <w:pgSz w:w="11900" w:h="16838" w:orient="portrait"/>
          <w:cols w:equalWidth="0" w:num="2">
            <w:col w:w="860" w:space="720"/>
            <w:col w:w="9660"/>
          </w:cols>
          <w:pgMar w:left="320" w:top="225" w:right="339" w:bottom="1440" w:gutter="0" w:footer="0" w:header="0"/>
          <w:type w:val="continuous"/>
        </w:sectPr>
      </w:pPr>
    </w:p>
    <w:p>
      <w:pPr>
        <w:spacing w:after="0" w:line="33" w:lineRule="exact"/>
        <w:rPr>
          <w:sz w:val="20"/>
          <w:szCs w:val="20"/>
          <w:color w:val="auto"/>
        </w:rPr>
      </w:pPr>
    </w:p>
    <w:p>
      <w:pPr>
        <w:jc w:val="both"/>
        <w:ind w:left="1580" w:right="10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0984241109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10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6, 2024</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ACORN BIOVENTURES, L.P.</w:t>
      </w:r>
    </w:p>
    <w:p>
      <w:pPr>
        <w:ind w:left="5400"/>
        <w:spacing w:after="0"/>
        <w:rPr>
          <w:sz w:val="20"/>
          <w:szCs w:val="20"/>
          <w:color w:val="auto"/>
        </w:rPr>
      </w:pPr>
      <w:r>
        <w:rPr>
          <w:rFonts w:ascii="Times New Roman" w:cs="Times New Roman" w:eastAsia="Times New Roman" w:hAnsi="Times New Roman"/>
          <w:sz w:val="20"/>
          <w:szCs w:val="20"/>
          <w:color w:val="auto"/>
        </w:rPr>
        <w:t>By: ACORN CAPITAL ADVISORS GP, LLC, its General Partner</w:t>
      </w: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Anders Hove</w:t>
      </w:r>
    </w:p>
    <w:p>
      <w:pPr>
        <w:ind w:left="5400"/>
        <w:spacing w:after="0"/>
        <w:rPr>
          <w:sz w:val="20"/>
          <w:szCs w:val="20"/>
          <w:color w:val="auto"/>
        </w:rPr>
      </w:pPr>
      <w:r>
        <w:rPr>
          <w:rFonts w:ascii="Times New Roman" w:cs="Times New Roman" w:eastAsia="Times New Roman" w:hAnsi="Times New Roman"/>
          <w:sz w:val="20"/>
          <w:szCs w:val="20"/>
          <w:color w:val="auto"/>
        </w:rPr>
        <w:t>Name: Anders Hove</w:t>
      </w:r>
    </w:p>
    <w:p>
      <w:pPr>
        <w:ind w:left="5400"/>
        <w:spacing w:after="0"/>
        <w:tabs>
          <w:tab w:leader="none" w:pos="6000" w:val="left"/>
        </w:tabs>
        <w:rPr>
          <w:sz w:val="20"/>
          <w:szCs w:val="20"/>
          <w:color w:val="auto"/>
        </w:rPr>
      </w:pPr>
      <w:r>
        <w:rPr>
          <w:rFonts w:ascii="Times New Roman" w:cs="Times New Roman" w:eastAsia="Times New Roman" w:hAnsi="Times New Roman"/>
          <w:sz w:val="20"/>
          <w:szCs w:val="20"/>
          <w:color w:val="auto"/>
        </w:rPr>
        <w:t>Title:</w:t>
        <w:tab/>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ACORN CAPITAL ADVISORS GP, LLC</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Anders Hove</w:t>
      </w:r>
    </w:p>
    <w:p>
      <w:pPr>
        <w:ind w:left="5400"/>
        <w:spacing w:after="0"/>
        <w:rPr>
          <w:sz w:val="20"/>
          <w:szCs w:val="20"/>
          <w:color w:val="auto"/>
        </w:rPr>
      </w:pPr>
      <w:r>
        <w:rPr>
          <w:rFonts w:ascii="Times New Roman" w:cs="Times New Roman" w:eastAsia="Times New Roman" w:hAnsi="Times New Roman"/>
          <w:sz w:val="20"/>
          <w:szCs w:val="20"/>
          <w:color w:val="auto"/>
        </w:rPr>
        <w:t>Name: Anders Hove</w:t>
      </w:r>
    </w:p>
    <w:p>
      <w:pPr>
        <w:ind w:left="5400"/>
        <w:spacing w:after="0"/>
        <w:tabs>
          <w:tab w:leader="none" w:pos="6000" w:val="left"/>
        </w:tabs>
        <w:rPr>
          <w:sz w:val="20"/>
          <w:szCs w:val="20"/>
          <w:color w:val="auto"/>
        </w:rPr>
      </w:pPr>
      <w:r>
        <w:rPr>
          <w:rFonts w:ascii="Times New Roman" w:cs="Times New Roman" w:eastAsia="Times New Roman" w:hAnsi="Times New Roman"/>
          <w:sz w:val="20"/>
          <w:szCs w:val="20"/>
          <w:color w:val="auto"/>
        </w:rPr>
        <w:t>Title:</w:t>
        <w:tab/>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ACORN BIOVENTURES 2, L.P.</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ACORN CAPITAL ADVISORS GP 2, LLC, its General Partner</w:t>
      </w: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Anders Hove</w:t>
      </w:r>
    </w:p>
    <w:p>
      <w:pPr>
        <w:ind w:left="5400"/>
        <w:spacing w:after="0"/>
        <w:rPr>
          <w:sz w:val="20"/>
          <w:szCs w:val="20"/>
          <w:color w:val="auto"/>
        </w:rPr>
      </w:pPr>
      <w:r>
        <w:rPr>
          <w:rFonts w:ascii="Times New Roman" w:cs="Times New Roman" w:eastAsia="Times New Roman" w:hAnsi="Times New Roman"/>
          <w:sz w:val="20"/>
          <w:szCs w:val="20"/>
          <w:color w:val="auto"/>
        </w:rPr>
        <w:t>Name: Anders Hove</w:t>
      </w:r>
    </w:p>
    <w:p>
      <w:pPr>
        <w:ind w:left="5400"/>
        <w:spacing w:after="0"/>
        <w:tabs>
          <w:tab w:leader="none" w:pos="6000" w:val="left"/>
        </w:tabs>
        <w:rPr>
          <w:sz w:val="20"/>
          <w:szCs w:val="20"/>
          <w:color w:val="auto"/>
        </w:rPr>
      </w:pPr>
      <w:r>
        <w:rPr>
          <w:rFonts w:ascii="Times New Roman" w:cs="Times New Roman" w:eastAsia="Times New Roman" w:hAnsi="Times New Roman"/>
          <w:sz w:val="20"/>
          <w:szCs w:val="20"/>
          <w:color w:val="auto"/>
        </w:rPr>
        <w:t>Title:</w:t>
        <w:tab/>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ACORN CAPITAL ADVISORS GP 2, LLC</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Anders Hove</w:t>
      </w:r>
    </w:p>
    <w:p>
      <w:pPr>
        <w:ind w:left="5400"/>
        <w:spacing w:after="0"/>
        <w:rPr>
          <w:sz w:val="20"/>
          <w:szCs w:val="20"/>
          <w:color w:val="auto"/>
        </w:rPr>
      </w:pPr>
      <w:r>
        <w:rPr>
          <w:rFonts w:ascii="Times New Roman" w:cs="Times New Roman" w:eastAsia="Times New Roman" w:hAnsi="Times New Roman"/>
          <w:sz w:val="20"/>
          <w:szCs w:val="20"/>
          <w:color w:val="auto"/>
        </w:rPr>
        <w:t>Name: Anders Hove</w:t>
      </w:r>
    </w:p>
    <w:p>
      <w:pPr>
        <w:ind w:left="5400"/>
        <w:spacing w:after="0"/>
        <w:tabs>
          <w:tab w:leader="none" w:pos="6000" w:val="left"/>
        </w:tabs>
        <w:rPr>
          <w:sz w:val="20"/>
          <w:szCs w:val="20"/>
          <w:color w:val="auto"/>
        </w:rPr>
      </w:pPr>
      <w:r>
        <w:rPr>
          <w:rFonts w:ascii="Times New Roman" w:cs="Times New Roman" w:eastAsia="Times New Roman" w:hAnsi="Times New Roman"/>
          <w:sz w:val="20"/>
          <w:szCs w:val="20"/>
          <w:color w:val="auto"/>
        </w:rPr>
        <w:t>Title:</w:t>
        <w:tab/>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ANDERS HOVE</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-24765</wp:posOffset>
            </wp:positionV>
            <wp:extent cx="14763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2024-02-06T15:11:42Z</dcterms:created>
  <dcterms:modified xsi:type="dcterms:W3CDTF">2024-02-06T15:11:42Z</dcterms:modified>
</cp:coreProperties>
</file>